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乌苏市声环境功能区划分方案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（2024年版）</w:t>
      </w:r>
    </w:p>
    <w:p>
      <w:pPr>
        <w:pStyle w:val="2"/>
        <w:jc w:val="center"/>
        <w:rPr>
          <w:rFonts w:hint="eastAsia" w:ascii="黑体" w:hAnsi="黑体" w:eastAsia="黑体" w:cs="黑体"/>
          <w:sz w:val="32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  <w:t>（征求意见稿）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一、总则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</w:rPr>
      </w:pPr>
      <w:r>
        <w:rPr>
          <w:rFonts w:hint="eastAsia" w:ascii="Times New Roman" w:hAnsi="Times New Roman" w:eastAsia="仿宋_GB2312" w:cs="仿宋_GB2312"/>
          <w:sz w:val="32"/>
        </w:rPr>
        <w:t>为适应城市发展需求，防治城市环境噪声污染，改善区域声环境质量，提高人民群众生活水平，根据《中华人民共和国噪声污染防治法》《声环境质量标准》有关规定和《声环境功能区划分技术规范》相关要求，结合城市总体规划和实际情况，制定本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二、区划原则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</w:rPr>
      </w:pPr>
      <w:r>
        <w:rPr>
          <w:rFonts w:hint="eastAsia" w:eastAsia="仿宋_GB2312" w:cs="仿宋_GB2312"/>
          <w:sz w:val="32"/>
          <w:lang w:eastAsia="zh-CN"/>
        </w:rPr>
        <w:t>（</w:t>
      </w:r>
      <w:r>
        <w:rPr>
          <w:rFonts w:hint="eastAsia" w:eastAsia="仿宋_GB2312" w:cs="仿宋_GB2312"/>
          <w:sz w:val="32"/>
          <w:lang w:val="en-US" w:eastAsia="zh-CN"/>
        </w:rPr>
        <w:t>一</w:t>
      </w:r>
      <w:r>
        <w:rPr>
          <w:rFonts w:hint="eastAsia" w:eastAsia="仿宋_GB2312" w:cs="仿宋_GB2312"/>
          <w:sz w:val="32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</w:rPr>
        <w:t>有效控制噪声污染的程度和范围，提高声环境质量，保障城市居民正常生活、学习和工作场所的安静。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</w:rPr>
      </w:pPr>
      <w:r>
        <w:rPr>
          <w:rFonts w:hint="eastAsia" w:ascii="Times New Roman" w:hAnsi="Times New Roman" w:eastAsia="仿宋_GB2312" w:cs="仿宋_GB2312"/>
          <w:sz w:val="32"/>
        </w:rPr>
        <w:t>（二）以城市总体规划为指导，按区域规划用地的主导功能，</w:t>
      </w:r>
      <w:r>
        <w:rPr>
          <w:rFonts w:hint="eastAsia" w:ascii="Times New Roman" w:hAnsi="Times New Roman" w:eastAsia="仿宋_GB2312" w:cs="仿宋_GB2312"/>
          <w:spacing w:val="-6"/>
          <w:sz w:val="32"/>
        </w:rPr>
        <w:t>并结合城市规划用地现状的主导功能作为声环境功能区划的依据。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</w:rPr>
      </w:pPr>
      <w:r>
        <w:rPr>
          <w:rFonts w:hint="eastAsia" w:ascii="Times New Roman" w:hAnsi="Times New Roman" w:eastAsia="仿宋_GB2312" w:cs="仿宋_GB2312"/>
          <w:sz w:val="32"/>
        </w:rPr>
        <w:t>（三）便于城市环境噪声管理和促进噪声治理。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</w:rPr>
      </w:pPr>
      <w:r>
        <w:rPr>
          <w:rFonts w:hint="eastAsia" w:ascii="Times New Roman" w:hAnsi="Times New Roman" w:eastAsia="仿宋_GB2312" w:cs="仿宋_GB2312"/>
          <w:sz w:val="32"/>
        </w:rPr>
        <w:t>（四）有利于城市规划的实施和城市改造，做到区划科学合理，促进环境、经济、社会协调一致发展。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</w:rPr>
      </w:pPr>
      <w:r>
        <w:rPr>
          <w:rFonts w:hint="eastAsia" w:ascii="Times New Roman" w:hAnsi="Times New Roman" w:eastAsia="仿宋_GB2312" w:cs="仿宋_GB2312"/>
          <w:sz w:val="32"/>
        </w:rPr>
        <w:t>（五）宜粗不宜细，宜大不宜小。单块的声环境功能区面积，原则上不低于0.5km</w:t>
      </w:r>
      <w:r>
        <w:rPr>
          <w:rFonts w:hint="eastAsia" w:ascii="Times New Roman" w:hAnsi="Times New Roman" w:eastAsia="仿宋_GB2312" w:cs="仿宋_GB2312"/>
          <w:sz w:val="32"/>
          <w:vertAlign w:val="superscript"/>
        </w:rPr>
        <w:t>2</w:t>
      </w:r>
      <w:r>
        <w:rPr>
          <w:rFonts w:hint="eastAsia" w:ascii="Times New Roman" w:hAnsi="Times New Roman" w:eastAsia="仿宋_GB2312" w:cs="仿宋_GB2312"/>
          <w:sz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</w:rPr>
      </w:pPr>
      <w:r>
        <w:rPr>
          <w:rFonts w:hint="eastAsia" w:ascii="Times New Roman" w:hAnsi="Times New Roman" w:eastAsia="仿宋_GB2312" w:cs="仿宋_GB2312"/>
          <w:sz w:val="32"/>
        </w:rPr>
        <w:t>（六）区分市域范围内建成区与未建成区的声环境功能区划，未建成的规划区内，按其规划性质或按区域声环境质量现状，结合可能的发展划定区域类型。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三、适用范围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</w:rPr>
      </w:pPr>
      <w:r>
        <w:rPr>
          <w:rFonts w:hint="eastAsia" w:ascii="Times New Roman" w:hAnsi="Times New Roman" w:eastAsia="仿宋_GB2312" w:cs="仿宋_GB2312"/>
          <w:sz w:val="32"/>
        </w:rPr>
        <w:t>（一）本方案适用于乌苏市城市规划区范围内的声环境管理。此次区划对中心城区对应的5个街道辖区范围进行具体划分，总面积</w:t>
      </w:r>
      <w:r>
        <w:rPr>
          <w:rFonts w:hint="eastAsia" w:eastAsia="仿宋_GB2312" w:cs="仿宋_GB2312"/>
          <w:sz w:val="32"/>
          <w:lang w:val="en-US" w:eastAsia="zh-CN"/>
        </w:rPr>
        <w:t>83.49</w:t>
      </w:r>
      <w:r>
        <w:rPr>
          <w:rFonts w:hint="eastAsia" w:ascii="Times New Roman" w:hAnsi="Times New Roman" w:eastAsia="仿宋_GB2312" w:cs="仿宋_GB2312"/>
          <w:sz w:val="32"/>
        </w:rPr>
        <w:t>平方公里，同时对17个乡镇辖区范围进行统一划分。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</w:rPr>
      </w:pPr>
      <w:r>
        <w:rPr>
          <w:rFonts w:hint="eastAsia" w:ascii="Times New Roman" w:hAnsi="Times New Roman" w:eastAsia="仿宋_GB2312" w:cs="仿宋_GB2312"/>
          <w:sz w:val="32"/>
        </w:rPr>
        <w:t>（二）机场周围区域受飞机通过（起飞、降落、低空飞行）噪声的影响不适用于本方案。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四、主要依据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</w:rPr>
      </w:pPr>
      <w:r>
        <w:rPr>
          <w:rFonts w:hint="eastAsia" w:ascii="Times New Roman" w:hAnsi="Times New Roman" w:eastAsia="仿宋_GB2312" w:cs="仿宋_GB2312"/>
          <w:sz w:val="32"/>
        </w:rPr>
        <w:t>（一）《中华人民共和国噪声污染防治法》（2022年6月</w:t>
      </w:r>
      <w:r>
        <w:rPr>
          <w:rFonts w:hint="eastAsia" w:eastAsia="仿宋_GB2312" w:cs="仿宋_GB2312"/>
          <w:sz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</w:rPr>
      </w:pPr>
      <w:r>
        <w:rPr>
          <w:rFonts w:hint="eastAsia" w:ascii="Times New Roman" w:hAnsi="Times New Roman" w:eastAsia="仿宋_GB2312" w:cs="仿宋_GB2312"/>
          <w:sz w:val="32"/>
        </w:rPr>
        <w:t>（二）《声环境质量标准》（GB3096-2008）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</w:rPr>
      </w:pPr>
      <w:r>
        <w:rPr>
          <w:rFonts w:hint="eastAsia" w:ascii="Times New Roman" w:hAnsi="Times New Roman" w:eastAsia="仿宋_GB2312" w:cs="仿宋_GB2312"/>
          <w:sz w:val="32"/>
        </w:rPr>
        <w:t>（三）《工业企业厂界环境噪声排放标准》（GB12348-2008）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</w:rPr>
      </w:pPr>
      <w:r>
        <w:rPr>
          <w:rFonts w:hint="eastAsia" w:ascii="Times New Roman" w:hAnsi="Times New Roman" w:eastAsia="仿宋_GB2312" w:cs="仿宋_GB2312"/>
          <w:sz w:val="32"/>
        </w:rPr>
        <w:t>（四）《声环境功能区划分技术规范》（GB/T15190-2014</w:t>
      </w:r>
      <w:r>
        <w:rPr>
          <w:rFonts w:hint="eastAsia" w:eastAsia="仿宋_GB2312" w:cs="仿宋_GB2312"/>
          <w:sz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</w:rPr>
      </w:pPr>
      <w:r>
        <w:rPr>
          <w:rFonts w:hint="eastAsia" w:ascii="Times New Roman" w:hAnsi="Times New Roman" w:eastAsia="仿宋_GB2312" w:cs="仿宋_GB2312"/>
          <w:sz w:val="32"/>
        </w:rPr>
        <w:t>（五）《铁路运输</w:t>
      </w:r>
      <w:r>
        <w:rPr>
          <w:rFonts w:hint="eastAsia" w:ascii="Times New Roman" w:hAnsi="Times New Roman" w:eastAsia="仿宋_GB2312" w:cs="仿宋_GB2312"/>
          <w:sz w:val="32"/>
          <w:highlight w:val="none"/>
        </w:rPr>
        <w:t>安全保护条例</w:t>
      </w:r>
      <w:r>
        <w:rPr>
          <w:rFonts w:hint="eastAsia" w:ascii="Times New Roman" w:hAnsi="Times New Roman" w:eastAsia="仿宋_GB2312" w:cs="仿宋_GB2312"/>
          <w:sz w:val="32"/>
        </w:rPr>
        <w:t>》（2005年4月）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</w:rPr>
      </w:pPr>
      <w:r>
        <w:rPr>
          <w:rFonts w:hint="eastAsia" w:ascii="Times New Roman" w:hAnsi="Times New Roman" w:eastAsia="仿宋_GB2312" w:cs="仿宋_GB2312"/>
          <w:sz w:val="32"/>
        </w:rPr>
        <w:t>（六）《乌苏市国土空间总体规划（2021</w:t>
      </w:r>
      <w:r>
        <w:rPr>
          <w:rFonts w:hint="eastAsia" w:eastAsia="仿宋_GB2312" w:cs="仿宋_GB2312"/>
          <w:sz w:val="32"/>
          <w:lang w:eastAsia="zh-CN"/>
        </w:rPr>
        <w:t>—</w:t>
      </w:r>
      <w:r>
        <w:rPr>
          <w:rFonts w:hint="eastAsia" w:ascii="Times New Roman" w:hAnsi="Times New Roman" w:eastAsia="仿宋_GB2312" w:cs="仿宋_GB2312"/>
          <w:sz w:val="32"/>
        </w:rPr>
        <w:t>2035年）》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</w:rPr>
      </w:pPr>
      <w:r>
        <w:rPr>
          <w:rFonts w:hint="eastAsia" w:ascii="Times New Roman" w:hAnsi="Times New Roman" w:eastAsia="仿宋_GB2312" w:cs="仿宋_GB2312"/>
          <w:sz w:val="32"/>
        </w:rPr>
        <w:t>（七）《铁路边界噪声限值及其测量方法》（GB12523-90）</w:t>
      </w:r>
      <w:r>
        <w:rPr>
          <w:rFonts w:hint="eastAsia" w:eastAsia="仿宋_GB2312" w:cs="仿宋_GB2312"/>
          <w:sz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</w:rPr>
        <w:t>原</w:t>
      </w:r>
      <w:r>
        <w:rPr>
          <w:rFonts w:hint="eastAsia" w:ascii="Times New Roman" w:hAnsi="Times New Roman" w:eastAsia="仿宋_GB2312" w:cs="仿宋_GB2312"/>
          <w:sz w:val="32"/>
          <w:highlight w:val="none"/>
        </w:rPr>
        <w:t>国家环保总局</w:t>
      </w:r>
      <w:r>
        <w:rPr>
          <w:rFonts w:hint="eastAsia" w:ascii="Times New Roman" w:hAnsi="Times New Roman" w:eastAsia="仿宋_GB2312" w:cs="仿宋_GB2312"/>
          <w:sz w:val="32"/>
        </w:rPr>
        <w:t>，1991年3月1日执行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</w:rPr>
      </w:pPr>
      <w:r>
        <w:rPr>
          <w:rFonts w:hint="eastAsia" w:ascii="Times New Roman" w:hAnsi="Times New Roman" w:eastAsia="仿宋_GB2312" w:cs="仿宋_GB2312"/>
          <w:sz w:val="32"/>
        </w:rPr>
        <w:t>（八）《环境噪声监测技术规范 城市声环境常规监测》（HJ640-2012），国家</w:t>
      </w:r>
      <w:r>
        <w:rPr>
          <w:rFonts w:hint="eastAsia" w:ascii="Times New Roman" w:hAnsi="Times New Roman" w:eastAsia="仿宋_GB2312" w:cs="仿宋_GB2312"/>
          <w:sz w:val="32"/>
          <w:highlight w:val="none"/>
        </w:rPr>
        <w:t>环境保护部</w:t>
      </w:r>
      <w:r>
        <w:rPr>
          <w:rFonts w:hint="eastAsia" w:ascii="Times New Roman" w:hAnsi="Times New Roman" w:eastAsia="仿宋_GB2312" w:cs="仿宋_GB2312"/>
          <w:sz w:val="32"/>
        </w:rPr>
        <w:t>，2013年3月1日执行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</w:rPr>
      </w:pPr>
      <w:r>
        <w:rPr>
          <w:rFonts w:hint="eastAsia" w:ascii="Times New Roman" w:hAnsi="Times New Roman" w:eastAsia="仿宋_GB2312" w:cs="仿宋_GB2312"/>
          <w:sz w:val="32"/>
        </w:rPr>
        <w:t>（</w:t>
      </w:r>
      <w:r>
        <w:rPr>
          <w:rFonts w:hint="eastAsia" w:eastAsia="仿宋_GB2312" w:cs="仿宋_GB2312"/>
          <w:sz w:val="32"/>
          <w:lang w:val="en-US" w:eastAsia="zh-CN"/>
        </w:rPr>
        <w:t>九）</w:t>
      </w:r>
      <w:r>
        <w:rPr>
          <w:rFonts w:hint="eastAsia" w:ascii="Times New Roman" w:hAnsi="Times New Roman" w:eastAsia="仿宋_GB2312" w:cs="仿宋_GB2312"/>
          <w:spacing w:val="-6"/>
          <w:sz w:val="32"/>
        </w:rPr>
        <w:t>《城市用地分类与规划建设用地标准》（GB50137-2011），</w:t>
      </w:r>
      <w:r>
        <w:rPr>
          <w:rFonts w:hint="eastAsia" w:ascii="Times New Roman" w:hAnsi="Times New Roman" w:eastAsia="仿宋_GB2312" w:cs="仿宋_GB2312"/>
          <w:spacing w:val="-6"/>
          <w:sz w:val="32"/>
          <w:highlight w:val="none"/>
        </w:rPr>
        <w:t>国家住房和城乡建设部</w:t>
      </w:r>
      <w:r>
        <w:rPr>
          <w:rFonts w:hint="eastAsia" w:ascii="Times New Roman" w:hAnsi="Times New Roman" w:eastAsia="仿宋_GB2312" w:cs="仿宋_GB2312"/>
          <w:spacing w:val="-6"/>
          <w:sz w:val="32"/>
        </w:rPr>
        <w:t>，2012年1月1日执行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</w:rPr>
      </w:pPr>
      <w:r>
        <w:rPr>
          <w:rFonts w:hint="eastAsia" w:ascii="Times New Roman" w:hAnsi="Times New Roman" w:eastAsia="仿宋_GB2312" w:cs="仿宋_GB2312"/>
          <w:sz w:val="32"/>
        </w:rPr>
        <w:t>（十）《土地利用现状分类》（GB/T21010-2017），2017年11月1日实施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</w:rPr>
      </w:pPr>
      <w:r>
        <w:rPr>
          <w:rFonts w:hint="eastAsia" w:ascii="Times New Roman" w:hAnsi="Times New Roman" w:eastAsia="仿宋_GB2312" w:cs="仿宋_GB2312"/>
          <w:sz w:val="32"/>
        </w:rPr>
        <w:t>（十一）其他规划等相关资料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五、声环境功能区类别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</w:rPr>
      </w:pPr>
      <w:r>
        <w:rPr>
          <w:rFonts w:hint="eastAsia" w:ascii="Times New Roman" w:hAnsi="Times New Roman" w:eastAsia="仿宋_GB2312" w:cs="仿宋_GB2312"/>
          <w:sz w:val="32"/>
        </w:rPr>
        <w:t>按区域的使用功能特点和环境质量要求，结合乌苏市实际情况，划分以下5类声环境功能区，具体说明如下：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</w:rPr>
      </w:pPr>
      <w:r>
        <w:rPr>
          <w:rFonts w:hint="eastAsia" w:ascii="Times New Roman" w:hAnsi="Times New Roman" w:eastAsia="仿宋_GB2312" w:cs="仿宋_GB2312"/>
          <w:sz w:val="32"/>
        </w:rPr>
        <w:t>（一）0类声环境功能区适用区域：康复疗养区等特别需要安静的区域。本方案没有划定0类</w:t>
      </w:r>
      <w:r>
        <w:rPr>
          <w:rFonts w:hint="eastAsia" w:eastAsia="仿宋_GB2312" w:cs="仿宋_GB2312"/>
          <w:sz w:val="32"/>
          <w:lang w:eastAsia="zh-CN"/>
        </w:rPr>
        <w:t>区域</w:t>
      </w:r>
      <w:r>
        <w:rPr>
          <w:rFonts w:hint="eastAsia" w:ascii="Times New Roman" w:hAnsi="Times New Roman" w:eastAsia="仿宋_GB2312" w:cs="仿宋_GB2312"/>
          <w:sz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</w:rPr>
      </w:pPr>
      <w:r>
        <w:rPr>
          <w:rFonts w:hint="eastAsia" w:ascii="Times New Roman" w:hAnsi="Times New Roman" w:eastAsia="仿宋_GB2312" w:cs="仿宋_GB2312"/>
          <w:sz w:val="32"/>
        </w:rPr>
        <w:t>（二）1类声环境功能区适用区域：以居民住宅、医疗卫生、</w:t>
      </w:r>
      <w:r>
        <w:rPr>
          <w:rFonts w:hint="eastAsia" w:ascii="Times New Roman" w:hAnsi="Times New Roman" w:eastAsia="仿宋_GB2312" w:cs="仿宋_GB2312"/>
          <w:spacing w:val="-6"/>
          <w:sz w:val="32"/>
        </w:rPr>
        <w:t>文化教育、科研设计、行政办公为主要功能，需要保持安静的区域。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</w:rPr>
      </w:pPr>
      <w:r>
        <w:rPr>
          <w:rFonts w:hint="eastAsia" w:ascii="Times New Roman" w:hAnsi="Times New Roman" w:eastAsia="仿宋_GB2312" w:cs="仿宋_GB2312"/>
          <w:sz w:val="32"/>
        </w:rPr>
        <w:t>（三）2类声环境功能区适用区域：以商业金融、集市贸易为主要功能，或者居住、商业、工业混杂，需要维护住宅安静的区域。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</w:rPr>
      </w:pPr>
      <w:r>
        <w:rPr>
          <w:rFonts w:hint="eastAsia" w:ascii="Times New Roman" w:hAnsi="Times New Roman" w:eastAsia="仿宋_GB2312" w:cs="仿宋_GB2312"/>
          <w:sz w:val="32"/>
        </w:rPr>
        <w:t>（四）3类声环境功能区适用区域：以工业生产、仓储物流为主要功能，需要防止工业噪声对周围环境产生严重影响的区域。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</w:rPr>
      </w:pPr>
      <w:r>
        <w:rPr>
          <w:rFonts w:hint="eastAsia" w:ascii="Times New Roman" w:hAnsi="Times New Roman" w:eastAsia="仿宋_GB2312" w:cs="仿宋_GB2312"/>
          <w:sz w:val="32"/>
        </w:rPr>
        <w:t>（五）4类声环境功能区适用区域：道路干线两侧一定距离之内，需要防止交通噪声对周围环境产生严重影响的区域，包括4a类和4b类两种类型。4a类为高速公路、一级公路、二级公路、城市快速路、城市主干路、城市次干路、城市轨道交通（地面段）、内河航道两侧区域；4b类为铁路干线两侧区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六、各类适用区执行环境噪声标准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</w:rPr>
      </w:pPr>
      <w:r>
        <w:rPr>
          <w:rFonts w:hint="eastAsia" w:ascii="Times New Roman" w:hAnsi="Times New Roman" w:eastAsia="仿宋_GB2312" w:cs="仿宋_GB2312"/>
          <w:sz w:val="32"/>
        </w:rPr>
        <w:t>各声环境功能区适用的环境噪声等效声级限值见表1。</w:t>
      </w:r>
    </w:p>
    <w:p>
      <w:pPr>
        <w:keepNext w:val="0"/>
        <w:keepLines w:val="0"/>
        <w:pageBreakBefore w:val="0"/>
        <w:widowControl w:val="0"/>
        <w:tabs>
          <w:tab w:val="left" w:pos="282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27" w:after="43" w:line="560" w:lineRule="exact"/>
        <w:ind w:left="0" w:right="161" w:firstLine="0"/>
        <w:jc w:val="center"/>
        <w:textAlignment w:val="auto"/>
        <w:rPr>
          <w:rFonts w:hint="eastAsia" w:ascii="黑体" w:eastAsia="黑体"/>
          <w:sz w:val="24"/>
        </w:rPr>
      </w:pPr>
    </w:p>
    <w:p>
      <w:pPr>
        <w:keepNext w:val="0"/>
        <w:keepLines w:val="0"/>
        <w:pageBreakBefore w:val="0"/>
        <w:widowControl w:val="0"/>
        <w:tabs>
          <w:tab w:val="left" w:pos="282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27" w:after="43" w:line="560" w:lineRule="exact"/>
        <w:ind w:left="0" w:right="161" w:firstLine="0"/>
        <w:jc w:val="center"/>
        <w:textAlignment w:val="auto"/>
        <w:rPr>
          <w:rFonts w:hint="eastAsia" w:ascii="黑体" w:eastAsia="黑体"/>
          <w:sz w:val="24"/>
        </w:rPr>
      </w:pPr>
    </w:p>
    <w:p>
      <w:pPr>
        <w:keepNext w:val="0"/>
        <w:keepLines w:val="0"/>
        <w:pageBreakBefore w:val="0"/>
        <w:widowControl w:val="0"/>
        <w:tabs>
          <w:tab w:val="left" w:pos="282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27" w:after="43" w:line="560" w:lineRule="exact"/>
        <w:ind w:left="0" w:right="161" w:firstLine="0"/>
        <w:jc w:val="center"/>
        <w:textAlignment w:val="auto"/>
        <w:rPr>
          <w:rFonts w:hint="eastAsia" w:ascii="黑体" w:eastAsia="黑体"/>
          <w:sz w:val="24"/>
        </w:rPr>
      </w:pPr>
      <w:r>
        <w:rPr>
          <w:rFonts w:hint="eastAsia" w:ascii="黑体" w:eastAsia="黑体"/>
          <w:sz w:val="24"/>
        </w:rPr>
        <w:t>表</w:t>
      </w:r>
      <w:r>
        <w:rPr>
          <w:rFonts w:hint="eastAsia" w:ascii="黑体" w:eastAsia="黑体"/>
          <w:spacing w:val="-60"/>
          <w:sz w:val="24"/>
        </w:rPr>
        <w:t xml:space="preserve"> </w:t>
      </w:r>
      <w:r>
        <w:rPr>
          <w:rFonts w:ascii="Times New Roman" w:eastAsia="Times New Roman"/>
          <w:sz w:val="24"/>
        </w:rPr>
        <w:t xml:space="preserve">1  </w:t>
      </w:r>
      <w:r>
        <w:rPr>
          <w:rFonts w:hint="eastAsia" w:ascii="黑体" w:eastAsia="黑体"/>
          <w:sz w:val="24"/>
        </w:rPr>
        <w:t>声环境质量标准</w:t>
      </w:r>
      <w:r>
        <w:rPr>
          <w:rFonts w:hint="eastAsia" w:ascii="黑体" w:eastAsia="黑体"/>
          <w:sz w:val="24"/>
        </w:rPr>
        <w:tab/>
      </w:r>
    </w:p>
    <w:p>
      <w:pPr>
        <w:keepNext w:val="0"/>
        <w:keepLines w:val="0"/>
        <w:pageBreakBefore w:val="0"/>
        <w:widowControl w:val="0"/>
        <w:tabs>
          <w:tab w:val="left" w:pos="282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27" w:after="43" w:line="560" w:lineRule="exact"/>
        <w:ind w:left="0" w:right="161" w:firstLine="0"/>
        <w:jc w:val="center"/>
        <w:textAlignment w:val="auto"/>
        <w:rPr>
          <w:rFonts w:hint="eastAsia" w:ascii="黑体" w:eastAsia="黑体"/>
          <w:sz w:val="24"/>
        </w:rPr>
      </w:pPr>
      <w:r>
        <w:rPr>
          <w:rFonts w:hint="eastAsia" w:ascii="黑体" w:eastAsia="黑体"/>
          <w:sz w:val="24"/>
          <w:lang w:val="en-US" w:eastAsia="zh-CN"/>
        </w:rPr>
        <w:t xml:space="preserve">                                                        </w:t>
      </w:r>
      <w:r>
        <w:rPr>
          <w:rFonts w:hint="eastAsia" w:ascii="黑体" w:eastAsia="黑体"/>
          <w:sz w:val="24"/>
        </w:rPr>
        <w:t>单位：</w:t>
      </w:r>
      <w:r>
        <w:rPr>
          <w:rFonts w:ascii="Times New Roman" w:eastAsia="Times New Roman"/>
          <w:sz w:val="24"/>
        </w:rPr>
        <w:t>dB</w:t>
      </w:r>
      <w:r>
        <w:rPr>
          <w:rFonts w:hint="eastAsia" w:ascii="黑体" w:eastAsia="黑体"/>
          <w:sz w:val="24"/>
        </w:rPr>
        <w:t>（</w:t>
      </w:r>
      <w:r>
        <w:rPr>
          <w:rFonts w:ascii="Times New Roman" w:eastAsia="Times New Roman"/>
          <w:sz w:val="24"/>
        </w:rPr>
        <w:t>A</w:t>
      </w:r>
      <w:r>
        <w:rPr>
          <w:rFonts w:hint="eastAsia" w:ascii="黑体" w:eastAsia="黑体"/>
          <w:sz w:val="24"/>
        </w:rPr>
        <w:t>）</w:t>
      </w:r>
    </w:p>
    <w:tbl>
      <w:tblPr>
        <w:tblStyle w:val="4"/>
        <w:tblW w:w="865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8"/>
        <w:gridCol w:w="1293"/>
        <w:gridCol w:w="2828"/>
        <w:gridCol w:w="29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  <w:jc w:val="center"/>
        </w:trPr>
        <w:tc>
          <w:tcPr>
            <w:tcW w:w="2911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5" w:line="560" w:lineRule="exact"/>
              <w:ind w:left="8"/>
              <w:jc w:val="center"/>
              <w:textAlignment w:val="auto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声环境功能区类型</w:t>
            </w:r>
          </w:p>
        </w:tc>
        <w:tc>
          <w:tcPr>
            <w:tcW w:w="282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5" w:line="560" w:lineRule="exact"/>
              <w:ind w:left="1168" w:right="1161"/>
              <w:jc w:val="center"/>
              <w:textAlignment w:val="auto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昼间</w:t>
            </w:r>
          </w:p>
        </w:tc>
        <w:tc>
          <w:tcPr>
            <w:tcW w:w="291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5" w:line="560" w:lineRule="exact"/>
              <w:ind w:left="1167" w:right="1162"/>
              <w:jc w:val="center"/>
              <w:textAlignment w:val="auto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夜间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  <w:jc w:val="center"/>
        </w:trPr>
        <w:tc>
          <w:tcPr>
            <w:tcW w:w="2911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7" w:line="560" w:lineRule="exact"/>
              <w:ind w:left="1167" w:right="1162"/>
              <w:jc w:val="center"/>
              <w:textAlignment w:val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0类</w:t>
            </w:r>
          </w:p>
        </w:tc>
        <w:tc>
          <w:tcPr>
            <w:tcW w:w="282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7" w:line="560" w:lineRule="exact"/>
              <w:ind w:left="1167" w:right="1162"/>
              <w:jc w:val="center"/>
              <w:textAlignment w:val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50</w:t>
            </w:r>
          </w:p>
        </w:tc>
        <w:tc>
          <w:tcPr>
            <w:tcW w:w="291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7" w:line="560" w:lineRule="exact"/>
              <w:ind w:left="1167" w:right="1162"/>
              <w:jc w:val="center"/>
              <w:textAlignment w:val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  <w:jc w:val="center"/>
        </w:trPr>
        <w:tc>
          <w:tcPr>
            <w:tcW w:w="2911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7" w:line="560" w:lineRule="exact"/>
              <w:ind w:left="1167" w:right="1162"/>
              <w:jc w:val="center"/>
              <w:textAlignment w:val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1类</w:t>
            </w:r>
          </w:p>
        </w:tc>
        <w:tc>
          <w:tcPr>
            <w:tcW w:w="282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7" w:line="560" w:lineRule="exact"/>
              <w:ind w:left="1167" w:right="1162"/>
              <w:jc w:val="center"/>
              <w:textAlignment w:val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55</w:t>
            </w:r>
          </w:p>
        </w:tc>
        <w:tc>
          <w:tcPr>
            <w:tcW w:w="291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7" w:line="560" w:lineRule="exact"/>
              <w:ind w:left="1167" w:right="1162"/>
              <w:jc w:val="center"/>
              <w:textAlignment w:val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  <w:jc w:val="center"/>
        </w:trPr>
        <w:tc>
          <w:tcPr>
            <w:tcW w:w="2911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7" w:line="560" w:lineRule="exact"/>
              <w:ind w:left="1167" w:right="1162"/>
              <w:jc w:val="center"/>
              <w:textAlignment w:val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2类</w:t>
            </w:r>
          </w:p>
        </w:tc>
        <w:tc>
          <w:tcPr>
            <w:tcW w:w="282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7" w:line="560" w:lineRule="exact"/>
              <w:ind w:left="1167" w:right="1162"/>
              <w:jc w:val="center"/>
              <w:textAlignment w:val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60</w:t>
            </w:r>
          </w:p>
        </w:tc>
        <w:tc>
          <w:tcPr>
            <w:tcW w:w="291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7" w:line="560" w:lineRule="exact"/>
              <w:ind w:left="1167" w:right="1162"/>
              <w:jc w:val="center"/>
              <w:textAlignment w:val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  <w:jc w:val="center"/>
        </w:trPr>
        <w:tc>
          <w:tcPr>
            <w:tcW w:w="2911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7" w:line="560" w:lineRule="exact"/>
              <w:ind w:left="1167" w:right="1162"/>
              <w:jc w:val="center"/>
              <w:textAlignment w:val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3类</w:t>
            </w:r>
          </w:p>
        </w:tc>
        <w:tc>
          <w:tcPr>
            <w:tcW w:w="282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7" w:line="560" w:lineRule="exact"/>
              <w:ind w:left="1167" w:right="1162"/>
              <w:jc w:val="center"/>
              <w:textAlignment w:val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65</w:t>
            </w:r>
          </w:p>
        </w:tc>
        <w:tc>
          <w:tcPr>
            <w:tcW w:w="291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7" w:line="560" w:lineRule="exact"/>
              <w:ind w:left="1167" w:right="1162"/>
              <w:jc w:val="center"/>
              <w:textAlignment w:val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1618" w:type="dxa"/>
            <w:vMerge w:val="restar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560" w:lineRule="exact"/>
              <w:jc w:val="center"/>
              <w:textAlignment w:val="auto"/>
              <w:rPr>
                <w:rFonts w:hint="default" w:ascii="Times New Roman" w:hAnsi="仿宋" w:eastAsia="仿宋" w:cs="仿宋"/>
                <w:sz w:val="24"/>
                <w:szCs w:val="22"/>
                <w:lang w:val="en-US" w:eastAsia="zh-CN" w:bidi="zh-CN"/>
              </w:rPr>
            </w:pPr>
            <w:r>
              <w:rPr>
                <w:rFonts w:hint="eastAsia" w:ascii="Times New Roman" w:cs="仿宋"/>
                <w:sz w:val="24"/>
                <w:szCs w:val="22"/>
                <w:lang w:val="en-US" w:eastAsia="zh-CN" w:bidi="zh-CN"/>
              </w:rPr>
              <w:t>4类</w:t>
            </w:r>
          </w:p>
        </w:tc>
        <w:tc>
          <w:tcPr>
            <w:tcW w:w="129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560" w:lineRule="exact"/>
              <w:jc w:val="center"/>
              <w:textAlignment w:val="auto"/>
              <w:rPr>
                <w:rFonts w:hint="default" w:ascii="Times New Roman" w:hAnsi="仿宋" w:eastAsia="仿宋" w:cs="仿宋"/>
                <w:sz w:val="24"/>
                <w:szCs w:val="22"/>
                <w:lang w:val="en-US" w:eastAsia="zh-CN" w:bidi="zh-CN"/>
              </w:rPr>
            </w:pPr>
            <w:r>
              <w:rPr>
                <w:rFonts w:hint="eastAsia" w:ascii="Times New Roman" w:cs="仿宋"/>
                <w:sz w:val="24"/>
                <w:szCs w:val="22"/>
                <w:lang w:val="en-US" w:eastAsia="zh-CN" w:bidi="zh-CN"/>
              </w:rPr>
              <w:t>4a类</w:t>
            </w:r>
          </w:p>
        </w:tc>
        <w:tc>
          <w:tcPr>
            <w:tcW w:w="282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7" w:line="560" w:lineRule="exact"/>
              <w:ind w:left="1167" w:right="1162"/>
              <w:jc w:val="center"/>
              <w:textAlignment w:val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70</w:t>
            </w:r>
          </w:p>
        </w:tc>
        <w:tc>
          <w:tcPr>
            <w:tcW w:w="291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7" w:line="560" w:lineRule="exact"/>
              <w:ind w:left="1167" w:right="1162"/>
              <w:jc w:val="center"/>
              <w:textAlignment w:val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1618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560" w:lineRule="exact"/>
              <w:jc w:val="center"/>
              <w:textAlignment w:val="auto"/>
              <w:rPr>
                <w:rFonts w:ascii="Times New Roman" w:hAnsi="仿宋" w:eastAsia="仿宋" w:cs="仿宋"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129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560" w:lineRule="exact"/>
              <w:jc w:val="center"/>
              <w:textAlignment w:val="auto"/>
              <w:rPr>
                <w:rFonts w:hint="default" w:ascii="Times New Roman" w:hAnsi="仿宋" w:eastAsia="仿宋" w:cs="仿宋"/>
                <w:sz w:val="24"/>
                <w:szCs w:val="22"/>
                <w:lang w:val="en-US" w:eastAsia="zh-CN" w:bidi="zh-CN"/>
              </w:rPr>
            </w:pPr>
            <w:r>
              <w:rPr>
                <w:rFonts w:hint="eastAsia" w:ascii="Times New Roman" w:cs="仿宋"/>
                <w:sz w:val="24"/>
                <w:szCs w:val="22"/>
                <w:lang w:val="en-US" w:eastAsia="zh-CN" w:bidi="zh-CN"/>
              </w:rPr>
              <w:t>4b类</w:t>
            </w:r>
          </w:p>
        </w:tc>
        <w:tc>
          <w:tcPr>
            <w:tcW w:w="282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5" w:line="560" w:lineRule="exact"/>
              <w:ind w:left="1168" w:right="1161"/>
              <w:jc w:val="center"/>
              <w:textAlignment w:val="auto"/>
              <w:rPr>
                <w:rFonts w:ascii="Times New Roman" w:hAnsi="仿宋" w:eastAsia="仿宋" w:cs="仿宋"/>
                <w:sz w:val="24"/>
                <w:szCs w:val="22"/>
                <w:lang w:val="zh-CN" w:eastAsia="zh-CN" w:bidi="zh-CN"/>
              </w:rPr>
            </w:pPr>
            <w:r>
              <w:rPr>
                <w:rFonts w:ascii="Times New Roman" w:hAnsi="仿宋" w:eastAsia="仿宋" w:cs="仿宋"/>
                <w:sz w:val="24"/>
                <w:szCs w:val="22"/>
                <w:lang w:val="zh-CN" w:eastAsia="zh-CN" w:bidi="zh-CN"/>
              </w:rPr>
              <w:t>70</w:t>
            </w:r>
          </w:p>
        </w:tc>
        <w:tc>
          <w:tcPr>
            <w:tcW w:w="291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5" w:line="560" w:lineRule="exact"/>
              <w:ind w:left="1167" w:right="1162"/>
              <w:jc w:val="center"/>
              <w:textAlignment w:val="auto"/>
              <w:rPr>
                <w:rFonts w:ascii="Times New Roman" w:hAnsi="仿宋" w:eastAsia="仿宋" w:cs="仿宋"/>
                <w:sz w:val="24"/>
                <w:szCs w:val="22"/>
                <w:lang w:val="zh-CN" w:eastAsia="zh-CN" w:bidi="zh-CN"/>
              </w:rPr>
            </w:pPr>
            <w:r>
              <w:rPr>
                <w:rFonts w:ascii="Times New Roman" w:hAnsi="仿宋" w:eastAsia="仿宋" w:cs="仿宋"/>
                <w:sz w:val="24"/>
                <w:szCs w:val="22"/>
                <w:lang w:val="zh-CN" w:eastAsia="zh-CN" w:bidi="zh-CN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6" w:hRule="atLeast"/>
          <w:jc w:val="center"/>
        </w:trPr>
        <w:tc>
          <w:tcPr>
            <w:tcW w:w="8656" w:type="dxa"/>
            <w:gridSpan w:val="4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560" w:lineRule="exact"/>
              <w:ind w:left="11" w:right="41"/>
              <w:jc w:val="both"/>
              <w:textAlignment w:val="auto"/>
              <w:rPr>
                <w:sz w:val="24"/>
              </w:rPr>
            </w:pPr>
            <w:r>
              <w:rPr>
                <w:sz w:val="24"/>
              </w:rPr>
              <w:t>注：</w:t>
            </w:r>
            <w:r>
              <w:rPr>
                <w:rFonts w:hint="eastAsia" w:ascii="宋体" w:hAnsi="宋体" w:eastAsia="宋体"/>
                <w:sz w:val="24"/>
              </w:rPr>
              <w:t>①</w:t>
            </w:r>
            <w:r>
              <w:rPr>
                <w:rFonts w:ascii="Times New Roman" w:hAnsi="Times New Roman" w:eastAsia="Times New Roman"/>
                <w:sz w:val="24"/>
              </w:rPr>
              <w:t>“</w:t>
            </w:r>
            <w:r>
              <w:rPr>
                <w:sz w:val="24"/>
              </w:rPr>
              <w:t>昼间</w:t>
            </w:r>
            <w:r>
              <w:rPr>
                <w:rFonts w:ascii="Times New Roman" w:hAnsi="Times New Roman" w:eastAsia="Times New Roman"/>
                <w:sz w:val="24"/>
              </w:rPr>
              <w:t>”</w:t>
            </w:r>
            <w:r>
              <w:rPr>
                <w:spacing w:val="-21"/>
                <w:sz w:val="24"/>
              </w:rPr>
              <w:t xml:space="preserve">是指 </w:t>
            </w:r>
            <w:r>
              <w:rPr>
                <w:rFonts w:ascii="Times New Roman" w:hAnsi="Times New Roman" w:eastAsia="Times New Roman"/>
                <w:sz w:val="24"/>
              </w:rPr>
              <w:t>6</w:t>
            </w:r>
            <w:r>
              <w:rPr>
                <w:rFonts w:hint="eastAsia" w:ascii="Times New Roman" w:hAnsi="Times New Roman" w:eastAsia="宋体"/>
                <w:sz w:val="24"/>
                <w:lang w:eastAsia="zh-CN"/>
              </w:rPr>
              <w:t>:</w:t>
            </w:r>
            <w:r>
              <w:rPr>
                <w:rFonts w:ascii="Times New Roman" w:hAnsi="Times New Roman" w:eastAsia="Times New Roman"/>
                <w:sz w:val="24"/>
              </w:rPr>
              <w:t xml:space="preserve">00 </w:t>
            </w:r>
            <w:r>
              <w:rPr>
                <w:spacing w:val="-31"/>
                <w:sz w:val="24"/>
              </w:rPr>
              <w:t xml:space="preserve">至 </w:t>
            </w:r>
            <w:r>
              <w:rPr>
                <w:rFonts w:ascii="Times New Roman" w:hAnsi="Times New Roman" w:eastAsia="Times New Roman"/>
                <w:sz w:val="24"/>
              </w:rPr>
              <w:t>22</w:t>
            </w:r>
            <w:r>
              <w:rPr>
                <w:rFonts w:hint="eastAsia" w:ascii="Times New Roman" w:hAnsi="Times New Roman" w:eastAsia="宋体"/>
                <w:sz w:val="24"/>
                <w:lang w:eastAsia="zh-CN"/>
              </w:rPr>
              <w:t>:</w:t>
            </w:r>
            <w:r>
              <w:rPr>
                <w:rFonts w:ascii="Times New Roman" w:hAnsi="Times New Roman" w:eastAsia="Times New Roman"/>
                <w:sz w:val="24"/>
              </w:rPr>
              <w:t xml:space="preserve">00 </w:t>
            </w:r>
            <w:r>
              <w:rPr>
                <w:sz w:val="24"/>
              </w:rPr>
              <w:t>之间的时段，该时段执行昼间标准；</w:t>
            </w:r>
            <w:r>
              <w:rPr>
                <w:rFonts w:ascii="Times New Roman" w:hAnsi="Times New Roman" w:eastAsia="Times New Roman"/>
                <w:sz w:val="24"/>
              </w:rPr>
              <w:t>“</w:t>
            </w:r>
            <w:r>
              <w:rPr>
                <w:sz w:val="24"/>
              </w:rPr>
              <w:t>夜间</w:t>
            </w:r>
            <w:r>
              <w:rPr>
                <w:rFonts w:ascii="Times New Roman" w:hAnsi="Times New Roman" w:eastAsia="Times New Roman"/>
                <w:sz w:val="24"/>
              </w:rPr>
              <w:t>”</w:t>
            </w:r>
            <w:r>
              <w:rPr>
                <w:sz w:val="24"/>
              </w:rPr>
              <w:t>是</w:t>
            </w:r>
            <w:r>
              <w:rPr>
                <w:spacing w:val="-31"/>
                <w:sz w:val="24"/>
              </w:rPr>
              <w:t xml:space="preserve">指 </w:t>
            </w:r>
            <w:r>
              <w:rPr>
                <w:rFonts w:ascii="Times New Roman" w:hAnsi="Times New Roman" w:eastAsia="Times New Roman"/>
                <w:sz w:val="24"/>
              </w:rPr>
              <w:t>22</w:t>
            </w:r>
            <w:r>
              <w:rPr>
                <w:rFonts w:hint="eastAsia" w:ascii="Times New Roman" w:hAnsi="Times New Roman" w:eastAsia="宋体"/>
                <w:sz w:val="24"/>
                <w:lang w:eastAsia="zh-CN"/>
              </w:rPr>
              <w:t>:</w:t>
            </w:r>
            <w:r>
              <w:rPr>
                <w:rFonts w:ascii="Times New Roman" w:hAnsi="Times New Roman" w:eastAsia="Times New Roman"/>
                <w:sz w:val="24"/>
              </w:rPr>
              <w:t xml:space="preserve">00 </w:t>
            </w:r>
            <w:r>
              <w:rPr>
                <w:spacing w:val="-16"/>
                <w:sz w:val="24"/>
              </w:rPr>
              <w:t xml:space="preserve">至次日 </w:t>
            </w:r>
            <w:r>
              <w:rPr>
                <w:rFonts w:ascii="Times New Roman" w:hAnsi="Times New Roman" w:eastAsia="Times New Roman"/>
                <w:sz w:val="24"/>
              </w:rPr>
              <w:t>6</w:t>
            </w:r>
            <w:r>
              <w:rPr>
                <w:rFonts w:hint="eastAsia" w:ascii="Times New Roman" w:hAnsi="Times New Roman" w:eastAsia="宋体"/>
                <w:sz w:val="24"/>
                <w:lang w:eastAsia="zh-CN"/>
              </w:rPr>
              <w:t>:</w:t>
            </w:r>
            <w:r>
              <w:rPr>
                <w:rFonts w:ascii="Times New Roman" w:hAnsi="Times New Roman" w:eastAsia="Times New Roman"/>
                <w:sz w:val="24"/>
              </w:rPr>
              <w:t xml:space="preserve">00 </w:t>
            </w:r>
            <w:r>
              <w:rPr>
                <w:sz w:val="24"/>
              </w:rPr>
              <w:t>之间的时段，该时段执行夜间标准；</w:t>
            </w:r>
            <w:r>
              <w:rPr>
                <w:rFonts w:hint="eastAsia" w:ascii="宋体" w:hAnsi="宋体" w:eastAsia="宋体"/>
                <w:sz w:val="24"/>
              </w:rPr>
              <w:t>②</w:t>
            </w:r>
            <w:r>
              <w:rPr>
                <w:sz w:val="24"/>
              </w:rPr>
              <w:t>各类声环境功能区</w:t>
            </w:r>
            <w:r>
              <w:rPr>
                <w:spacing w:val="-3"/>
                <w:sz w:val="24"/>
              </w:rPr>
              <w:t xml:space="preserve">夜间突发噪声，其最大声级超过环境噪声限值的幅度不得高于 </w:t>
            </w:r>
            <w:r>
              <w:rPr>
                <w:rFonts w:ascii="Times New Roman" w:hAnsi="Times New Roman" w:eastAsia="Times New Roman"/>
                <w:sz w:val="24"/>
              </w:rPr>
              <w:t>15dB(A)</w:t>
            </w:r>
            <w:r>
              <w:rPr>
                <w:sz w:val="24"/>
              </w:rPr>
              <w:t>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七、声环境功能区划分方案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</w:rPr>
      </w:pPr>
      <w:r>
        <w:rPr>
          <w:rFonts w:hint="eastAsia" w:ascii="Times New Roman" w:hAnsi="Times New Roman" w:eastAsia="仿宋_GB2312" w:cs="仿宋_GB2312"/>
          <w:sz w:val="32"/>
        </w:rPr>
        <w:t>本方案对《乌苏市城市总体规划（2021—2035年）》确定的城市规划区进行声环境功能区详细划分，其他区域按本方案有关说明执行。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</w:rPr>
        <w:t>（一）声环境功能区划分结果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</w:rPr>
      </w:pPr>
      <w:r>
        <w:rPr>
          <w:rFonts w:hint="eastAsia" w:ascii="Times New Roman" w:hAnsi="Times New Roman" w:eastAsia="仿宋_GB2312" w:cs="仿宋_GB2312"/>
          <w:sz w:val="32"/>
        </w:rPr>
        <w:t>1.1类标准适用区。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</w:rPr>
      </w:pPr>
      <w:r>
        <w:rPr>
          <w:rFonts w:hint="eastAsia" w:ascii="Times New Roman" w:hAnsi="Times New Roman" w:eastAsia="仿宋_GB2312" w:cs="仿宋_GB2312"/>
          <w:sz w:val="32"/>
        </w:rPr>
        <w:t>1类声环境功能区划分方案见表2。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 w:firstLine="480" w:firstLineChars="200"/>
        <w:jc w:val="center"/>
        <w:textAlignment w:val="auto"/>
        <w:rPr>
          <w:rFonts w:hint="eastAsia" w:ascii="黑体" w:eastAsia="黑体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 w:firstLine="480" w:firstLineChars="200"/>
        <w:jc w:val="center"/>
        <w:textAlignment w:val="auto"/>
        <w:rPr>
          <w:rFonts w:hint="eastAsia" w:ascii="黑体" w:eastAsia="黑体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 w:firstLine="480" w:firstLineChars="200"/>
        <w:jc w:val="center"/>
        <w:textAlignment w:val="auto"/>
        <w:rPr>
          <w:rFonts w:hint="eastAsia" w:ascii="黑体" w:eastAsia="黑体"/>
          <w:sz w:val="24"/>
        </w:rPr>
      </w:pPr>
      <w:r>
        <w:rPr>
          <w:rFonts w:hint="eastAsia" w:ascii="黑体" w:eastAsia="黑体"/>
          <w:sz w:val="24"/>
        </w:rPr>
        <w:t>表</w:t>
      </w:r>
      <w:r>
        <w:rPr>
          <w:rFonts w:ascii="Times New Roman" w:eastAsia="Times New Roman"/>
          <w:sz w:val="24"/>
        </w:rPr>
        <w:t>2</w:t>
      </w:r>
      <w:r>
        <w:rPr>
          <w:rFonts w:hint="eastAsia" w:ascii="Times New Roman" w:eastAsia="宋体"/>
          <w:sz w:val="24"/>
          <w:lang w:val="en-US" w:eastAsia="zh-CN"/>
        </w:rPr>
        <w:t xml:space="preserve">   </w:t>
      </w:r>
      <w:r>
        <w:rPr>
          <w:rFonts w:ascii="Times New Roman" w:eastAsia="Times New Roman"/>
          <w:sz w:val="24"/>
        </w:rPr>
        <w:t xml:space="preserve"> 1</w:t>
      </w:r>
      <w:r>
        <w:rPr>
          <w:rFonts w:hint="eastAsia" w:ascii="黑体" w:eastAsia="黑体"/>
          <w:sz w:val="24"/>
        </w:rPr>
        <w:t>类声环境功能区划</w:t>
      </w:r>
      <w:r>
        <w:rPr>
          <w:rFonts w:hint="eastAsia" w:ascii="黑体" w:eastAsia="黑体"/>
          <w:sz w:val="24"/>
          <w:lang w:val="en-US" w:eastAsia="zh-CN"/>
        </w:rPr>
        <w:t>分</w:t>
      </w:r>
      <w:r>
        <w:rPr>
          <w:rFonts w:hint="eastAsia" w:ascii="黑体" w:eastAsia="黑体"/>
          <w:sz w:val="24"/>
        </w:rPr>
        <w:t>方案</w:t>
      </w:r>
    </w:p>
    <w:tbl>
      <w:tblPr>
        <w:tblStyle w:val="4"/>
        <w:tblW w:w="874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6"/>
        <w:gridCol w:w="1389"/>
        <w:gridCol w:w="2099"/>
        <w:gridCol w:w="3631"/>
        <w:gridCol w:w="8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  <w:jc w:val="center"/>
        </w:trPr>
        <w:tc>
          <w:tcPr>
            <w:tcW w:w="796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8" w:line="560" w:lineRule="exact"/>
              <w:ind w:left="18" w:leftChars="0" w:right="138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编号</w:t>
            </w:r>
          </w:p>
        </w:tc>
        <w:tc>
          <w:tcPr>
            <w:tcW w:w="1389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22" w:line="560" w:lineRule="exact"/>
              <w:ind w:left="18" w:leftChars="0" w:right="129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所属区域</w:t>
            </w:r>
          </w:p>
        </w:tc>
        <w:tc>
          <w:tcPr>
            <w:tcW w:w="2099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22" w:line="560" w:lineRule="exact"/>
              <w:ind w:left="18" w:leftChars="0" w:right="105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名称</w:t>
            </w:r>
          </w:p>
        </w:tc>
        <w:tc>
          <w:tcPr>
            <w:tcW w:w="3631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22" w:line="560" w:lineRule="exact"/>
              <w:ind w:left="0" w:leftChars="0" w:right="-29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功能区位置</w:t>
            </w:r>
          </w:p>
        </w:tc>
        <w:tc>
          <w:tcPr>
            <w:tcW w:w="825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8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5" w:hRule="atLeast"/>
          <w:jc w:val="center"/>
        </w:trPr>
        <w:tc>
          <w:tcPr>
            <w:tcW w:w="7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1-1</w:t>
            </w:r>
          </w:p>
        </w:tc>
        <w:tc>
          <w:tcPr>
            <w:tcW w:w="13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新市区</w:t>
            </w:r>
          </w:p>
        </w:tc>
        <w:tc>
          <w:tcPr>
            <w:tcW w:w="209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32"/>
                <w:lang w:val="en-US" w:eastAsia="zh-CN" w:bidi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类声环境功能区</w:t>
            </w:r>
          </w:p>
        </w:tc>
        <w:tc>
          <w:tcPr>
            <w:tcW w:w="36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东起深圳路，西至北京路，南至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32"/>
                <w:lang w:val="en-US" w:eastAsia="zh-CN" w:bidi="zh-CN"/>
              </w:rPr>
              <w:t>G312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国道，北至塔里木河路的部分区域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9" w:hRule="atLeast"/>
          <w:jc w:val="center"/>
        </w:trPr>
        <w:tc>
          <w:tcPr>
            <w:tcW w:w="7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</w:t>
            </w:r>
          </w:p>
        </w:tc>
        <w:tc>
          <w:tcPr>
            <w:tcW w:w="13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城南新区</w:t>
            </w:r>
          </w:p>
        </w:tc>
        <w:tc>
          <w:tcPr>
            <w:tcW w:w="209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32"/>
                <w:lang w:val="en-US" w:eastAsia="zh-CN" w:bidi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类声环境功能区</w:t>
            </w:r>
          </w:p>
        </w:tc>
        <w:tc>
          <w:tcPr>
            <w:tcW w:w="36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东起南宁路，西至北京路，南至珠江路，北至连霍高速的部分区域</w:t>
            </w:r>
          </w:p>
        </w:tc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138" w:right="13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</w:pPr>
      <w:r>
        <w:rPr>
          <w:rFonts w:ascii="Times New Roman" w:eastAsia="Times New Roman"/>
        </w:rPr>
        <w:t>2</w:t>
      </w:r>
      <w:r>
        <w:rPr>
          <w:rFonts w:hint="eastAsia" w:ascii="Times New Roman" w:eastAsia="宋体"/>
          <w:lang w:eastAsia="zh-CN"/>
        </w:rPr>
        <w:t>.</w:t>
      </w:r>
      <w:r>
        <w:rPr>
          <w:rFonts w:ascii="Times New Roman" w:eastAsia="Times New Roman"/>
        </w:rPr>
        <w:t>2</w:t>
      </w:r>
      <w:r>
        <w:t>类标准适用区。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宋体"/>
          <w:lang w:eastAsia="zh-CN"/>
        </w:rPr>
      </w:pPr>
      <w:r>
        <w:rPr>
          <w:rFonts w:ascii="Times New Roman" w:eastAsia="Times New Roman"/>
        </w:rPr>
        <w:t>2</w:t>
      </w:r>
      <w:r>
        <w:rPr>
          <w:rFonts w:hint="eastAsia" w:ascii="仿宋_GB2312" w:hAnsi="仿宋_GB2312" w:eastAsia="仿宋_GB2312" w:cs="仿宋_GB2312"/>
        </w:rPr>
        <w:t>类声环境功能区划方案见表</w:t>
      </w:r>
      <w:r>
        <w:rPr>
          <w:rFonts w:hint="eastAsia" w:ascii="Times New Roman" w:hAnsi="Times New Roman" w:eastAsia="仿宋_GB2312" w:cs="仿宋_GB2312"/>
        </w:rPr>
        <w:t>3</w:t>
      </w:r>
      <w:r>
        <w:rPr>
          <w:rFonts w:hint="eastAsia" w:ascii="Times New Roman" w:hAnsi="Times New Roman" w:eastAsia="宋体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/>
        <w:jc w:val="center"/>
        <w:textAlignment w:val="auto"/>
        <w:rPr>
          <w:rFonts w:hint="eastAsia" w:ascii="黑体" w:eastAsia="黑体"/>
          <w:sz w:val="24"/>
        </w:rPr>
      </w:pPr>
      <w:r>
        <w:rPr>
          <w:rFonts w:hint="eastAsia" w:ascii="黑体" w:eastAsia="黑体"/>
          <w:sz w:val="24"/>
          <w:lang w:val="en-US" w:eastAsia="zh-CN"/>
        </w:rPr>
        <w:t xml:space="preserve">   </w:t>
      </w:r>
      <w:r>
        <w:rPr>
          <w:rFonts w:hint="eastAsia" w:ascii="黑体" w:eastAsia="黑体"/>
          <w:sz w:val="24"/>
        </w:rPr>
        <w:t>表</w:t>
      </w:r>
      <w:r>
        <w:rPr>
          <w:rFonts w:ascii="Times New Roman" w:eastAsia="Times New Roman"/>
          <w:sz w:val="24"/>
        </w:rPr>
        <w:t>3</w:t>
      </w:r>
      <w:r>
        <w:rPr>
          <w:rFonts w:hint="eastAsia" w:ascii="Times New Roman" w:eastAsia="宋体"/>
          <w:sz w:val="24"/>
          <w:lang w:val="en-US" w:eastAsia="zh-CN"/>
        </w:rPr>
        <w:t xml:space="preserve">     </w:t>
      </w:r>
      <w:r>
        <w:rPr>
          <w:rFonts w:ascii="Times New Roman" w:eastAsia="Times New Roman"/>
          <w:sz w:val="24"/>
        </w:rPr>
        <w:t>2</w:t>
      </w:r>
      <w:r>
        <w:rPr>
          <w:rFonts w:hint="eastAsia" w:ascii="黑体" w:eastAsia="黑体"/>
          <w:sz w:val="24"/>
        </w:rPr>
        <w:t>类声环境功能区划</w:t>
      </w:r>
      <w:r>
        <w:rPr>
          <w:rFonts w:hint="eastAsia" w:ascii="黑体" w:eastAsia="黑体"/>
          <w:sz w:val="24"/>
          <w:lang w:val="en-US" w:eastAsia="zh-CN"/>
        </w:rPr>
        <w:t>分</w:t>
      </w:r>
      <w:r>
        <w:rPr>
          <w:rFonts w:hint="eastAsia" w:ascii="黑体" w:eastAsia="黑体"/>
          <w:sz w:val="24"/>
        </w:rPr>
        <w:t>方案</w:t>
      </w:r>
    </w:p>
    <w:tbl>
      <w:tblPr>
        <w:tblStyle w:val="4"/>
        <w:tblW w:w="877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8"/>
        <w:gridCol w:w="1352"/>
        <w:gridCol w:w="2115"/>
        <w:gridCol w:w="3586"/>
        <w:gridCol w:w="8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  <w:jc w:val="center"/>
        </w:trPr>
        <w:tc>
          <w:tcPr>
            <w:tcW w:w="838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8" w:line="560" w:lineRule="exact"/>
              <w:ind w:right="138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编号</w:t>
            </w:r>
          </w:p>
        </w:tc>
        <w:tc>
          <w:tcPr>
            <w:tcW w:w="1352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22" w:line="560" w:lineRule="exact"/>
              <w:ind w:right="129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所属区域</w:t>
            </w:r>
          </w:p>
        </w:tc>
        <w:tc>
          <w:tcPr>
            <w:tcW w:w="2115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22" w:line="560" w:lineRule="exact"/>
              <w:ind w:right="105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名称</w:t>
            </w:r>
          </w:p>
        </w:tc>
        <w:tc>
          <w:tcPr>
            <w:tcW w:w="3586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22" w:line="560" w:lineRule="exact"/>
              <w:ind w:left="0" w:leftChars="0" w:right="-29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功能区位置</w:t>
            </w:r>
          </w:p>
        </w:tc>
        <w:tc>
          <w:tcPr>
            <w:tcW w:w="888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8"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  <w:jc w:val="center"/>
        </w:trPr>
        <w:tc>
          <w:tcPr>
            <w:tcW w:w="838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8" w:line="560" w:lineRule="exact"/>
              <w:ind w:left="0" w:leftChars="0" w:right="138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2-1</w:t>
            </w:r>
          </w:p>
        </w:tc>
        <w:tc>
          <w:tcPr>
            <w:tcW w:w="1352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22" w:line="560" w:lineRule="exact"/>
              <w:ind w:left="0" w:leftChars="0" w:right="129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老城区</w:t>
            </w:r>
          </w:p>
        </w:tc>
        <w:tc>
          <w:tcPr>
            <w:tcW w:w="2115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22" w:line="560" w:lineRule="exact"/>
              <w:ind w:left="0" w:leftChars="0" w:right="105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类声环境功能区</w:t>
            </w:r>
          </w:p>
        </w:tc>
        <w:tc>
          <w:tcPr>
            <w:tcW w:w="3586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22" w:line="560" w:lineRule="exact"/>
              <w:ind w:right="-29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 xml:space="preserve">除 </w:t>
            </w:r>
            <w:r>
              <w:rPr>
                <w:rFonts w:hint="default" w:ascii="Times New Roman" w:hAnsi="Times New Roman" w:eastAsia="仿宋_GB2312" w:cs="Times New Roman"/>
                <w:spacing w:val="-30"/>
                <w:sz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pacing w:val="-30"/>
                <w:sz w:val="24"/>
                <w:lang w:val="en-US" w:eastAsia="zh-CN"/>
              </w:rPr>
              <w:t>、3、</w:t>
            </w:r>
            <w:r>
              <w:rPr>
                <w:rFonts w:hint="default" w:ascii="Times New Roman" w:hAnsi="Times New Roman" w:eastAsia="仿宋_GB2312" w:cs="Times New Roman"/>
                <w:spacing w:val="-30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类区以外的范围</w:t>
            </w:r>
          </w:p>
        </w:tc>
        <w:tc>
          <w:tcPr>
            <w:tcW w:w="888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8" w:line="560" w:lineRule="exact"/>
              <w:ind w:left="274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0" w:hRule="atLeast"/>
          <w:jc w:val="center"/>
        </w:trPr>
        <w:tc>
          <w:tcPr>
            <w:tcW w:w="838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8" w:line="560" w:lineRule="exact"/>
              <w:ind w:left="0" w:leftChars="0" w:right="138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2-2</w:t>
            </w:r>
          </w:p>
        </w:tc>
        <w:tc>
          <w:tcPr>
            <w:tcW w:w="1352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22" w:line="560" w:lineRule="exact"/>
              <w:ind w:left="0" w:leftChars="0" w:right="129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新市区</w:t>
            </w:r>
          </w:p>
        </w:tc>
        <w:tc>
          <w:tcPr>
            <w:tcW w:w="2115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22" w:line="560" w:lineRule="exact"/>
              <w:ind w:right="105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类声环境功能区</w:t>
            </w:r>
          </w:p>
        </w:tc>
        <w:tc>
          <w:tcPr>
            <w:tcW w:w="3586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22" w:line="560" w:lineRule="exact"/>
              <w:ind w:left="0" w:leftChars="0" w:right="-29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 xml:space="preserve">除 </w:t>
            </w:r>
            <w:r>
              <w:rPr>
                <w:rFonts w:hint="eastAsia" w:ascii="Times New Roman" w:hAnsi="Times New Roman" w:eastAsia="仿宋_GB2312" w:cs="Times New Roman"/>
                <w:spacing w:val="-30"/>
                <w:sz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30"/>
                <w:sz w:val="24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pacing w:val="-30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pacing w:val="-30"/>
                <w:sz w:val="24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pacing w:val="-30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类区以外的范围</w:t>
            </w:r>
          </w:p>
        </w:tc>
        <w:tc>
          <w:tcPr>
            <w:tcW w:w="888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8" w:line="560" w:lineRule="exact"/>
              <w:ind w:left="274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</w:rPr>
      </w:pPr>
      <w:r>
        <w:rPr>
          <w:rFonts w:hint="eastAsia" w:ascii="Times New Roman" w:hAnsi="Times New Roman" w:eastAsia="仿宋_GB2312" w:cs="仿宋_GB2312"/>
          <w:sz w:val="32"/>
        </w:rPr>
        <w:t>3.3类标准适用区。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z w:val="32"/>
        </w:rPr>
      </w:pPr>
      <w:r>
        <w:rPr>
          <w:rFonts w:hint="eastAsia" w:ascii="Times New Roman" w:hAnsi="Times New Roman" w:eastAsia="仿宋_GB2312" w:cs="仿宋_GB2312"/>
          <w:sz w:val="32"/>
        </w:rPr>
        <w:t>3类声环境功能区划分方案见表4。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right="0" w:firstLine="2640" w:firstLineChars="1100"/>
        <w:jc w:val="both"/>
        <w:textAlignment w:val="auto"/>
        <w:rPr>
          <w:rFonts w:hint="eastAsia" w:ascii="黑体" w:eastAsia="黑体"/>
          <w:sz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right="0" w:firstLine="2640" w:firstLineChars="1100"/>
        <w:jc w:val="both"/>
        <w:textAlignment w:val="auto"/>
        <w:rPr>
          <w:rFonts w:ascii="黑体"/>
          <w:sz w:val="9"/>
        </w:rPr>
      </w:pPr>
      <w:r>
        <w:rPr>
          <w:rFonts w:hint="eastAsia" w:ascii="黑体" w:eastAsia="黑体"/>
          <w:sz w:val="24"/>
          <w:lang w:val="en-US" w:eastAsia="zh-CN"/>
        </w:rPr>
        <w:t xml:space="preserve"> </w:t>
      </w:r>
      <w:r>
        <w:rPr>
          <w:rFonts w:hint="eastAsia" w:ascii="黑体" w:eastAsia="黑体"/>
          <w:sz w:val="24"/>
        </w:rPr>
        <w:t>表</w:t>
      </w:r>
      <w:r>
        <w:rPr>
          <w:rFonts w:ascii="Times New Roman" w:eastAsia="Times New Roman"/>
          <w:sz w:val="24"/>
        </w:rPr>
        <w:t xml:space="preserve">4 </w:t>
      </w:r>
      <w:r>
        <w:rPr>
          <w:rFonts w:hint="eastAsia" w:ascii="Times New Roman" w:eastAsia="宋体"/>
          <w:sz w:val="24"/>
          <w:lang w:val="en-US" w:eastAsia="zh-CN"/>
        </w:rPr>
        <w:t xml:space="preserve"> </w:t>
      </w:r>
      <w:r>
        <w:rPr>
          <w:rFonts w:hint="eastAsia" w:eastAsia="宋体"/>
          <w:sz w:val="24"/>
          <w:lang w:val="en-US" w:eastAsia="zh-CN"/>
        </w:rPr>
        <w:t xml:space="preserve">  </w:t>
      </w:r>
      <w:r>
        <w:rPr>
          <w:rFonts w:hint="eastAsia" w:ascii="Times New Roman" w:eastAsia="宋体"/>
          <w:sz w:val="24"/>
          <w:lang w:val="en-US" w:eastAsia="zh-CN"/>
        </w:rPr>
        <w:t xml:space="preserve"> </w:t>
      </w:r>
      <w:r>
        <w:rPr>
          <w:rFonts w:ascii="Times New Roman" w:eastAsia="Times New Roman"/>
          <w:sz w:val="24"/>
        </w:rPr>
        <w:t>3</w:t>
      </w:r>
      <w:r>
        <w:rPr>
          <w:rFonts w:hint="eastAsia" w:ascii="黑体" w:eastAsia="黑体"/>
          <w:sz w:val="24"/>
        </w:rPr>
        <w:t>类声环境功能区划</w:t>
      </w:r>
      <w:r>
        <w:rPr>
          <w:rFonts w:hint="eastAsia" w:ascii="黑体" w:eastAsia="黑体"/>
          <w:sz w:val="24"/>
          <w:lang w:val="en-US" w:eastAsia="zh-CN"/>
        </w:rPr>
        <w:t>分</w:t>
      </w:r>
      <w:r>
        <w:rPr>
          <w:rFonts w:hint="eastAsia" w:ascii="黑体" w:eastAsia="黑体"/>
          <w:sz w:val="24"/>
        </w:rPr>
        <w:t>方案</w:t>
      </w:r>
    </w:p>
    <w:tbl>
      <w:tblPr>
        <w:tblStyle w:val="4"/>
        <w:tblW w:w="885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0"/>
        <w:gridCol w:w="1425"/>
        <w:gridCol w:w="2214"/>
        <w:gridCol w:w="3520"/>
        <w:gridCol w:w="8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  <w:jc w:val="center"/>
        </w:trPr>
        <w:tc>
          <w:tcPr>
            <w:tcW w:w="810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8" w:line="560" w:lineRule="exact"/>
              <w:ind w:left="18" w:leftChars="0" w:right="138" w:rightChars="0"/>
              <w:jc w:val="center"/>
              <w:textAlignment w:val="auto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编号</w:t>
            </w:r>
          </w:p>
        </w:tc>
        <w:tc>
          <w:tcPr>
            <w:tcW w:w="1425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22" w:line="560" w:lineRule="exact"/>
              <w:ind w:left="18" w:leftChars="0" w:right="129" w:rightChars="0"/>
              <w:jc w:val="center"/>
              <w:textAlignment w:val="auto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所属区域</w:t>
            </w:r>
          </w:p>
        </w:tc>
        <w:tc>
          <w:tcPr>
            <w:tcW w:w="2214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22" w:line="560" w:lineRule="exact"/>
              <w:ind w:left="18" w:leftChars="0" w:right="105" w:rightChars="0"/>
              <w:jc w:val="center"/>
              <w:textAlignment w:val="auto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名称</w:t>
            </w:r>
          </w:p>
        </w:tc>
        <w:tc>
          <w:tcPr>
            <w:tcW w:w="3520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22" w:line="560" w:lineRule="exact"/>
              <w:ind w:left="0" w:leftChars="0" w:right="-29" w:rightChars="0" w:firstLine="0" w:firstLineChars="0"/>
              <w:jc w:val="center"/>
              <w:textAlignment w:val="auto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功能区位置</w:t>
            </w:r>
          </w:p>
        </w:tc>
        <w:tc>
          <w:tcPr>
            <w:tcW w:w="882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8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2" w:hRule="atLeast"/>
          <w:jc w:val="center"/>
        </w:trPr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zh-CN" w:bidi="zh-CN"/>
              </w:rPr>
              <w:t>3-1</w:t>
            </w:r>
          </w:p>
        </w:tc>
        <w:tc>
          <w:tcPr>
            <w:tcW w:w="1425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0" w:leftChars="0" w:right="1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zh-CN" w:bidi="zh-CN"/>
              </w:rPr>
              <w:t>乌苏工业园区（东区）</w:t>
            </w:r>
          </w:p>
        </w:tc>
        <w:tc>
          <w:tcPr>
            <w:tcW w:w="2214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right="1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zh-CN" w:bidi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right="1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zh-CN" w:bidi="zh-CN"/>
              </w:rPr>
              <w:t>类声环境功能区</w:t>
            </w:r>
          </w:p>
        </w:tc>
        <w:tc>
          <w:tcPr>
            <w:tcW w:w="35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zh-CN" w:bidi="zh-CN"/>
              </w:rPr>
              <w:t>东起抚顺路，西至深圳路，南至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32"/>
                <w:lang w:val="en-US" w:eastAsia="zh-CN" w:bidi="zh-CN"/>
              </w:rPr>
              <w:t>G312</w:t>
            </w: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zh-CN" w:bidi="zh-CN"/>
              </w:rPr>
              <w:t>国道，北至机场快速路的部分区域</w:t>
            </w:r>
          </w:p>
        </w:tc>
        <w:tc>
          <w:tcPr>
            <w:tcW w:w="882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0" w:line="560" w:lineRule="exact"/>
              <w:ind w:left="387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1" w:hRule="atLeast"/>
          <w:jc w:val="center"/>
        </w:trPr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zh-CN" w:bidi="zh-CN"/>
              </w:rPr>
              <w:t>3-2</w:t>
            </w:r>
          </w:p>
        </w:tc>
        <w:tc>
          <w:tcPr>
            <w:tcW w:w="1425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18" w:leftChars="0" w:right="1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zh-CN" w:bidi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18" w:leftChars="0" w:right="1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zh-CN" w:bidi="zh-CN"/>
              </w:rPr>
              <w:t>物流园区</w:t>
            </w:r>
          </w:p>
        </w:tc>
        <w:tc>
          <w:tcPr>
            <w:tcW w:w="2214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right="1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zh-CN" w:bidi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right="1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zh-CN" w:bidi="zh-CN"/>
              </w:rPr>
              <w:t>类声环境功能区</w:t>
            </w:r>
          </w:p>
        </w:tc>
        <w:tc>
          <w:tcPr>
            <w:tcW w:w="35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zh-CN" w:bidi="zh-CN"/>
              </w:rPr>
              <w:t>东起苏州路，西至西安南路，南至连霍高速，北至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32"/>
                <w:lang w:val="en-US" w:eastAsia="zh-CN" w:bidi="zh-CN"/>
              </w:rPr>
              <w:t>G312</w:t>
            </w: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zh-CN" w:bidi="zh-CN"/>
              </w:rPr>
              <w:t>国道的部分区域</w:t>
            </w:r>
          </w:p>
        </w:tc>
        <w:tc>
          <w:tcPr>
            <w:tcW w:w="882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87" w:line="560" w:lineRule="exact"/>
              <w:ind w:left="387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zh-CN" w:bidi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</w:rPr>
      </w:pPr>
      <w:r>
        <w:rPr>
          <w:rFonts w:hint="eastAsia" w:ascii="Times New Roman" w:hAnsi="Times New Roman" w:eastAsia="仿宋_GB2312" w:cs="仿宋_GB2312"/>
          <w:sz w:val="32"/>
        </w:rPr>
        <w:t>4.4类标准适用区。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</w:rPr>
      </w:pPr>
      <w:r>
        <w:rPr>
          <w:rFonts w:hint="eastAsia" w:ascii="Times New Roman" w:hAnsi="Times New Roman" w:eastAsia="仿宋_GB2312" w:cs="仿宋_GB2312"/>
          <w:sz w:val="32"/>
        </w:rPr>
        <w:t>（1）4a类</w:t>
      </w:r>
      <w:r>
        <w:rPr>
          <w:rFonts w:hint="eastAsia" w:eastAsia="仿宋_GB2312" w:cs="仿宋_GB2312"/>
          <w:sz w:val="32"/>
          <w:lang w:eastAsia="zh-CN"/>
        </w:rPr>
        <w:t>区域</w:t>
      </w:r>
      <w:r>
        <w:rPr>
          <w:rFonts w:hint="eastAsia" w:ascii="Times New Roman" w:hAnsi="Times New Roman" w:eastAsia="仿宋_GB2312" w:cs="仿宋_GB2312"/>
          <w:sz w:val="32"/>
        </w:rPr>
        <w:t>为高速公路、一级公路、二级公路、城市快速路、城市主干路、城市次干路、城市轨道交通（地面段）两侧一定距离范围内区域。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</w:rPr>
      </w:pPr>
      <w:r>
        <w:rPr>
          <w:rFonts w:hint="eastAsia" w:ascii="Times New Roman" w:hAnsi="Times New Roman" w:eastAsia="仿宋_GB2312" w:cs="仿宋_GB2312"/>
          <w:sz w:val="32"/>
        </w:rPr>
        <w:t>（2）当临街建筑高于三层楼房以上（含三层）时，将临街建筑面向交通干线一侧至交通干线边界线的区域定为4a类声环境功能区。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-6"/>
          <w:sz w:val="32"/>
        </w:rPr>
      </w:pPr>
      <w:r>
        <w:rPr>
          <w:rFonts w:hint="eastAsia" w:ascii="Times New Roman" w:hAnsi="Times New Roman" w:eastAsia="仿宋_GB2312" w:cs="仿宋_GB2312"/>
          <w:spacing w:val="-6"/>
          <w:sz w:val="32"/>
        </w:rPr>
        <w:t>（3）4b类区为铁路干线用地范围外两侧一定距离范围内区域。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</w:rPr>
      </w:pPr>
      <w:r>
        <w:rPr>
          <w:rFonts w:hint="eastAsia" w:ascii="Times New Roman" w:hAnsi="Times New Roman" w:eastAsia="仿宋_GB2312" w:cs="仿宋_GB2312"/>
          <w:sz w:val="32"/>
        </w:rPr>
        <w:t>4类功能区两侧距离划定要求见表5，4类</w:t>
      </w:r>
      <w:r>
        <w:rPr>
          <w:rFonts w:hint="eastAsia" w:eastAsia="仿宋_GB2312" w:cs="仿宋_GB2312"/>
          <w:sz w:val="32"/>
          <w:lang w:val="en-US" w:eastAsia="zh-CN"/>
        </w:rPr>
        <w:t>功能区</w:t>
      </w:r>
      <w:r>
        <w:rPr>
          <w:rFonts w:hint="eastAsia" w:ascii="Times New Roman" w:hAnsi="Times New Roman" w:eastAsia="仿宋_GB2312" w:cs="仿宋_GB2312"/>
          <w:sz w:val="32"/>
        </w:rPr>
        <w:t>主要道路情况见表6。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黑体"/>
          <w:sz w:val="8"/>
        </w:rPr>
      </w:pPr>
      <w:r>
        <w:rPr>
          <w:rFonts w:hint="eastAsia" w:ascii="黑体" w:eastAsia="黑体"/>
          <w:sz w:val="24"/>
          <w:lang w:val="en-US" w:eastAsia="zh-CN"/>
        </w:rPr>
        <w:t xml:space="preserve">     </w:t>
      </w:r>
      <w:r>
        <w:rPr>
          <w:rFonts w:hint="eastAsia" w:ascii="黑体" w:eastAsia="黑体"/>
          <w:sz w:val="24"/>
        </w:rPr>
        <w:t>表5</w:t>
      </w:r>
      <w:r>
        <w:rPr>
          <w:rFonts w:hint="eastAsia" w:ascii="Times New Roman" w:eastAsia="宋体"/>
          <w:sz w:val="24"/>
          <w:lang w:val="en-US" w:eastAsia="zh-CN"/>
        </w:rPr>
        <w:t xml:space="preserve"> </w:t>
      </w:r>
      <w:r>
        <w:rPr>
          <w:rFonts w:hint="eastAsia" w:eastAsia="宋体"/>
          <w:sz w:val="24"/>
          <w:lang w:val="en-US" w:eastAsia="zh-CN"/>
        </w:rPr>
        <w:t xml:space="preserve">   </w:t>
      </w:r>
      <w:r>
        <w:rPr>
          <w:rFonts w:ascii="Times New Roman" w:eastAsia="Times New Roman"/>
          <w:sz w:val="24"/>
        </w:rPr>
        <w:t>4</w:t>
      </w:r>
      <w:r>
        <w:rPr>
          <w:rFonts w:hint="eastAsia" w:ascii="黑体" w:eastAsia="黑体"/>
          <w:sz w:val="24"/>
        </w:rPr>
        <w:t>类功能区两侧距离的划定要求</w:t>
      </w:r>
    </w:p>
    <w:tbl>
      <w:tblPr>
        <w:tblStyle w:val="4"/>
        <w:tblW w:w="852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0"/>
        <w:gridCol w:w="2980"/>
        <w:gridCol w:w="2112"/>
        <w:gridCol w:w="21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  <w:jc w:val="center"/>
        </w:trPr>
        <w:tc>
          <w:tcPr>
            <w:tcW w:w="1240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560" w:lineRule="exact"/>
              <w:ind w:left="381"/>
              <w:textAlignment w:val="auto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类别</w:t>
            </w:r>
          </w:p>
        </w:tc>
        <w:tc>
          <w:tcPr>
            <w:tcW w:w="2980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560" w:lineRule="exact"/>
              <w:ind w:left="990" w:right="981"/>
              <w:jc w:val="center"/>
              <w:textAlignment w:val="auto"/>
              <w:rPr>
                <w:rFonts w:hint="eastAsia" w:ascii="黑体" w:eastAsia="黑体"/>
                <w:sz w:val="24"/>
              </w:rPr>
            </w:pPr>
            <w:bookmarkStart w:id="0" w:name="_GoBack"/>
            <w:r>
              <w:rPr>
                <w:rFonts w:hint="eastAsia" w:ascii="黑体" w:eastAsia="黑体"/>
                <w:sz w:val="24"/>
                <w:highlight w:val="none"/>
              </w:rPr>
              <w:t>源强类型</w:t>
            </w:r>
            <w:bookmarkEnd w:id="0"/>
          </w:p>
        </w:tc>
        <w:tc>
          <w:tcPr>
            <w:tcW w:w="2112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560" w:lineRule="exact"/>
              <w:ind w:left="194" w:right="189"/>
              <w:jc w:val="center"/>
              <w:textAlignment w:val="auto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相邻功能区类型</w:t>
            </w:r>
          </w:p>
        </w:tc>
        <w:tc>
          <w:tcPr>
            <w:tcW w:w="2188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560" w:lineRule="exact"/>
              <w:ind w:left="293" w:leftChars="0" w:right="286" w:rightChars="0"/>
              <w:jc w:val="center"/>
              <w:textAlignment w:val="auto"/>
            </w:pPr>
            <w:r>
              <w:rPr>
                <w:rFonts w:hint="eastAsia" w:ascii="黑体" w:eastAsia="黑体"/>
                <w:sz w:val="24"/>
              </w:rPr>
              <w:t>划分距离（m）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1240" w:type="dxa"/>
            <w:vMerge w:val="restar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" w:line="560" w:lineRule="exact"/>
              <w:ind w:left="0"/>
              <w:textAlignment w:val="auto"/>
              <w:rPr>
                <w:rFonts w:ascii="黑体"/>
                <w:sz w:val="23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388"/>
              <w:textAlignment w:val="auto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4a</w:t>
            </w:r>
            <w:r>
              <w:rPr>
                <w:rFonts w:hint="eastAsia" w:ascii="仿宋_GB2312" w:hAnsi="仿宋_GB2312" w:eastAsia="仿宋_GB2312" w:cs="仿宋_GB2312"/>
                <w:spacing w:val="-11"/>
                <w:sz w:val="24"/>
              </w:rPr>
              <w:t>类</w:t>
            </w:r>
          </w:p>
        </w:tc>
        <w:tc>
          <w:tcPr>
            <w:tcW w:w="2980" w:type="dxa"/>
            <w:vMerge w:val="restar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" w:line="560" w:lineRule="exact"/>
              <w:ind w:left="0" w:leftChars="0" w:right="97" w:firstLine="0" w:firstLineChars="0"/>
              <w:jc w:val="center"/>
              <w:textAlignment w:val="auto"/>
              <w:rPr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4"/>
              </w:rPr>
              <w:t>一级公路、二级公路、城市</w:t>
            </w:r>
            <w:r>
              <w:rPr>
                <w:rFonts w:hint="eastAsia" w:ascii="仿宋_GB2312" w:hAnsi="仿宋_GB2312" w:eastAsia="仿宋_GB2312" w:cs="仿宋_GB2312"/>
                <w:spacing w:val="-15"/>
                <w:sz w:val="24"/>
              </w:rPr>
              <w:t>主干路、城市次干路、城市轨道交通（地面段）</w:t>
            </w:r>
          </w:p>
        </w:tc>
        <w:tc>
          <w:tcPr>
            <w:tcW w:w="2112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" w:line="560" w:lineRule="exact"/>
              <w:ind w:left="0" w:leftChars="0" w:right="97" w:firstLine="0" w:firstLineChars="0"/>
              <w:jc w:val="center"/>
              <w:textAlignment w:val="auto"/>
              <w:rPr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11"/>
                <w:sz w:val="24"/>
              </w:rPr>
              <w:t>类区</w:t>
            </w:r>
          </w:p>
        </w:tc>
        <w:tc>
          <w:tcPr>
            <w:tcW w:w="2188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63" w:line="560" w:lineRule="exact"/>
              <w:ind w:left="293" w:leftChars="0" w:right="286" w:rightChars="0"/>
              <w:jc w:val="center"/>
              <w:textAlignment w:val="auto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240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sz w:val="2"/>
                <w:szCs w:val="2"/>
              </w:rPr>
            </w:pPr>
          </w:p>
        </w:tc>
        <w:tc>
          <w:tcPr>
            <w:tcW w:w="298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"/>
                <w:szCs w:val="2"/>
              </w:rPr>
            </w:pPr>
          </w:p>
        </w:tc>
        <w:tc>
          <w:tcPr>
            <w:tcW w:w="2112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0" w:line="560" w:lineRule="exact"/>
              <w:ind w:left="192" w:right="189"/>
              <w:jc w:val="center"/>
              <w:textAlignment w:val="auto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spacing w:val="-11"/>
                <w:sz w:val="24"/>
              </w:rPr>
              <w:t>类区</w:t>
            </w:r>
          </w:p>
        </w:tc>
        <w:tc>
          <w:tcPr>
            <w:tcW w:w="2188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66" w:line="560" w:lineRule="exact"/>
              <w:ind w:left="293" w:leftChars="0" w:right="286" w:rightChars="0"/>
              <w:jc w:val="center"/>
              <w:textAlignment w:val="auto"/>
            </w:pPr>
            <w:r>
              <w:rPr>
                <w:rFonts w:ascii="Times New Roman"/>
                <w:sz w:val="24"/>
              </w:rPr>
              <w:t>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1240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sz w:val="2"/>
                <w:szCs w:val="2"/>
              </w:rPr>
            </w:pPr>
          </w:p>
        </w:tc>
        <w:tc>
          <w:tcPr>
            <w:tcW w:w="298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"/>
                <w:szCs w:val="2"/>
              </w:rPr>
            </w:pPr>
          </w:p>
        </w:tc>
        <w:tc>
          <w:tcPr>
            <w:tcW w:w="2112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7" w:line="560" w:lineRule="exact"/>
              <w:ind w:left="192" w:right="189"/>
              <w:jc w:val="center"/>
              <w:textAlignment w:val="auto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spacing w:val="-11"/>
                <w:sz w:val="24"/>
              </w:rPr>
              <w:t>类区</w:t>
            </w:r>
          </w:p>
        </w:tc>
        <w:tc>
          <w:tcPr>
            <w:tcW w:w="2188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63" w:line="560" w:lineRule="exact"/>
              <w:ind w:left="293" w:leftChars="0" w:right="286" w:rightChars="0"/>
              <w:jc w:val="center"/>
              <w:textAlignment w:val="auto"/>
            </w:pPr>
            <w:r>
              <w:rPr>
                <w:rFonts w:ascii="Times New Roman"/>
                <w:sz w:val="24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1240" w:type="dxa"/>
            <w:vMerge w:val="restar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" w:line="560" w:lineRule="exact"/>
              <w:ind w:left="0"/>
              <w:textAlignment w:val="auto"/>
              <w:rPr>
                <w:rFonts w:ascii="黑体"/>
                <w:sz w:val="32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381"/>
              <w:textAlignment w:val="auto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4b</w:t>
            </w:r>
            <w:r>
              <w:rPr>
                <w:rFonts w:hint="eastAsia" w:ascii="仿宋_GB2312" w:hAnsi="仿宋_GB2312" w:eastAsia="仿宋_GB2312" w:cs="仿宋_GB2312"/>
                <w:spacing w:val="-11"/>
                <w:sz w:val="24"/>
              </w:rPr>
              <w:t>类</w:t>
            </w:r>
          </w:p>
        </w:tc>
        <w:tc>
          <w:tcPr>
            <w:tcW w:w="2980" w:type="dxa"/>
            <w:vMerge w:val="restar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" w:line="560" w:lineRule="exact"/>
              <w:ind w:left="0"/>
              <w:jc w:val="center"/>
              <w:textAlignment w:val="auto"/>
              <w:rPr>
                <w:rFonts w:ascii="黑体"/>
                <w:sz w:val="32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107"/>
              <w:jc w:val="center"/>
              <w:textAlignment w:val="auto"/>
              <w:rPr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4"/>
              </w:rPr>
              <w:t>铁路干线</w:t>
            </w:r>
          </w:p>
        </w:tc>
        <w:tc>
          <w:tcPr>
            <w:tcW w:w="2112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8" w:line="560" w:lineRule="exact"/>
              <w:ind w:left="192" w:right="189"/>
              <w:jc w:val="center"/>
              <w:textAlignment w:val="auto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11"/>
                <w:sz w:val="24"/>
              </w:rPr>
              <w:t>类区</w:t>
            </w:r>
          </w:p>
        </w:tc>
        <w:tc>
          <w:tcPr>
            <w:tcW w:w="2188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63" w:line="560" w:lineRule="exact"/>
              <w:ind w:left="293" w:leftChars="0" w:right="286" w:rightChars="0"/>
              <w:jc w:val="center"/>
              <w:textAlignment w:val="auto"/>
            </w:pPr>
            <w:r>
              <w:rPr>
                <w:rFonts w:ascii="Times New Roman"/>
                <w:sz w:val="24"/>
              </w:rPr>
              <w:t>5</w:t>
            </w: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1240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sz w:val="2"/>
                <w:szCs w:val="2"/>
              </w:rPr>
            </w:pPr>
          </w:p>
        </w:tc>
        <w:tc>
          <w:tcPr>
            <w:tcW w:w="2980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sz w:val="2"/>
                <w:szCs w:val="2"/>
              </w:rPr>
            </w:pPr>
          </w:p>
        </w:tc>
        <w:tc>
          <w:tcPr>
            <w:tcW w:w="2112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7" w:line="560" w:lineRule="exact"/>
              <w:ind w:left="192" w:right="189"/>
              <w:jc w:val="center"/>
              <w:textAlignment w:val="auto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spacing w:val="-11"/>
                <w:sz w:val="24"/>
              </w:rPr>
              <w:t>类区</w:t>
            </w:r>
          </w:p>
        </w:tc>
        <w:tc>
          <w:tcPr>
            <w:tcW w:w="2188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63" w:line="560" w:lineRule="exact"/>
              <w:ind w:left="293" w:leftChars="0" w:right="286" w:rightChars="0"/>
              <w:jc w:val="center"/>
              <w:textAlignment w:val="auto"/>
            </w:pPr>
            <w:r>
              <w:rPr>
                <w:rFonts w:hint="eastAsia" w:ascii="Times New Roman"/>
                <w:sz w:val="24"/>
                <w:lang w:val="en-US" w:eastAsia="zh-CN"/>
              </w:rPr>
              <w:t>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  <w:jc w:val="center"/>
        </w:trPr>
        <w:tc>
          <w:tcPr>
            <w:tcW w:w="1240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sz w:val="2"/>
                <w:szCs w:val="2"/>
              </w:rPr>
            </w:pPr>
          </w:p>
        </w:tc>
        <w:tc>
          <w:tcPr>
            <w:tcW w:w="2980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sz w:val="2"/>
                <w:szCs w:val="2"/>
              </w:rPr>
            </w:pPr>
          </w:p>
        </w:tc>
        <w:tc>
          <w:tcPr>
            <w:tcW w:w="2112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7" w:line="560" w:lineRule="exact"/>
              <w:ind w:left="192" w:right="189"/>
              <w:jc w:val="center"/>
              <w:textAlignment w:val="auto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spacing w:val="-11"/>
                <w:sz w:val="24"/>
              </w:rPr>
              <w:t>类区</w:t>
            </w:r>
          </w:p>
        </w:tc>
        <w:tc>
          <w:tcPr>
            <w:tcW w:w="2188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63" w:line="560" w:lineRule="exact"/>
              <w:ind w:left="293" w:leftChars="0" w:right="286" w:rightChars="0"/>
              <w:jc w:val="center"/>
              <w:textAlignment w:val="auto"/>
            </w:pPr>
            <w:r>
              <w:rPr>
                <w:rFonts w:ascii="Times New Roman"/>
                <w:sz w:val="24"/>
              </w:rPr>
              <w:t>2</w:t>
            </w: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4" w:line="560" w:lineRule="exact"/>
        <w:ind w:right="0" w:firstLine="2640" w:firstLineChars="1100"/>
        <w:jc w:val="both"/>
        <w:textAlignment w:val="auto"/>
        <w:rPr>
          <w:rFonts w:ascii="黑体"/>
          <w:sz w:val="8"/>
        </w:rPr>
      </w:pPr>
      <w:r>
        <w:rPr>
          <w:rFonts w:hint="eastAsia" w:ascii="黑体" w:eastAsia="黑体"/>
          <w:sz w:val="24"/>
        </w:rPr>
        <w:t>表</w:t>
      </w:r>
      <w:r>
        <w:rPr>
          <w:rFonts w:ascii="Times New Roman" w:eastAsia="Times New Roman"/>
          <w:sz w:val="24"/>
        </w:rPr>
        <w:t xml:space="preserve">6 </w:t>
      </w:r>
      <w:r>
        <w:rPr>
          <w:rFonts w:hint="eastAsia" w:ascii="Times New Roman" w:eastAsia="宋体"/>
          <w:sz w:val="24"/>
          <w:lang w:val="en-US" w:eastAsia="zh-CN"/>
        </w:rPr>
        <w:t xml:space="preserve">     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 xml:space="preserve"> </w:t>
      </w:r>
      <w:r>
        <w:rPr>
          <w:rFonts w:hint="eastAsia" w:eastAsia="宋体" w:cs="Times New Roman"/>
          <w:sz w:val="24"/>
          <w:lang w:val="en-US" w:eastAsia="zh-CN"/>
        </w:rPr>
        <w:t xml:space="preserve"> </w:t>
      </w:r>
      <w:r>
        <w:rPr>
          <w:rFonts w:hint="default" w:ascii="黑体" w:eastAsia="黑体"/>
          <w:sz w:val="24"/>
          <w:lang w:val="en-US" w:eastAsia="zh-CN"/>
        </w:rPr>
        <w:t>4类</w:t>
      </w:r>
      <w:r>
        <w:rPr>
          <w:rFonts w:hint="eastAsia" w:ascii="黑体" w:eastAsia="黑体"/>
          <w:sz w:val="24"/>
        </w:rPr>
        <w:t>功能区</w:t>
      </w:r>
      <w:r>
        <w:rPr>
          <w:rFonts w:hint="default" w:ascii="黑体" w:eastAsia="黑体"/>
          <w:sz w:val="24"/>
          <w:lang w:val="en-US" w:eastAsia="zh-CN"/>
        </w:rPr>
        <w:t>主要道路情况</w:t>
      </w:r>
    </w:p>
    <w:tbl>
      <w:tblPr>
        <w:tblStyle w:val="4"/>
        <w:tblW w:w="85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2"/>
        <w:gridCol w:w="858"/>
        <w:gridCol w:w="1926"/>
        <w:gridCol w:w="1464"/>
        <w:gridCol w:w="1255"/>
        <w:gridCol w:w="1290"/>
        <w:gridCol w:w="9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3" w:hRule="atLeast"/>
          <w:jc w:val="center"/>
        </w:trPr>
        <w:tc>
          <w:tcPr>
            <w:tcW w:w="7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19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道路名称</w:t>
            </w:r>
          </w:p>
        </w:tc>
        <w:tc>
          <w:tcPr>
            <w:tcW w:w="14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道路等级</w:t>
            </w:r>
          </w:p>
        </w:tc>
        <w:tc>
          <w:tcPr>
            <w:tcW w:w="12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长（m）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宽（m）</w:t>
            </w:r>
          </w:p>
        </w:tc>
        <w:tc>
          <w:tcPr>
            <w:tcW w:w="9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  <w:jc w:val="center"/>
        </w:trPr>
        <w:tc>
          <w:tcPr>
            <w:tcW w:w="7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5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4a</w:t>
            </w:r>
            <w:r>
              <w:rPr>
                <w:rFonts w:hint="eastAsia" w:ascii="仿宋_GB2312" w:hAnsi="仿宋_GB2312" w:eastAsia="仿宋_GB2312" w:cs="仿宋_GB2312"/>
                <w:spacing w:val="-11"/>
                <w:sz w:val="24"/>
              </w:rPr>
              <w:t>类</w:t>
            </w:r>
          </w:p>
        </w:tc>
        <w:tc>
          <w:tcPr>
            <w:tcW w:w="19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连霍高速</w:t>
            </w:r>
          </w:p>
        </w:tc>
        <w:tc>
          <w:tcPr>
            <w:tcW w:w="14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高速公路</w:t>
            </w:r>
          </w:p>
        </w:tc>
        <w:tc>
          <w:tcPr>
            <w:tcW w:w="12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11970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9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  <w:jc w:val="center"/>
        </w:trPr>
        <w:tc>
          <w:tcPr>
            <w:tcW w:w="7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5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机场快速路</w:t>
            </w:r>
          </w:p>
        </w:tc>
        <w:tc>
          <w:tcPr>
            <w:tcW w:w="14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快速路</w:t>
            </w:r>
          </w:p>
        </w:tc>
        <w:tc>
          <w:tcPr>
            <w:tcW w:w="12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17890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9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  <w:jc w:val="center"/>
        </w:trPr>
        <w:tc>
          <w:tcPr>
            <w:tcW w:w="7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5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G312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国道</w:t>
            </w:r>
          </w:p>
        </w:tc>
        <w:tc>
          <w:tcPr>
            <w:tcW w:w="14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国道</w:t>
            </w:r>
          </w:p>
        </w:tc>
        <w:tc>
          <w:tcPr>
            <w:tcW w:w="12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12830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9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  <w:jc w:val="center"/>
        </w:trPr>
        <w:tc>
          <w:tcPr>
            <w:tcW w:w="7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5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S258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省道</w:t>
            </w:r>
          </w:p>
        </w:tc>
        <w:tc>
          <w:tcPr>
            <w:tcW w:w="14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省道</w:t>
            </w:r>
          </w:p>
        </w:tc>
        <w:tc>
          <w:tcPr>
            <w:tcW w:w="12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990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9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  <w:jc w:val="center"/>
        </w:trPr>
        <w:tc>
          <w:tcPr>
            <w:tcW w:w="7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5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塔里木河路</w:t>
            </w:r>
          </w:p>
        </w:tc>
        <w:tc>
          <w:tcPr>
            <w:tcW w:w="14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主干道</w:t>
            </w:r>
          </w:p>
        </w:tc>
        <w:tc>
          <w:tcPr>
            <w:tcW w:w="12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11040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9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  <w:jc w:val="center"/>
        </w:trPr>
        <w:tc>
          <w:tcPr>
            <w:tcW w:w="7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5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黄河路</w:t>
            </w:r>
          </w:p>
        </w:tc>
        <w:tc>
          <w:tcPr>
            <w:tcW w:w="14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主干道</w:t>
            </w:r>
          </w:p>
        </w:tc>
        <w:tc>
          <w:tcPr>
            <w:tcW w:w="12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7460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9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  <w:jc w:val="center"/>
        </w:trPr>
        <w:tc>
          <w:tcPr>
            <w:tcW w:w="7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5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黄浦江路</w:t>
            </w:r>
          </w:p>
        </w:tc>
        <w:tc>
          <w:tcPr>
            <w:tcW w:w="14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主干道</w:t>
            </w:r>
          </w:p>
        </w:tc>
        <w:tc>
          <w:tcPr>
            <w:tcW w:w="12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7130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9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  <w:jc w:val="center"/>
        </w:trPr>
        <w:tc>
          <w:tcPr>
            <w:tcW w:w="7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5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钱塘江路</w:t>
            </w:r>
          </w:p>
        </w:tc>
        <w:tc>
          <w:tcPr>
            <w:tcW w:w="14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主干道</w:t>
            </w:r>
          </w:p>
        </w:tc>
        <w:tc>
          <w:tcPr>
            <w:tcW w:w="12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6300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9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  <w:jc w:val="center"/>
        </w:trPr>
        <w:tc>
          <w:tcPr>
            <w:tcW w:w="7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5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金沙江路</w:t>
            </w:r>
          </w:p>
        </w:tc>
        <w:tc>
          <w:tcPr>
            <w:tcW w:w="14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主干道</w:t>
            </w:r>
          </w:p>
        </w:tc>
        <w:tc>
          <w:tcPr>
            <w:tcW w:w="12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6270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9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  <w:jc w:val="center"/>
        </w:trPr>
        <w:tc>
          <w:tcPr>
            <w:tcW w:w="7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5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珠江路</w:t>
            </w:r>
          </w:p>
        </w:tc>
        <w:tc>
          <w:tcPr>
            <w:tcW w:w="14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主干道</w:t>
            </w:r>
          </w:p>
        </w:tc>
        <w:tc>
          <w:tcPr>
            <w:tcW w:w="12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6210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9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  <w:jc w:val="center"/>
        </w:trPr>
        <w:tc>
          <w:tcPr>
            <w:tcW w:w="7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85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塔城路</w:t>
            </w:r>
          </w:p>
        </w:tc>
        <w:tc>
          <w:tcPr>
            <w:tcW w:w="14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主干道</w:t>
            </w:r>
          </w:p>
        </w:tc>
        <w:tc>
          <w:tcPr>
            <w:tcW w:w="12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5480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9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  <w:jc w:val="center"/>
        </w:trPr>
        <w:tc>
          <w:tcPr>
            <w:tcW w:w="7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5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北京路</w:t>
            </w:r>
          </w:p>
        </w:tc>
        <w:tc>
          <w:tcPr>
            <w:tcW w:w="14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主干道</w:t>
            </w:r>
          </w:p>
        </w:tc>
        <w:tc>
          <w:tcPr>
            <w:tcW w:w="12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5050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9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8" w:hRule="atLeast"/>
          <w:jc w:val="center"/>
        </w:trPr>
        <w:tc>
          <w:tcPr>
            <w:tcW w:w="7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85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深圳路</w:t>
            </w:r>
          </w:p>
        </w:tc>
        <w:tc>
          <w:tcPr>
            <w:tcW w:w="14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主干道</w:t>
            </w:r>
          </w:p>
        </w:tc>
        <w:tc>
          <w:tcPr>
            <w:tcW w:w="12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6710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9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  <w:jc w:val="center"/>
        </w:trPr>
        <w:tc>
          <w:tcPr>
            <w:tcW w:w="7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85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营口路</w:t>
            </w:r>
          </w:p>
        </w:tc>
        <w:tc>
          <w:tcPr>
            <w:tcW w:w="14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主干道</w:t>
            </w:r>
          </w:p>
        </w:tc>
        <w:tc>
          <w:tcPr>
            <w:tcW w:w="12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5270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9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  <w:jc w:val="center"/>
        </w:trPr>
        <w:tc>
          <w:tcPr>
            <w:tcW w:w="7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5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抚顺路</w:t>
            </w:r>
          </w:p>
        </w:tc>
        <w:tc>
          <w:tcPr>
            <w:tcW w:w="14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主干道</w:t>
            </w:r>
          </w:p>
        </w:tc>
        <w:tc>
          <w:tcPr>
            <w:tcW w:w="12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7770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9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  <w:jc w:val="center"/>
        </w:trPr>
        <w:tc>
          <w:tcPr>
            <w:tcW w:w="7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85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佛山路</w:t>
            </w:r>
          </w:p>
        </w:tc>
        <w:tc>
          <w:tcPr>
            <w:tcW w:w="14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主干道</w:t>
            </w:r>
          </w:p>
        </w:tc>
        <w:tc>
          <w:tcPr>
            <w:tcW w:w="12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2480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9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  <w:jc w:val="center"/>
        </w:trPr>
        <w:tc>
          <w:tcPr>
            <w:tcW w:w="7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85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上海路</w:t>
            </w:r>
          </w:p>
        </w:tc>
        <w:tc>
          <w:tcPr>
            <w:tcW w:w="14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主干道</w:t>
            </w:r>
          </w:p>
        </w:tc>
        <w:tc>
          <w:tcPr>
            <w:tcW w:w="12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1390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9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  <w:jc w:val="center"/>
        </w:trPr>
        <w:tc>
          <w:tcPr>
            <w:tcW w:w="7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85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松花江路</w:t>
            </w:r>
          </w:p>
        </w:tc>
        <w:tc>
          <w:tcPr>
            <w:tcW w:w="14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次干道</w:t>
            </w:r>
          </w:p>
        </w:tc>
        <w:tc>
          <w:tcPr>
            <w:tcW w:w="12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9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  <w:jc w:val="center"/>
        </w:trPr>
        <w:tc>
          <w:tcPr>
            <w:tcW w:w="7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85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海河路</w:t>
            </w:r>
          </w:p>
        </w:tc>
        <w:tc>
          <w:tcPr>
            <w:tcW w:w="14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次干道</w:t>
            </w:r>
          </w:p>
        </w:tc>
        <w:tc>
          <w:tcPr>
            <w:tcW w:w="12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8300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8" w:hRule="atLeast"/>
          <w:jc w:val="center"/>
        </w:trPr>
        <w:tc>
          <w:tcPr>
            <w:tcW w:w="7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5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乌鲁木齐路</w:t>
            </w:r>
          </w:p>
        </w:tc>
        <w:tc>
          <w:tcPr>
            <w:tcW w:w="14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次干道</w:t>
            </w:r>
          </w:p>
        </w:tc>
        <w:tc>
          <w:tcPr>
            <w:tcW w:w="12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2600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9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  <w:jc w:val="center"/>
        </w:trPr>
        <w:tc>
          <w:tcPr>
            <w:tcW w:w="7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85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重庆路</w:t>
            </w:r>
          </w:p>
        </w:tc>
        <w:tc>
          <w:tcPr>
            <w:tcW w:w="14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次干道</w:t>
            </w:r>
          </w:p>
        </w:tc>
        <w:tc>
          <w:tcPr>
            <w:tcW w:w="12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3700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9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  <w:jc w:val="center"/>
        </w:trPr>
        <w:tc>
          <w:tcPr>
            <w:tcW w:w="7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85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大连路</w:t>
            </w:r>
          </w:p>
        </w:tc>
        <w:tc>
          <w:tcPr>
            <w:tcW w:w="14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次干道</w:t>
            </w:r>
          </w:p>
        </w:tc>
        <w:tc>
          <w:tcPr>
            <w:tcW w:w="12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1268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9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  <w:jc w:val="center"/>
        </w:trPr>
        <w:tc>
          <w:tcPr>
            <w:tcW w:w="7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85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伊犁河路</w:t>
            </w:r>
          </w:p>
        </w:tc>
        <w:tc>
          <w:tcPr>
            <w:tcW w:w="14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次干道</w:t>
            </w:r>
          </w:p>
        </w:tc>
        <w:tc>
          <w:tcPr>
            <w:tcW w:w="12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  <w:jc w:val="center"/>
        </w:trPr>
        <w:tc>
          <w:tcPr>
            <w:tcW w:w="7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85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西安路</w:t>
            </w:r>
          </w:p>
        </w:tc>
        <w:tc>
          <w:tcPr>
            <w:tcW w:w="14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次干道</w:t>
            </w:r>
          </w:p>
        </w:tc>
        <w:tc>
          <w:tcPr>
            <w:tcW w:w="12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7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4b</w:t>
            </w:r>
            <w:r>
              <w:rPr>
                <w:rFonts w:hint="eastAsia" w:ascii="仿宋_GB2312" w:hAnsi="仿宋_GB2312" w:eastAsia="仿宋_GB2312" w:cs="仿宋_GB2312"/>
                <w:spacing w:val="-11"/>
                <w:sz w:val="24"/>
              </w:rPr>
              <w:t>类</w:t>
            </w:r>
          </w:p>
        </w:tc>
        <w:tc>
          <w:tcPr>
            <w:tcW w:w="19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兰新线</w:t>
            </w:r>
          </w:p>
        </w:tc>
        <w:tc>
          <w:tcPr>
            <w:tcW w:w="14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</w:t>
            </w:r>
          </w:p>
        </w:tc>
        <w:tc>
          <w:tcPr>
            <w:tcW w:w="12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105100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10.78</w:t>
            </w:r>
          </w:p>
        </w:tc>
        <w:tc>
          <w:tcPr>
            <w:tcW w:w="9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</w:rPr>
        <w:t>（二）其他规定。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</w:rPr>
      </w:pPr>
      <w:r>
        <w:rPr>
          <w:rFonts w:hint="eastAsia" w:ascii="Times New Roman" w:hAnsi="Times New Roman" w:eastAsia="仿宋_GB2312" w:cs="仿宋_GB2312"/>
          <w:sz w:val="32"/>
        </w:rPr>
        <w:t>1.乡村区域。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</w:rPr>
        <w:t>（1）位于乡村的康复疗养区执行0类声环境功能区要求</w:t>
      </w:r>
      <w:r>
        <w:rPr>
          <w:rFonts w:hint="eastAsia" w:eastAsia="仿宋_GB2312" w:cs="仿宋_GB2312"/>
          <w:sz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</w:rPr>
        <w:t>（2）村庄原则上执行1类声环境功能区要求，工业活动较多的村庄及有交通干线经过的村庄（指执行4类声环境功能区要求以外的地区）可局部或全部执行2类声环境功能区要求</w:t>
      </w:r>
      <w:r>
        <w:rPr>
          <w:rFonts w:hint="eastAsia" w:eastAsia="仿宋_GB2312" w:cs="仿宋_GB2312"/>
          <w:sz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</w:rPr>
        <w:t>（3）集镇执行2类声环境功能区要求</w:t>
      </w:r>
      <w:r>
        <w:rPr>
          <w:rFonts w:hint="eastAsia" w:eastAsia="仿宋_GB2312" w:cs="仿宋_GB2312"/>
          <w:sz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</w:rPr>
        <w:t>（4）独立于村庄、集镇之外的工业、仓储、物流集中区执行3类声环境功能区要求</w:t>
      </w:r>
      <w:r>
        <w:rPr>
          <w:rFonts w:hint="eastAsia" w:eastAsia="仿宋_GB2312" w:cs="仿宋_GB2312"/>
          <w:sz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</w:rPr>
      </w:pPr>
      <w:r>
        <w:rPr>
          <w:rFonts w:hint="eastAsia" w:ascii="Times New Roman" w:hAnsi="Times New Roman" w:eastAsia="仿宋_GB2312" w:cs="仿宋_GB2312"/>
          <w:sz w:val="32"/>
        </w:rPr>
        <w:t>（5）位于交通干线两侧一定距离（参考GB/T15190第8.3条规定）内的噪声敏感建筑物执行4类声环境功能区要求。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</w:rPr>
      </w:pPr>
      <w:r>
        <w:rPr>
          <w:rFonts w:hint="eastAsia" w:ascii="Times New Roman" w:hAnsi="Times New Roman" w:eastAsia="仿宋_GB2312" w:cs="仿宋_GB2312"/>
          <w:sz w:val="32"/>
        </w:rPr>
        <w:t>2.其他区域。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</w:rPr>
        <w:t>（1）大型工业区中的生活小区，根据其与生产现场的距离和环境噪声现状水平，可从工业区中划出，定为2类或1类声环境功能区</w:t>
      </w:r>
      <w:r>
        <w:rPr>
          <w:rFonts w:hint="eastAsia" w:eastAsia="仿宋_GB2312" w:cs="仿宋_GB2312"/>
          <w:sz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</w:rPr>
        <w:t>（2）铁路和城市轨道交通（地面）场站、公交枢纽、港口站场、高速公路服务区等具有一定规模的交通服务区域，划为4a类或4b类声环境功能区</w:t>
      </w:r>
      <w:r>
        <w:rPr>
          <w:rFonts w:hint="eastAsia" w:eastAsia="仿宋_GB2312" w:cs="仿宋_GB2312"/>
          <w:sz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</w:rPr>
        <w:t>（3）近期内区域功能与规划目标相差较大的区域，以用地现状作为区划的主要依据；随着城市规划的逐步实现，及时调整声环境功能区</w:t>
      </w:r>
      <w:r>
        <w:rPr>
          <w:rFonts w:hint="eastAsia" w:eastAsia="仿宋_GB2312" w:cs="仿宋_GB2312"/>
          <w:sz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</w:rPr>
      </w:pPr>
      <w:r>
        <w:rPr>
          <w:rFonts w:hint="eastAsia" w:ascii="Times New Roman" w:hAnsi="Times New Roman" w:eastAsia="仿宋_GB2312" w:cs="仿宋_GB2312"/>
          <w:sz w:val="32"/>
        </w:rPr>
        <w:t>（4）未建成的规划区内，按其规划性质或按区域声环境质量现状，结合可能的发展划定区域类型。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八、其他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</w:rPr>
      </w:pPr>
      <w:r>
        <w:rPr>
          <w:rFonts w:hint="eastAsia" w:ascii="Times New Roman" w:hAnsi="Times New Roman" w:eastAsia="仿宋_GB2312" w:cs="仿宋_GB2312"/>
          <w:sz w:val="32"/>
        </w:rPr>
        <w:t>（一）本方案自公布之日起实施。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</w:rPr>
      </w:pPr>
      <w:r>
        <w:rPr>
          <w:rFonts w:hint="eastAsia" w:ascii="Times New Roman" w:hAnsi="Times New Roman" w:eastAsia="仿宋_GB2312" w:cs="仿宋_GB2312"/>
          <w:sz w:val="32"/>
        </w:rPr>
        <w:t>（二）本方案由塔城地区生态环境局乌苏市分局负责解释。</w:t>
      </w:r>
    </w:p>
    <w:p/>
    <w:sectPr>
      <w:pgSz w:w="11906" w:h="16838"/>
      <w:pgMar w:top="2098" w:right="1474" w:bottom="1984" w:left="1587" w:header="708" w:footer="709" w:gutter="0"/>
      <w:pgNumType w:fmt="decimal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hMGI1ZmUzNGRlZTQ0OTEzMDRkNWVjMmRmNTBlNTIifQ=="/>
  </w:docVars>
  <w:rsids>
    <w:rsidRoot w:val="2F2A30D0"/>
    <w:rsid w:val="0E1D61CF"/>
    <w:rsid w:val="13461465"/>
    <w:rsid w:val="1CCB49AB"/>
    <w:rsid w:val="22A849DF"/>
    <w:rsid w:val="251C3290"/>
    <w:rsid w:val="2F2A30D0"/>
    <w:rsid w:val="31AC0FF9"/>
    <w:rsid w:val="361325D1"/>
    <w:rsid w:val="4DCA0DED"/>
    <w:rsid w:val="4DE62BBB"/>
    <w:rsid w:val="555C2F56"/>
    <w:rsid w:val="5AF947B5"/>
    <w:rsid w:val="6F812D13"/>
    <w:rsid w:val="72EC416F"/>
    <w:rsid w:val="78582CE9"/>
    <w:rsid w:val="785B4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cs="仿宋_GB2312" w:eastAsiaTheme="minorEastAsia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内"/>
    <w:basedOn w:val="1"/>
    <w:qFormat/>
    <w:uiPriority w:val="0"/>
    <w:pPr>
      <w:ind w:firstLine="0" w:firstLineChars="0"/>
      <w:jc w:val="left"/>
    </w:pPr>
    <w:rPr>
      <w:b/>
      <w:sz w:val="30"/>
    </w:r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customStyle="1" w:styleId="6">
    <w:name w:val="样式2"/>
    <w:basedOn w:val="1"/>
    <w:qFormat/>
    <w:uiPriority w:val="0"/>
    <w:rPr>
      <w:rFonts w:hint="eastAsia"/>
    </w:rPr>
  </w:style>
  <w:style w:type="paragraph" w:customStyle="1" w:styleId="7">
    <w:name w:val="Table Paragraph"/>
    <w:basedOn w:val="1"/>
    <w:qFormat/>
    <w:uiPriority w:val="1"/>
    <w:pPr>
      <w:ind w:left="18"/>
    </w:pPr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2966</Words>
  <Characters>3309</Characters>
  <Lines>0</Lines>
  <Paragraphs>0</Paragraphs>
  <TotalTime>3</TotalTime>
  <ScaleCrop>false</ScaleCrop>
  <LinksUpToDate>false</LinksUpToDate>
  <CharactersWithSpaces>3418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2024-12-05T08:31:00Z</dcterms:created>
  <dc:creator>海洋之星</dc:creator>
  <cp:lastModifiedBy>喜文</cp:lastModifiedBy>
  <dcterms:modified xsi:type="dcterms:W3CDTF">2024-12-09T03:45:47Z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C2A3F0E995FF4527A27D93B38C83BD32</vt:lpwstr>
  </property>
</Properties>
</file>