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345" w:tblpY="1578"/>
        <w:tblOverlap w:val="never"/>
        <w:tblW w:w="139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70"/>
        <w:gridCol w:w="1275"/>
        <w:gridCol w:w="3000"/>
        <w:gridCol w:w="3375"/>
        <w:gridCol w:w="5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1845" w:type="dxa"/>
            <w:gridSpan w:val="2"/>
            <w:tcBorders>
              <w:top w:val="nil"/>
              <w:left w:val="nil"/>
              <w:bottom w:val="nil"/>
              <w:right w:val="nil"/>
            </w:tcBorders>
            <w:shd w:val="clear" w:color="auto" w:fill="auto"/>
            <w:noWrap/>
            <w:tcMar>
              <w:top w:w="10" w:type="dxa"/>
              <w:left w:w="10" w:type="dxa"/>
              <w:right w:w="10" w:type="dxa"/>
            </w:tcMar>
            <w:textDirection w:val="tbRl"/>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38100</wp:posOffset>
                  </wp:positionH>
                  <wp:positionV relativeFrom="paragraph">
                    <wp:posOffset>28575</wp:posOffset>
                  </wp:positionV>
                  <wp:extent cx="1057275" cy="352425"/>
                  <wp:effectExtent l="0" t="0" r="9525" b="3175"/>
                  <wp:wrapNone/>
                  <wp:docPr id="1" name="文本框_1"/>
                  <wp:cNvGraphicFramePr/>
                  <a:graphic xmlns:a="http://schemas.openxmlformats.org/drawingml/2006/main">
                    <a:graphicData uri="http://schemas.openxmlformats.org/drawingml/2006/picture">
                      <pic:pic xmlns:pic="http://schemas.openxmlformats.org/drawingml/2006/picture">
                        <pic:nvPicPr>
                          <pic:cNvPr id="1" name="文本框_1"/>
                          <pic:cNvPicPr/>
                        </pic:nvPicPr>
                        <pic:blipFill>
                          <a:blip/>
                          <a:stretch>
                            <a:fillRect/>
                          </a:stretch>
                        </pic:blipFill>
                        <pic:spPr>
                          <a:xfrm>
                            <a:off x="0" y="0"/>
                            <a:ext cx="1057275" cy="352425"/>
                          </a:xfrm>
                          <a:prstGeom prst="rect">
                            <a:avLst/>
                          </a:prstGeom>
                          <a:noFill/>
                          <a:ln>
                            <a:noFill/>
                          </a:ln>
                        </pic:spPr>
                      </pic:pic>
                    </a:graphicData>
                  </a:graphic>
                </wp:anchor>
              </w:drawing>
            </w:r>
          </w:p>
        </w:tc>
        <w:tc>
          <w:tcPr>
            <w:tcW w:w="3000" w:type="dxa"/>
            <w:tcBorders>
              <w:top w:val="nil"/>
              <w:left w:val="nil"/>
              <w:bottom w:val="nil"/>
              <w:right w:val="nil"/>
            </w:tcBorders>
            <w:shd w:val="clear" w:color="auto" w:fill="auto"/>
            <w:noWrap/>
            <w:tcMar>
              <w:top w:w="10" w:type="dxa"/>
              <w:left w:w="10" w:type="dxa"/>
              <w:right w:w="10" w:type="dxa"/>
            </w:tcMar>
            <w:vAlign w:val="bottom"/>
          </w:tcPr>
          <w:p>
            <w:pPr>
              <w:rPr>
                <w:rFonts w:hint="eastAsia" w:ascii="宋体" w:hAnsi="宋体" w:eastAsia="宋体" w:cs="宋体"/>
                <w:i w:val="0"/>
                <w:color w:val="000000"/>
                <w:sz w:val="24"/>
                <w:szCs w:val="24"/>
                <w:u w:val="single"/>
              </w:rPr>
            </w:pPr>
          </w:p>
        </w:tc>
        <w:tc>
          <w:tcPr>
            <w:tcW w:w="3375" w:type="dxa"/>
            <w:tcBorders>
              <w:top w:val="nil"/>
              <w:left w:val="nil"/>
              <w:bottom w:val="nil"/>
              <w:right w:val="nil"/>
            </w:tcBorders>
            <w:shd w:val="clear" w:color="auto" w:fill="auto"/>
            <w:noWrap/>
            <w:tcMar>
              <w:top w:w="10" w:type="dxa"/>
              <w:left w:w="10" w:type="dxa"/>
              <w:right w:w="10" w:type="dxa"/>
            </w:tcMar>
            <w:vAlign w:val="bottom"/>
          </w:tcPr>
          <w:p>
            <w:pPr>
              <w:rPr>
                <w:rFonts w:hint="eastAsia" w:ascii="宋体" w:hAnsi="宋体" w:eastAsia="宋体" w:cs="宋体"/>
                <w:i w:val="0"/>
                <w:color w:val="000000"/>
                <w:sz w:val="24"/>
                <w:szCs w:val="24"/>
                <w:u w:val="none"/>
              </w:rPr>
            </w:pPr>
          </w:p>
        </w:tc>
        <w:tc>
          <w:tcPr>
            <w:tcW w:w="5730" w:type="dxa"/>
            <w:tcBorders>
              <w:top w:val="nil"/>
              <w:left w:val="nil"/>
              <w:bottom w:val="nil"/>
              <w:right w:val="nil"/>
            </w:tcBorders>
            <w:shd w:val="clear" w:color="auto" w:fill="auto"/>
            <w:noWrap/>
            <w:tcMar>
              <w:top w:w="10" w:type="dxa"/>
              <w:left w:w="10" w:type="dxa"/>
              <w:right w:w="10" w:type="dxa"/>
            </w:tcMar>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570" w:type="dxa"/>
            <w:tcBorders>
              <w:top w:val="nil"/>
              <w:left w:val="nil"/>
              <w:bottom w:val="nil"/>
              <w:right w:val="nil"/>
            </w:tcBorders>
            <w:shd w:val="clear" w:color="auto" w:fill="auto"/>
            <w:noWrap/>
            <w:tcMar>
              <w:top w:w="10" w:type="dxa"/>
              <w:left w:w="10" w:type="dxa"/>
              <w:right w:w="10" w:type="dxa"/>
            </w:tcMar>
            <w:textDirection w:val="tbRl"/>
            <w:vAlign w:val="center"/>
          </w:tcPr>
          <w:p>
            <w:pPr>
              <w:jc w:val="center"/>
              <w:rPr>
                <w:rFonts w:hint="eastAsia" w:ascii="宋体" w:hAnsi="宋体" w:eastAsia="宋体" w:cs="宋体"/>
                <w:i w:val="0"/>
                <w:color w:val="000000"/>
                <w:sz w:val="18"/>
                <w:szCs w:val="18"/>
                <w:u w:val="none"/>
              </w:rPr>
            </w:pPr>
          </w:p>
        </w:tc>
        <w:tc>
          <w:tcPr>
            <w:tcW w:w="1275" w:type="dxa"/>
            <w:tcBorders>
              <w:top w:val="nil"/>
              <w:left w:val="nil"/>
              <w:bottom w:val="nil"/>
              <w:right w:val="nil"/>
            </w:tcBorders>
            <w:shd w:val="clear" w:color="auto" w:fill="auto"/>
            <w:noWrap/>
            <w:tcMar>
              <w:top w:w="10" w:type="dxa"/>
              <w:left w:w="10" w:type="dxa"/>
              <w:right w:w="10" w:type="dxa"/>
            </w:tcMar>
            <w:textDirection w:val="tbRl"/>
            <w:vAlign w:val="center"/>
          </w:tcPr>
          <w:p>
            <w:pPr>
              <w:jc w:val="center"/>
              <w:rPr>
                <w:rFonts w:hint="eastAsia" w:ascii="宋体" w:hAnsi="宋体" w:eastAsia="宋体" w:cs="宋体"/>
                <w:i w:val="0"/>
                <w:color w:val="000000"/>
                <w:sz w:val="18"/>
                <w:szCs w:val="18"/>
                <w:u w:val="none"/>
              </w:rPr>
            </w:pPr>
          </w:p>
        </w:tc>
        <w:tc>
          <w:tcPr>
            <w:tcW w:w="3000" w:type="dxa"/>
            <w:tcBorders>
              <w:top w:val="nil"/>
              <w:left w:val="nil"/>
              <w:bottom w:val="nil"/>
              <w:right w:val="nil"/>
            </w:tcBorders>
            <w:shd w:val="clear" w:color="auto" w:fill="auto"/>
            <w:noWrap/>
            <w:tcMar>
              <w:top w:w="10" w:type="dxa"/>
              <w:left w:w="10" w:type="dxa"/>
              <w:right w:w="10" w:type="dxa"/>
            </w:tcMar>
            <w:vAlign w:val="bottom"/>
          </w:tcPr>
          <w:p>
            <w:pPr>
              <w:rPr>
                <w:rFonts w:hint="eastAsia" w:ascii="宋体" w:hAnsi="宋体" w:eastAsia="宋体" w:cs="宋体"/>
                <w:i w:val="0"/>
                <w:color w:val="000000"/>
                <w:sz w:val="24"/>
                <w:szCs w:val="24"/>
                <w:u w:val="single"/>
              </w:rPr>
            </w:pPr>
          </w:p>
        </w:tc>
        <w:tc>
          <w:tcPr>
            <w:tcW w:w="3375" w:type="dxa"/>
            <w:tcBorders>
              <w:top w:val="nil"/>
              <w:left w:val="nil"/>
              <w:bottom w:val="nil"/>
              <w:right w:val="nil"/>
            </w:tcBorders>
            <w:shd w:val="clear" w:color="auto" w:fill="auto"/>
            <w:noWrap/>
            <w:tcMar>
              <w:top w:w="10" w:type="dxa"/>
              <w:left w:w="10" w:type="dxa"/>
              <w:right w:w="10" w:type="dxa"/>
            </w:tcMar>
            <w:vAlign w:val="bottom"/>
          </w:tcPr>
          <w:p>
            <w:pPr>
              <w:rPr>
                <w:rFonts w:hint="eastAsia" w:ascii="宋体" w:hAnsi="宋体" w:eastAsia="宋体" w:cs="宋体"/>
                <w:i w:val="0"/>
                <w:color w:val="000000"/>
                <w:sz w:val="24"/>
                <w:szCs w:val="24"/>
                <w:u w:val="none"/>
              </w:rPr>
            </w:pPr>
          </w:p>
        </w:tc>
        <w:tc>
          <w:tcPr>
            <w:tcW w:w="5730" w:type="dxa"/>
            <w:tcBorders>
              <w:top w:val="nil"/>
              <w:left w:val="nil"/>
              <w:bottom w:val="nil"/>
              <w:right w:val="nil"/>
            </w:tcBorders>
            <w:shd w:val="clear" w:color="auto" w:fill="auto"/>
            <w:noWrap/>
            <w:tcMar>
              <w:top w:w="10" w:type="dxa"/>
              <w:left w:w="10" w:type="dxa"/>
              <w:right w:w="10" w:type="dxa"/>
            </w:tcMar>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3950" w:type="dxa"/>
            <w:gridSpan w:val="5"/>
            <w:tcBorders>
              <w:top w:val="nil"/>
              <w:left w:val="nil"/>
              <w:bottom w:val="nil"/>
              <w:right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52"/>
                <w:szCs w:val="52"/>
                <w:u w:val="none"/>
              </w:rPr>
            </w:pPr>
            <w:r>
              <w:rPr>
                <w:rFonts w:hint="eastAsia" w:ascii="方正小标宋简体" w:hAnsi="方正小标宋简体" w:eastAsia="方正小标宋简体" w:cs="方正小标宋简体"/>
                <w:i w:val="0"/>
                <w:color w:val="000000"/>
                <w:kern w:val="0"/>
                <w:sz w:val="52"/>
                <w:szCs w:val="52"/>
                <w:u w:val="none"/>
                <w:lang w:val="en-US" w:eastAsia="zh-CN" w:bidi="ar"/>
              </w:rPr>
              <w:t>全国义务教育优质均衡发展县（市、区）申报表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60" w:hRule="atLeast"/>
        </w:trPr>
        <w:tc>
          <w:tcPr>
            <w:tcW w:w="570" w:type="dxa"/>
            <w:tcBorders>
              <w:top w:val="nil"/>
              <w:left w:val="nil"/>
              <w:bottom w:val="nil"/>
              <w:right w:val="nil"/>
            </w:tcBorders>
            <w:shd w:val="clear" w:color="auto" w:fill="auto"/>
            <w:noWrap/>
            <w:tcMar>
              <w:top w:w="10" w:type="dxa"/>
              <w:left w:w="10" w:type="dxa"/>
              <w:right w:w="10" w:type="dxa"/>
            </w:tcMar>
            <w:textDirection w:val="tbRl"/>
            <w:vAlign w:val="center"/>
          </w:tcPr>
          <w:p>
            <w:pPr>
              <w:jc w:val="center"/>
              <w:rPr>
                <w:rFonts w:hint="eastAsia" w:ascii="宋体" w:hAnsi="宋体" w:eastAsia="宋体" w:cs="宋体"/>
                <w:i w:val="0"/>
                <w:color w:val="000000"/>
                <w:sz w:val="18"/>
                <w:szCs w:val="18"/>
                <w:u w:val="none"/>
              </w:rPr>
            </w:pPr>
          </w:p>
        </w:tc>
        <w:tc>
          <w:tcPr>
            <w:tcW w:w="1275" w:type="dxa"/>
            <w:tcBorders>
              <w:top w:val="nil"/>
              <w:left w:val="nil"/>
              <w:bottom w:val="nil"/>
              <w:right w:val="nil"/>
            </w:tcBorders>
            <w:shd w:val="clear" w:color="auto" w:fill="auto"/>
            <w:noWrap/>
            <w:tcMar>
              <w:top w:w="10" w:type="dxa"/>
              <w:left w:w="10" w:type="dxa"/>
              <w:right w:w="10" w:type="dxa"/>
            </w:tcMar>
            <w:vAlign w:val="center"/>
          </w:tcPr>
          <w:p>
            <w:pPr>
              <w:jc w:val="center"/>
              <w:rPr>
                <w:rFonts w:hint="eastAsia" w:ascii="黑体" w:hAnsi="宋体" w:eastAsia="黑体" w:cs="黑体"/>
                <w:i w:val="0"/>
                <w:color w:val="000000"/>
                <w:sz w:val="52"/>
                <w:szCs w:val="52"/>
                <w:u w:val="none"/>
              </w:rPr>
            </w:pPr>
          </w:p>
        </w:tc>
        <w:tc>
          <w:tcPr>
            <w:tcW w:w="3000"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single"/>
              </w:rPr>
            </w:pPr>
          </w:p>
        </w:tc>
        <w:tc>
          <w:tcPr>
            <w:tcW w:w="3375"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5730"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45" w:hRule="atLeast"/>
        </w:trPr>
        <w:tc>
          <w:tcPr>
            <w:tcW w:w="13950" w:type="dxa"/>
            <w:gridSpan w:val="5"/>
            <w:tcBorders>
              <w:top w:val="nil"/>
              <w:left w:val="nil"/>
              <w:bottom w:val="nil"/>
              <w:right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ascii="楷体_GB2312" w:hAnsi="宋体" w:eastAsia="楷体_GB2312" w:cs="楷体_GB2312"/>
                <w:b/>
                <w:i w:val="0"/>
                <w:color w:val="000000"/>
                <w:sz w:val="36"/>
                <w:szCs w:val="36"/>
                <w:u w:val="none"/>
              </w:rPr>
            </w:pPr>
            <w:r>
              <w:rPr>
                <w:rFonts w:hint="eastAsia" w:ascii="楷体_GB2312" w:hAnsi="宋体" w:eastAsia="楷体_GB2312" w:cs="楷体_GB2312"/>
                <w:b/>
                <w:i w:val="0"/>
                <w:color w:val="000000"/>
                <w:kern w:val="0"/>
                <w:sz w:val="36"/>
                <w:szCs w:val="36"/>
                <w:u w:val="none"/>
                <w:lang w:val="en-US" w:eastAsia="zh-CN" w:bidi="ar"/>
              </w:rPr>
              <w:t>新疆维吾尔自治区  塔城地区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55" w:hRule="atLeast"/>
        </w:trPr>
        <w:tc>
          <w:tcPr>
            <w:tcW w:w="13950" w:type="dxa"/>
            <w:gridSpan w:val="5"/>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36"/>
                <w:szCs w:val="36"/>
                <w:u w:val="none"/>
              </w:rPr>
            </w:pPr>
            <w:r>
              <w:rPr>
                <w:rFonts w:hint="eastAsia" w:ascii="楷体_GB2312" w:hAnsi="宋体" w:eastAsia="楷体_GB2312" w:cs="楷体_GB2312"/>
                <w:b/>
                <w:i w:val="0"/>
                <w:color w:val="000000"/>
                <w:kern w:val="0"/>
                <w:sz w:val="36"/>
                <w:szCs w:val="36"/>
                <w:u w:val="none"/>
                <w:lang w:val="en-US" w:eastAsia="zh-CN" w:bidi="ar"/>
              </w:rPr>
              <w:t>乌苏市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rPr>
        <w:tc>
          <w:tcPr>
            <w:tcW w:w="570" w:type="dxa"/>
            <w:tcBorders>
              <w:top w:val="nil"/>
              <w:left w:val="nil"/>
              <w:bottom w:val="nil"/>
              <w:right w:val="nil"/>
            </w:tcBorders>
            <w:shd w:val="clear" w:color="auto" w:fill="auto"/>
            <w:tcMar>
              <w:top w:w="10" w:type="dxa"/>
              <w:left w:w="10" w:type="dxa"/>
              <w:right w:w="10" w:type="dxa"/>
            </w:tcMar>
            <w:vAlign w:val="center"/>
          </w:tcPr>
          <w:p>
            <w:pPr>
              <w:jc w:val="center"/>
              <w:rPr>
                <w:rFonts w:hint="eastAsia" w:ascii="楷体_GB2312" w:hAnsi="宋体" w:eastAsia="楷体_GB2312" w:cs="楷体_GB2312"/>
                <w:b/>
                <w:i w:val="0"/>
                <w:color w:val="000000"/>
                <w:sz w:val="36"/>
                <w:szCs w:val="36"/>
                <w:u w:val="single"/>
              </w:rPr>
            </w:pPr>
          </w:p>
        </w:tc>
        <w:tc>
          <w:tcPr>
            <w:tcW w:w="1275" w:type="dxa"/>
            <w:tcBorders>
              <w:top w:val="nil"/>
              <w:left w:val="nil"/>
              <w:bottom w:val="nil"/>
              <w:right w:val="nil"/>
            </w:tcBorders>
            <w:shd w:val="clear" w:color="auto" w:fill="auto"/>
            <w:tcMar>
              <w:top w:w="10" w:type="dxa"/>
              <w:left w:w="10" w:type="dxa"/>
              <w:right w:w="10" w:type="dxa"/>
            </w:tcMar>
            <w:vAlign w:val="center"/>
          </w:tcPr>
          <w:p>
            <w:pPr>
              <w:jc w:val="center"/>
              <w:rPr>
                <w:rFonts w:hint="eastAsia" w:ascii="楷体_GB2312" w:hAnsi="宋体" w:eastAsia="楷体_GB2312" w:cs="楷体_GB2312"/>
                <w:b/>
                <w:i w:val="0"/>
                <w:color w:val="000000"/>
                <w:sz w:val="36"/>
                <w:szCs w:val="36"/>
                <w:u w:val="none"/>
              </w:rPr>
            </w:pPr>
          </w:p>
        </w:tc>
        <w:tc>
          <w:tcPr>
            <w:tcW w:w="3000" w:type="dxa"/>
            <w:tcBorders>
              <w:top w:val="nil"/>
              <w:left w:val="nil"/>
              <w:bottom w:val="nil"/>
              <w:right w:val="nil"/>
            </w:tcBorders>
            <w:shd w:val="clear" w:color="auto" w:fill="auto"/>
            <w:tcMar>
              <w:top w:w="10" w:type="dxa"/>
              <w:left w:w="10" w:type="dxa"/>
              <w:right w:w="10" w:type="dxa"/>
            </w:tcMar>
            <w:vAlign w:val="center"/>
          </w:tcPr>
          <w:p>
            <w:pPr>
              <w:jc w:val="center"/>
              <w:rPr>
                <w:rFonts w:hint="eastAsia" w:ascii="楷体_GB2312" w:hAnsi="宋体" w:eastAsia="楷体_GB2312" w:cs="楷体_GB2312"/>
                <w:b/>
                <w:i w:val="0"/>
                <w:color w:val="000000"/>
                <w:sz w:val="36"/>
                <w:szCs w:val="36"/>
                <w:u w:val="none"/>
              </w:rPr>
            </w:pPr>
          </w:p>
        </w:tc>
        <w:tc>
          <w:tcPr>
            <w:tcW w:w="3375" w:type="dxa"/>
            <w:tcBorders>
              <w:top w:val="nil"/>
              <w:left w:val="nil"/>
              <w:bottom w:val="nil"/>
              <w:right w:val="nil"/>
            </w:tcBorders>
            <w:shd w:val="clear" w:color="auto" w:fill="auto"/>
            <w:tcMar>
              <w:top w:w="10" w:type="dxa"/>
              <w:left w:w="10" w:type="dxa"/>
              <w:right w:w="10" w:type="dxa"/>
            </w:tcMar>
            <w:vAlign w:val="center"/>
          </w:tcPr>
          <w:p>
            <w:pPr>
              <w:jc w:val="center"/>
              <w:rPr>
                <w:rFonts w:hint="eastAsia" w:ascii="楷体_GB2312" w:hAnsi="宋体" w:eastAsia="楷体_GB2312" w:cs="楷体_GB2312"/>
                <w:b/>
                <w:i w:val="0"/>
                <w:color w:val="000000"/>
                <w:sz w:val="36"/>
                <w:szCs w:val="36"/>
                <w:u w:val="none"/>
              </w:rPr>
            </w:pPr>
          </w:p>
        </w:tc>
        <w:tc>
          <w:tcPr>
            <w:tcW w:w="5730" w:type="dxa"/>
            <w:tcBorders>
              <w:top w:val="nil"/>
              <w:left w:val="nil"/>
              <w:bottom w:val="nil"/>
              <w:right w:val="nil"/>
            </w:tcBorders>
            <w:shd w:val="clear" w:color="auto" w:fill="auto"/>
            <w:tcMar>
              <w:top w:w="10" w:type="dxa"/>
              <w:left w:w="10" w:type="dxa"/>
              <w:right w:w="10" w:type="dxa"/>
            </w:tcMar>
            <w:vAlign w:val="center"/>
          </w:tcPr>
          <w:p>
            <w:pPr>
              <w:jc w:val="center"/>
              <w:rPr>
                <w:rFonts w:hint="eastAsia" w:ascii="楷体_GB2312" w:hAnsi="宋体" w:eastAsia="楷体_GB2312" w:cs="楷体_GB2312"/>
                <w:b/>
                <w:i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85" w:hRule="atLeast"/>
        </w:trPr>
        <w:tc>
          <w:tcPr>
            <w:tcW w:w="13950" w:type="dxa"/>
            <w:gridSpan w:val="5"/>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楷体_GB2312" w:hAnsi="宋体" w:eastAsia="楷体_GB2312" w:cs="楷体_GB2312"/>
                <w:b/>
                <w:i w:val="0"/>
                <w:color w:val="000000"/>
                <w:sz w:val="36"/>
                <w:szCs w:val="36"/>
                <w:u w:val="none"/>
              </w:rPr>
            </w:pPr>
            <w:r>
              <w:rPr>
                <w:rFonts w:hint="eastAsia" w:ascii="楷体_GB2312" w:hAnsi="宋体" w:eastAsia="楷体_GB2312" w:cs="楷体_GB2312"/>
                <w:b/>
                <w:i w:val="0"/>
                <w:color w:val="000000"/>
                <w:kern w:val="0"/>
                <w:sz w:val="36"/>
                <w:szCs w:val="36"/>
                <w:u w:val="none"/>
                <w:lang w:val="en-US" w:eastAsia="zh-CN" w:bidi="ar"/>
              </w:rPr>
              <w:t>报送时间：</w:t>
            </w:r>
            <w:r>
              <w:rPr>
                <w:rStyle w:val="4"/>
                <w:rFonts w:hAnsi="宋体"/>
                <w:lang w:val="en-US" w:eastAsia="zh-CN" w:bidi="ar"/>
              </w:rPr>
              <w:t>2026年1月6日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35" w:hRule="atLeast"/>
        </w:trPr>
        <w:tc>
          <w:tcPr>
            <w:tcW w:w="13950" w:type="dxa"/>
            <w:gridSpan w:val="5"/>
            <w:tcBorders>
              <w:top w:val="nil"/>
              <w:left w:val="nil"/>
              <w:bottom w:val="nil"/>
              <w:right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36"/>
                <w:szCs w:val="36"/>
                <w:u w:val="none"/>
              </w:rPr>
            </w:pPr>
            <w:r>
              <w:rPr>
                <w:rFonts w:hint="eastAsia" w:ascii="楷体_GB2312" w:hAnsi="宋体" w:eastAsia="楷体_GB2312" w:cs="楷体_GB2312"/>
                <w:b/>
                <w:i w:val="0"/>
                <w:color w:val="000000"/>
                <w:kern w:val="0"/>
                <w:sz w:val="36"/>
                <w:szCs w:val="36"/>
                <w:u w:val="none"/>
                <w:lang w:val="en-US" w:eastAsia="zh-CN" w:bidi="ar"/>
              </w:rPr>
              <w:t xml:space="preserve">    报送单位：</w:t>
            </w:r>
            <w:r>
              <w:rPr>
                <w:rStyle w:val="5"/>
                <w:rFonts w:hAnsi="宋体"/>
                <w:lang w:val="en-US" w:eastAsia="zh-CN" w:bidi="ar"/>
              </w:rPr>
              <w:t>乌苏市人民政府（盖章）</w:t>
            </w:r>
          </w:p>
        </w:tc>
      </w:tr>
    </w:tbl>
    <w:p/>
    <w:tbl>
      <w:tblPr>
        <w:tblStyle w:val="2"/>
        <w:tblW w:w="148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99"/>
        <w:gridCol w:w="767"/>
        <w:gridCol w:w="753"/>
        <w:gridCol w:w="586"/>
        <w:gridCol w:w="585"/>
        <w:gridCol w:w="1"/>
        <w:gridCol w:w="718"/>
        <w:gridCol w:w="754"/>
        <w:gridCol w:w="699"/>
        <w:gridCol w:w="698"/>
        <w:gridCol w:w="1"/>
        <w:gridCol w:w="489"/>
        <w:gridCol w:w="490"/>
        <w:gridCol w:w="490"/>
        <w:gridCol w:w="489"/>
        <w:gridCol w:w="487"/>
        <w:gridCol w:w="2"/>
        <w:gridCol w:w="487"/>
        <w:gridCol w:w="2"/>
        <w:gridCol w:w="489"/>
        <w:gridCol w:w="488"/>
        <w:gridCol w:w="2"/>
        <w:gridCol w:w="489"/>
        <w:gridCol w:w="487"/>
        <w:gridCol w:w="2"/>
        <w:gridCol w:w="699"/>
        <w:gridCol w:w="515"/>
        <w:gridCol w:w="2"/>
        <w:gridCol w:w="517"/>
        <w:gridCol w:w="517"/>
        <w:gridCol w:w="517"/>
        <w:gridCol w:w="515"/>
        <w:gridCol w:w="1"/>
        <w:gridCol w:w="1"/>
        <w:gridCol w:w="507"/>
        <w:gridCol w:w="1"/>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19" w:hRule="atLeast"/>
        </w:trPr>
        <w:tc>
          <w:tcPr>
            <w:tcW w:w="599" w:type="dxa"/>
            <w:tcBorders>
              <w:top w:val="nil"/>
              <w:left w:val="nil"/>
              <w:bottom w:val="nil"/>
              <w:right w:val="nil"/>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767" w:type="dxa"/>
            <w:tcBorders>
              <w:top w:val="nil"/>
              <w:left w:val="nil"/>
              <w:bottom w:val="nil"/>
              <w:right w:val="nil"/>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753" w:type="dxa"/>
            <w:tcBorders>
              <w:top w:val="nil"/>
              <w:left w:val="nil"/>
              <w:bottom w:val="nil"/>
              <w:right w:val="nil"/>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6" w:type="dxa"/>
            <w:tcBorders>
              <w:top w:val="nil"/>
              <w:left w:val="nil"/>
              <w:bottom w:val="nil"/>
              <w:right w:val="nil"/>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6" w:type="dxa"/>
            <w:gridSpan w:val="2"/>
            <w:tcBorders>
              <w:top w:val="nil"/>
              <w:left w:val="nil"/>
              <w:bottom w:val="nil"/>
              <w:right w:val="nil"/>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718" w:type="dxa"/>
            <w:tcBorders>
              <w:top w:val="nil"/>
              <w:left w:val="nil"/>
              <w:bottom w:val="nil"/>
              <w:right w:val="nil"/>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754" w:type="dxa"/>
            <w:tcBorders>
              <w:top w:val="nil"/>
              <w:left w:val="nil"/>
              <w:bottom w:val="nil"/>
              <w:right w:val="nil"/>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699" w:type="dxa"/>
            <w:tcBorders>
              <w:top w:val="nil"/>
              <w:left w:val="nil"/>
              <w:bottom w:val="nil"/>
              <w:right w:val="nil"/>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699" w:type="dxa"/>
            <w:gridSpan w:val="2"/>
            <w:tcBorders>
              <w:top w:val="nil"/>
              <w:left w:val="nil"/>
              <w:bottom w:val="nil"/>
              <w:right w:val="nil"/>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489" w:type="dxa"/>
            <w:tcBorders>
              <w:top w:val="nil"/>
              <w:left w:val="nil"/>
              <w:bottom w:val="nil"/>
              <w:right w:val="nil"/>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490" w:type="dxa"/>
            <w:tcBorders>
              <w:top w:val="nil"/>
              <w:left w:val="nil"/>
              <w:bottom w:val="nil"/>
              <w:right w:val="nil"/>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490" w:type="dxa"/>
            <w:tcBorders>
              <w:top w:val="nil"/>
              <w:left w:val="nil"/>
              <w:bottom w:val="nil"/>
              <w:right w:val="nil"/>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489" w:type="dxa"/>
            <w:tcBorders>
              <w:top w:val="nil"/>
              <w:left w:val="nil"/>
              <w:bottom w:val="nil"/>
              <w:right w:val="nil"/>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489" w:type="dxa"/>
            <w:gridSpan w:val="2"/>
            <w:tcBorders>
              <w:top w:val="nil"/>
              <w:left w:val="nil"/>
              <w:bottom w:val="nil"/>
              <w:right w:val="nil"/>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489" w:type="dxa"/>
            <w:gridSpan w:val="2"/>
            <w:tcBorders>
              <w:top w:val="nil"/>
              <w:left w:val="nil"/>
              <w:bottom w:val="nil"/>
              <w:right w:val="nil"/>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489" w:type="dxa"/>
            <w:tcBorders>
              <w:top w:val="nil"/>
              <w:left w:val="nil"/>
              <w:bottom w:val="nil"/>
              <w:right w:val="nil"/>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490" w:type="dxa"/>
            <w:gridSpan w:val="2"/>
            <w:tcBorders>
              <w:top w:val="nil"/>
              <w:left w:val="nil"/>
              <w:bottom w:val="nil"/>
              <w:right w:val="nil"/>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489" w:type="dxa"/>
            <w:tcBorders>
              <w:top w:val="nil"/>
              <w:left w:val="nil"/>
              <w:bottom w:val="nil"/>
              <w:right w:val="nil"/>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489" w:type="dxa"/>
            <w:gridSpan w:val="2"/>
            <w:tcBorders>
              <w:top w:val="nil"/>
              <w:left w:val="nil"/>
              <w:bottom w:val="nil"/>
              <w:right w:val="nil"/>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699" w:type="dxa"/>
            <w:tcBorders>
              <w:top w:val="nil"/>
              <w:left w:val="nil"/>
              <w:bottom w:val="nil"/>
              <w:right w:val="nil"/>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17" w:type="dxa"/>
            <w:gridSpan w:val="2"/>
            <w:tcBorders>
              <w:top w:val="nil"/>
              <w:left w:val="nil"/>
              <w:bottom w:val="nil"/>
              <w:right w:val="nil"/>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17" w:type="dxa"/>
            <w:tcBorders>
              <w:top w:val="nil"/>
              <w:left w:val="nil"/>
              <w:bottom w:val="nil"/>
              <w:right w:val="nil"/>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17" w:type="dxa"/>
            <w:tcBorders>
              <w:top w:val="nil"/>
              <w:left w:val="nil"/>
              <w:bottom w:val="nil"/>
              <w:right w:val="nil"/>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17" w:type="dxa"/>
            <w:tcBorders>
              <w:top w:val="nil"/>
              <w:left w:val="nil"/>
              <w:bottom w:val="nil"/>
              <w:right w:val="nil"/>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17" w:type="dxa"/>
            <w:gridSpan w:val="3"/>
            <w:tcBorders>
              <w:top w:val="nil"/>
              <w:left w:val="nil"/>
              <w:bottom w:val="nil"/>
              <w:right w:val="nil"/>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09" w:type="dxa"/>
            <w:gridSpan w:val="3"/>
            <w:tcBorders>
              <w:top w:val="nil"/>
              <w:left w:val="nil"/>
              <w:bottom w:val="nil"/>
              <w:right w:val="nil"/>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2" w:type="dxa"/>
          <w:trHeight w:val="699" w:hRule="atLeast"/>
        </w:trPr>
        <w:tc>
          <w:tcPr>
            <w:tcW w:w="14336" w:type="dxa"/>
            <w:gridSpan w:val="32"/>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8"/>
                <w:szCs w:val="28"/>
                <w:u w:val="none"/>
                <w:lang w:val="en-US" w:eastAsia="zh-CN" w:bidi="ar"/>
              </w:rPr>
            </w:pPr>
          </w:p>
          <w:p>
            <w:pPr>
              <w:keepNext w:val="0"/>
              <w:keepLines w:val="0"/>
              <w:widowControl/>
              <w:suppressLineNumbers w:val="0"/>
              <w:jc w:val="center"/>
              <w:textAlignment w:val="center"/>
              <w:rPr>
                <w:rFonts w:hint="eastAsia" w:ascii="黑体" w:hAnsi="宋体" w:eastAsia="黑体" w:cs="黑体"/>
                <w:i w:val="0"/>
                <w:color w:val="000000"/>
                <w:kern w:val="0"/>
                <w:sz w:val="28"/>
                <w:szCs w:val="28"/>
                <w:u w:val="none"/>
                <w:lang w:val="en-US" w:eastAsia="zh-CN" w:bidi="ar"/>
              </w:rPr>
            </w:pPr>
          </w:p>
          <w:p>
            <w:pPr>
              <w:keepNext w:val="0"/>
              <w:keepLines w:val="0"/>
              <w:widowControl/>
              <w:suppressLineNumbers w:val="0"/>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表</w:t>
            </w:r>
            <w:r>
              <w:rPr>
                <w:rStyle w:val="6"/>
                <w:lang w:val="en-US" w:eastAsia="zh-CN" w:bidi="ar"/>
              </w:rPr>
              <w:t>I</w:t>
            </w:r>
            <w:r>
              <w:rPr>
                <w:rFonts w:hint="eastAsia" w:ascii="黑体" w:hAnsi="宋体" w:eastAsia="黑体" w:cs="黑体"/>
                <w:i w:val="0"/>
                <w:color w:val="000000"/>
                <w:kern w:val="0"/>
                <w:sz w:val="28"/>
                <w:szCs w:val="28"/>
                <w:u w:val="none"/>
                <w:lang w:val="en-US" w:eastAsia="zh-CN" w:bidi="ar"/>
              </w:rPr>
              <w:t>：义务教育优质均衡发展县(市、区)基本情况</w:t>
            </w:r>
          </w:p>
        </w:tc>
        <w:tc>
          <w:tcPr>
            <w:tcW w:w="509" w:type="dxa"/>
            <w:gridSpan w:val="3"/>
            <w:tcBorders>
              <w:top w:val="nil"/>
              <w:left w:val="nil"/>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 w:type="dxa"/>
          <w:trHeight w:val="739" w:hRule="atLeast"/>
        </w:trPr>
        <w:tc>
          <w:tcPr>
            <w:tcW w:w="599"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乌苏市</w:t>
            </w:r>
          </w:p>
        </w:tc>
        <w:tc>
          <w:tcPr>
            <w:tcW w:w="2691" w:type="dxa"/>
            <w:gridSpan w:val="4"/>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自然情况</w:t>
            </w:r>
          </w:p>
        </w:tc>
        <w:tc>
          <w:tcPr>
            <w:tcW w:w="2870" w:type="dxa"/>
            <w:gridSpan w:val="5"/>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经济情况</w:t>
            </w:r>
          </w:p>
        </w:tc>
        <w:tc>
          <w:tcPr>
            <w:tcW w:w="2446" w:type="dxa"/>
            <w:gridSpan w:val="6"/>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普通中小学校数</w:t>
            </w:r>
            <w:r>
              <w:rPr>
                <w:rStyle w:val="7"/>
                <w:lang w:val="en-US" w:eastAsia="zh-CN" w:bidi="ar"/>
              </w:rPr>
              <w:br w:type="textWrapping"/>
            </w:r>
            <w:r>
              <w:rPr>
                <w:rStyle w:val="7"/>
                <w:lang w:val="en-US" w:eastAsia="zh-CN" w:bidi="ar"/>
              </w:rPr>
              <w:t>(所)</w:t>
            </w:r>
          </w:p>
        </w:tc>
        <w:tc>
          <w:tcPr>
            <w:tcW w:w="489" w:type="dxa"/>
            <w:gridSpan w:val="2"/>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特殊教育学校</w:t>
            </w:r>
            <w:r>
              <w:rPr>
                <w:rStyle w:val="7"/>
                <w:lang w:val="en-US" w:eastAsia="zh-CN" w:bidi="ar"/>
              </w:rPr>
              <w:br w:type="textWrapping"/>
            </w:r>
            <w:r>
              <w:rPr>
                <w:rStyle w:val="7"/>
                <w:lang w:val="en-US" w:eastAsia="zh-CN" w:bidi="ar"/>
              </w:rPr>
              <w:t>(所)</w:t>
            </w:r>
          </w:p>
        </w:tc>
        <w:tc>
          <w:tcPr>
            <w:tcW w:w="979" w:type="dxa"/>
            <w:gridSpan w:val="3"/>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小学教学点数</w:t>
            </w:r>
            <w:r>
              <w:rPr>
                <w:rStyle w:val="7"/>
                <w:lang w:val="en-US" w:eastAsia="zh-CN" w:bidi="ar"/>
              </w:rPr>
              <w:t>(个)</w:t>
            </w:r>
          </w:p>
        </w:tc>
        <w:tc>
          <w:tcPr>
            <w:tcW w:w="978" w:type="dxa"/>
            <w:gridSpan w:val="3"/>
            <w:tcBorders>
              <w:top w:val="single" w:color="000000" w:sz="4" w:space="0"/>
              <w:left w:val="nil"/>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教学班数</w:t>
            </w:r>
            <w:r>
              <w:rPr>
                <w:rStyle w:val="7"/>
                <w:lang w:val="en-US" w:eastAsia="zh-CN" w:bidi="ar"/>
              </w:rPr>
              <w:br w:type="textWrapping"/>
            </w:r>
            <w:r>
              <w:rPr>
                <w:rStyle w:val="7"/>
                <w:lang w:val="en-US" w:eastAsia="zh-CN" w:bidi="ar"/>
              </w:rPr>
              <w:t>(个)</w:t>
            </w:r>
          </w:p>
        </w:tc>
        <w:tc>
          <w:tcPr>
            <w:tcW w:w="1216" w:type="dxa"/>
            <w:gridSpan w:val="3"/>
            <w:tcBorders>
              <w:top w:val="single" w:color="000000" w:sz="4" w:space="0"/>
              <w:left w:val="single" w:color="000000" w:sz="4" w:space="0"/>
              <w:bottom w:val="nil"/>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在校学生数</w:t>
            </w:r>
            <w:r>
              <w:rPr>
                <w:rStyle w:val="7"/>
                <w:lang w:val="en-US" w:eastAsia="zh-CN" w:bidi="ar"/>
              </w:rPr>
              <w:t>(人)</w:t>
            </w:r>
          </w:p>
        </w:tc>
        <w:tc>
          <w:tcPr>
            <w:tcW w:w="2069" w:type="dxa"/>
            <w:gridSpan w:val="6"/>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教职工数</w:t>
            </w:r>
            <w:r>
              <w:rPr>
                <w:rStyle w:val="7"/>
                <w:lang w:val="en-US" w:eastAsia="zh-CN" w:bidi="ar"/>
              </w:rPr>
              <w:br w:type="textWrapping"/>
            </w:r>
            <w:r>
              <w:rPr>
                <w:rStyle w:val="7"/>
                <w:lang w:val="en-US" w:eastAsia="zh-CN" w:bidi="ar"/>
              </w:rPr>
              <w:t>(人)</w:t>
            </w:r>
          </w:p>
        </w:tc>
        <w:tc>
          <w:tcPr>
            <w:tcW w:w="509" w:type="dxa"/>
            <w:gridSpan w:val="3"/>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21"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黑体" w:hAnsi="宋体" w:eastAsia="黑体" w:cs="黑体"/>
                <w:i w:val="0"/>
                <w:color w:val="000000"/>
                <w:sz w:val="20"/>
                <w:szCs w:val="20"/>
                <w:u w:val="none"/>
              </w:rPr>
            </w:pPr>
          </w:p>
        </w:tc>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人口总数</w:t>
            </w:r>
            <w:r>
              <w:rPr>
                <w:rStyle w:val="7"/>
                <w:lang w:val="en-US" w:eastAsia="zh-CN" w:bidi="ar"/>
              </w:rPr>
              <w:br w:type="textWrapping"/>
            </w:r>
            <w:r>
              <w:rPr>
                <w:rStyle w:val="7"/>
                <w:lang w:val="en-US" w:eastAsia="zh-CN" w:bidi="ar"/>
              </w:rPr>
              <w:t>(万人)</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农业人口数</w:t>
            </w:r>
            <w:r>
              <w:rPr>
                <w:rStyle w:val="7"/>
                <w:lang w:val="en-US" w:eastAsia="zh-CN" w:bidi="ar"/>
              </w:rPr>
              <w:t>(万人)</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乡镇数</w:t>
            </w:r>
            <w:r>
              <w:rPr>
                <w:rStyle w:val="7"/>
                <w:lang w:val="en-US" w:eastAsia="zh-CN" w:bidi="ar"/>
              </w:rPr>
              <w:t>(个)</w:t>
            </w:r>
          </w:p>
        </w:tc>
        <w:tc>
          <w:tcPr>
            <w:tcW w:w="5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行政村数</w:t>
            </w:r>
            <w:r>
              <w:rPr>
                <w:rStyle w:val="7"/>
                <w:lang w:val="en-US" w:eastAsia="zh-CN" w:bidi="ar"/>
              </w:rPr>
              <w:br w:type="textWrapping"/>
            </w:r>
            <w:r>
              <w:rPr>
                <w:rStyle w:val="7"/>
                <w:lang w:val="en-US" w:eastAsia="zh-CN" w:bidi="ar"/>
              </w:rPr>
              <w:t>(个)</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年人均国民生产总值</w:t>
            </w:r>
            <w:r>
              <w:rPr>
                <w:rStyle w:val="7"/>
                <w:lang w:val="en-US" w:eastAsia="zh-CN" w:bidi="ar"/>
              </w:rPr>
              <w:br w:type="textWrapping"/>
            </w:r>
            <w:r>
              <w:rPr>
                <w:rStyle w:val="7"/>
                <w:lang w:val="en-US" w:eastAsia="zh-CN" w:bidi="ar"/>
              </w:rPr>
              <w:t>(元)</w:t>
            </w:r>
          </w:p>
        </w:tc>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年人均地方财政收入</w:t>
            </w:r>
            <w:r>
              <w:rPr>
                <w:rStyle w:val="7"/>
                <w:lang w:val="en-US" w:eastAsia="zh-CN" w:bidi="ar"/>
              </w:rPr>
              <w:br w:type="textWrapping"/>
            </w:r>
            <w:r>
              <w:rPr>
                <w:rStyle w:val="7"/>
                <w:lang w:val="en-US" w:eastAsia="zh-CN" w:bidi="ar"/>
              </w:rPr>
              <w:t>(元)</w:t>
            </w:r>
          </w:p>
        </w:tc>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农民年人均纯收入</w:t>
            </w:r>
            <w:r>
              <w:rPr>
                <w:rStyle w:val="7"/>
                <w:lang w:val="en-US" w:eastAsia="zh-CN" w:bidi="ar"/>
              </w:rPr>
              <w:t>(元)</w:t>
            </w:r>
          </w:p>
        </w:tc>
        <w:tc>
          <w:tcPr>
            <w:tcW w:w="6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城镇居民年人均可支配收入</w:t>
            </w:r>
            <w:r>
              <w:rPr>
                <w:rStyle w:val="7"/>
                <w:lang w:val="en-US" w:eastAsia="zh-CN" w:bidi="ar"/>
              </w:rPr>
              <w:br w:type="textWrapping"/>
            </w:r>
            <w:r>
              <w:rPr>
                <w:rStyle w:val="7"/>
                <w:lang w:val="en-US" w:eastAsia="zh-CN" w:bidi="ar"/>
              </w:rPr>
              <w:t>(元)</w:t>
            </w:r>
          </w:p>
        </w:tc>
        <w:tc>
          <w:tcPr>
            <w:tcW w:w="489"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小学</w:t>
            </w:r>
          </w:p>
        </w:tc>
        <w:tc>
          <w:tcPr>
            <w:tcW w:w="490"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九年一贯制学校</w:t>
            </w:r>
          </w:p>
        </w:tc>
        <w:tc>
          <w:tcPr>
            <w:tcW w:w="490"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初中</w:t>
            </w:r>
          </w:p>
        </w:tc>
        <w:tc>
          <w:tcPr>
            <w:tcW w:w="489"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完全中学</w:t>
            </w:r>
          </w:p>
        </w:tc>
        <w:tc>
          <w:tcPr>
            <w:tcW w:w="489" w:type="dxa"/>
            <w:gridSpan w:val="2"/>
            <w:vMerge w:val="restart"/>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十二年一贯制学校</w:t>
            </w:r>
          </w:p>
        </w:tc>
        <w:tc>
          <w:tcPr>
            <w:tcW w:w="4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黑体" w:hAnsi="宋体" w:eastAsia="黑体" w:cs="黑体"/>
                <w:i w:val="0"/>
                <w:color w:val="000000"/>
                <w:sz w:val="20"/>
                <w:szCs w:val="20"/>
                <w:u w:val="none"/>
              </w:rPr>
            </w:pP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计</w:t>
            </w:r>
          </w:p>
        </w:tc>
        <w:tc>
          <w:tcPr>
            <w:tcW w:w="4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其中：</w:t>
            </w:r>
            <w:r>
              <w:rPr>
                <w:rStyle w:val="7"/>
                <w:lang w:val="en-US" w:eastAsia="zh-CN" w:bidi="ar"/>
              </w:rPr>
              <w:t>50人及以上</w:t>
            </w:r>
          </w:p>
        </w:tc>
        <w:tc>
          <w:tcPr>
            <w:tcW w:w="489" w:type="dxa"/>
            <w:vMerge w:val="restart"/>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小学</w:t>
            </w:r>
          </w:p>
        </w:tc>
        <w:tc>
          <w:tcPr>
            <w:tcW w:w="4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初中</w:t>
            </w:r>
          </w:p>
        </w:tc>
        <w:tc>
          <w:tcPr>
            <w:tcW w:w="699" w:type="dxa"/>
            <w:vMerge w:val="restart"/>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小学</w:t>
            </w:r>
          </w:p>
        </w:tc>
        <w:tc>
          <w:tcPr>
            <w:tcW w:w="5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初中</w:t>
            </w:r>
          </w:p>
        </w:tc>
        <w:tc>
          <w:tcPr>
            <w:tcW w:w="103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小学</w:t>
            </w:r>
          </w:p>
        </w:tc>
        <w:tc>
          <w:tcPr>
            <w:tcW w:w="103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初中</w:t>
            </w:r>
          </w:p>
        </w:tc>
        <w:tc>
          <w:tcPr>
            <w:tcW w:w="50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055"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黑体" w:hAnsi="宋体" w:eastAsia="黑体" w:cs="黑体"/>
                <w:i w:val="0"/>
                <w:color w:val="000000"/>
                <w:sz w:val="20"/>
                <w:szCs w:val="20"/>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黑体" w:hAnsi="宋体" w:eastAsia="黑体" w:cs="黑体"/>
                <w:i w:val="0"/>
                <w:color w:val="000000"/>
                <w:sz w:val="20"/>
                <w:szCs w:val="20"/>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黑体" w:hAnsi="宋体" w:eastAsia="黑体" w:cs="黑体"/>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黑体" w:hAnsi="宋体" w:eastAsia="黑体" w:cs="黑体"/>
                <w:i w:val="0"/>
                <w:color w:val="000000"/>
                <w:sz w:val="20"/>
                <w:szCs w:val="20"/>
                <w:u w:val="none"/>
              </w:rPr>
            </w:pPr>
          </w:p>
        </w:tc>
        <w:tc>
          <w:tcPr>
            <w:tcW w:w="5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黑体" w:hAnsi="宋体" w:eastAsia="黑体" w:cs="黑体"/>
                <w:i w:val="0"/>
                <w:color w:val="000000"/>
                <w:sz w:val="20"/>
                <w:szCs w:val="20"/>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黑体" w:hAnsi="宋体" w:eastAsia="黑体" w:cs="黑体"/>
                <w:i w:val="0"/>
                <w:color w:val="000000"/>
                <w:sz w:val="20"/>
                <w:szCs w:val="20"/>
                <w:u w:val="none"/>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黑体" w:hAnsi="宋体" w:eastAsia="黑体" w:cs="黑体"/>
                <w:i w:val="0"/>
                <w:color w:val="000000"/>
                <w:sz w:val="20"/>
                <w:szCs w:val="20"/>
                <w:u w:val="none"/>
              </w:rPr>
            </w:pP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黑体" w:hAnsi="宋体" w:eastAsia="黑体" w:cs="黑体"/>
                <w:i w:val="0"/>
                <w:color w:val="000000"/>
                <w:sz w:val="20"/>
                <w:szCs w:val="20"/>
                <w:u w:val="none"/>
              </w:rPr>
            </w:pPr>
          </w:p>
        </w:tc>
        <w:tc>
          <w:tcPr>
            <w:tcW w:w="6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黑体" w:hAnsi="宋体" w:eastAsia="黑体" w:cs="黑体"/>
                <w:i w:val="0"/>
                <w:color w:val="000000"/>
                <w:sz w:val="20"/>
                <w:szCs w:val="20"/>
                <w:u w:val="none"/>
              </w:rPr>
            </w:pPr>
          </w:p>
        </w:tc>
        <w:tc>
          <w:tcPr>
            <w:tcW w:w="489"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黑体" w:hAnsi="宋体" w:eastAsia="黑体" w:cs="黑体"/>
                <w:i w:val="0"/>
                <w:color w:val="000000"/>
                <w:sz w:val="20"/>
                <w:szCs w:val="20"/>
                <w:u w:val="none"/>
              </w:rPr>
            </w:pPr>
          </w:p>
        </w:tc>
        <w:tc>
          <w:tcPr>
            <w:tcW w:w="490"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黑体" w:hAnsi="宋体" w:eastAsia="黑体" w:cs="黑体"/>
                <w:i w:val="0"/>
                <w:color w:val="000000"/>
                <w:sz w:val="20"/>
                <w:szCs w:val="20"/>
                <w:u w:val="none"/>
              </w:rPr>
            </w:pPr>
          </w:p>
        </w:tc>
        <w:tc>
          <w:tcPr>
            <w:tcW w:w="490"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黑体" w:hAnsi="宋体" w:eastAsia="黑体" w:cs="黑体"/>
                <w:i w:val="0"/>
                <w:color w:val="000000"/>
                <w:sz w:val="20"/>
                <w:szCs w:val="20"/>
                <w:u w:val="none"/>
              </w:rPr>
            </w:pPr>
          </w:p>
        </w:tc>
        <w:tc>
          <w:tcPr>
            <w:tcW w:w="489"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黑体" w:hAnsi="宋体" w:eastAsia="黑体" w:cs="黑体"/>
                <w:i w:val="0"/>
                <w:color w:val="000000"/>
                <w:sz w:val="20"/>
                <w:szCs w:val="20"/>
                <w:u w:val="none"/>
              </w:rPr>
            </w:pPr>
          </w:p>
        </w:tc>
        <w:tc>
          <w:tcPr>
            <w:tcW w:w="489" w:type="dxa"/>
            <w:gridSpan w:val="2"/>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黑体" w:hAnsi="宋体" w:eastAsia="黑体" w:cs="黑体"/>
                <w:i w:val="0"/>
                <w:color w:val="000000"/>
                <w:sz w:val="20"/>
                <w:szCs w:val="20"/>
                <w:u w:val="none"/>
              </w:rPr>
            </w:pPr>
          </w:p>
        </w:tc>
        <w:tc>
          <w:tcPr>
            <w:tcW w:w="4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黑体" w:hAnsi="宋体" w:eastAsia="黑体" w:cs="黑体"/>
                <w:i w:val="0"/>
                <w:color w:val="000000"/>
                <w:sz w:val="20"/>
                <w:szCs w:val="20"/>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黑体" w:hAnsi="宋体" w:eastAsia="黑体" w:cs="黑体"/>
                <w:i w:val="0"/>
                <w:color w:val="000000"/>
                <w:sz w:val="20"/>
                <w:szCs w:val="20"/>
                <w:u w:val="none"/>
              </w:rPr>
            </w:pPr>
          </w:p>
        </w:tc>
        <w:tc>
          <w:tcPr>
            <w:tcW w:w="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黑体" w:hAnsi="宋体" w:eastAsia="黑体" w:cs="黑体"/>
                <w:i w:val="0"/>
                <w:color w:val="000000"/>
                <w:sz w:val="20"/>
                <w:szCs w:val="20"/>
                <w:u w:val="none"/>
              </w:rPr>
            </w:pPr>
          </w:p>
        </w:tc>
        <w:tc>
          <w:tcPr>
            <w:tcW w:w="489" w:type="dxa"/>
            <w:vMerge w:val="continue"/>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黑体" w:hAnsi="宋体" w:eastAsia="黑体" w:cs="黑体"/>
                <w:i w:val="0"/>
                <w:color w:val="000000"/>
                <w:sz w:val="20"/>
                <w:szCs w:val="20"/>
                <w:u w:val="none"/>
              </w:rPr>
            </w:pPr>
          </w:p>
        </w:tc>
        <w:tc>
          <w:tcPr>
            <w:tcW w:w="4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黑体" w:hAnsi="宋体" w:eastAsia="黑体" w:cs="黑体"/>
                <w:i w:val="0"/>
                <w:color w:val="000000"/>
                <w:sz w:val="20"/>
                <w:szCs w:val="20"/>
                <w:u w:val="none"/>
              </w:rPr>
            </w:pPr>
          </w:p>
        </w:tc>
        <w:tc>
          <w:tcPr>
            <w:tcW w:w="699" w:type="dxa"/>
            <w:vMerge w:val="continue"/>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jc w:val="center"/>
              <w:rPr>
                <w:rFonts w:hint="eastAsia" w:ascii="黑体" w:hAnsi="宋体" w:eastAsia="黑体" w:cs="黑体"/>
                <w:i w:val="0"/>
                <w:color w:val="000000"/>
                <w:sz w:val="20"/>
                <w:szCs w:val="20"/>
                <w:u w:val="none"/>
              </w:rPr>
            </w:pPr>
          </w:p>
        </w:tc>
        <w:tc>
          <w:tcPr>
            <w:tcW w:w="5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黑体" w:hAnsi="宋体" w:eastAsia="黑体" w:cs="黑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合计</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其中专任教师数</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合计</w:t>
            </w:r>
          </w:p>
        </w:tc>
        <w:tc>
          <w:tcPr>
            <w:tcW w:w="51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其中专任教师数</w:t>
            </w:r>
          </w:p>
        </w:tc>
        <w:tc>
          <w:tcPr>
            <w:tcW w:w="50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1"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黑体" w:hAnsi="宋体" w:eastAsia="黑体" w:cs="黑体"/>
                <w:i w:val="0"/>
                <w:color w:val="000000"/>
                <w:sz w:val="20"/>
                <w:szCs w:val="20"/>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L1</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L2</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L3</w:t>
            </w: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L4</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L5</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L6</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L7</w:t>
            </w: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L8</w:t>
            </w:r>
          </w:p>
        </w:tc>
        <w:tc>
          <w:tcPr>
            <w:tcW w:w="4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L9</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L10</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L11</w:t>
            </w:r>
          </w:p>
        </w:tc>
        <w:tc>
          <w:tcPr>
            <w:tcW w:w="4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L12</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L13</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L14</w:t>
            </w:r>
          </w:p>
        </w:tc>
        <w:tc>
          <w:tcPr>
            <w:tcW w:w="4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L15</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L16</w:t>
            </w:r>
          </w:p>
        </w:tc>
        <w:tc>
          <w:tcPr>
            <w:tcW w:w="4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L17</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L18</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L19</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L20</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L21</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L22</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L23</w:t>
            </w:r>
          </w:p>
        </w:tc>
        <w:tc>
          <w:tcPr>
            <w:tcW w:w="51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L24</w:t>
            </w:r>
          </w:p>
        </w:tc>
        <w:tc>
          <w:tcPr>
            <w:tcW w:w="50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53"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全县</w:t>
            </w:r>
            <w:r>
              <w:rPr>
                <w:rStyle w:val="8"/>
                <w:lang w:val="en-US" w:eastAsia="zh-CN" w:bidi="ar"/>
              </w:rPr>
              <w:br w:type="textWrapping"/>
            </w:r>
            <w:r>
              <w:rPr>
                <w:rStyle w:val="8"/>
                <w:lang w:val="en-US" w:eastAsia="zh-CN" w:bidi="ar"/>
              </w:rPr>
              <w:t>总计</w:t>
            </w:r>
          </w:p>
        </w:tc>
        <w:tc>
          <w:tcPr>
            <w:tcW w:w="76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23.05</w:t>
            </w:r>
          </w:p>
        </w:tc>
        <w:tc>
          <w:tcPr>
            <w:tcW w:w="75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8.24</w:t>
            </w:r>
          </w:p>
        </w:tc>
        <w:tc>
          <w:tcPr>
            <w:tcW w:w="58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w:t>
            </w: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189</w:t>
            </w:r>
          </w:p>
        </w:tc>
        <w:tc>
          <w:tcPr>
            <w:tcW w:w="71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127699</w:t>
            </w:r>
          </w:p>
        </w:tc>
        <w:tc>
          <w:tcPr>
            <w:tcW w:w="75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19793.7</w:t>
            </w:r>
          </w:p>
        </w:tc>
        <w:tc>
          <w:tcPr>
            <w:tcW w:w="69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27459</w:t>
            </w: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39815</w:t>
            </w:r>
          </w:p>
        </w:tc>
        <w:tc>
          <w:tcPr>
            <w:tcW w:w="48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8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48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48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355</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172</w:t>
            </w: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12927</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7968</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1212</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982</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733</w:t>
            </w:r>
          </w:p>
        </w:tc>
        <w:tc>
          <w:tcPr>
            <w:tcW w:w="51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624</w:t>
            </w:r>
          </w:p>
        </w:tc>
        <w:tc>
          <w:tcPr>
            <w:tcW w:w="50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79" w:hRule="atLeast"/>
        </w:trPr>
        <w:tc>
          <w:tcPr>
            <w:tcW w:w="599" w:type="dxa"/>
            <w:tcBorders>
              <w:top w:val="nil"/>
              <w:left w:val="nil"/>
              <w:bottom w:val="nil"/>
              <w:right w:val="nil"/>
            </w:tcBorders>
            <w:shd w:val="clear" w:color="auto" w:fill="auto"/>
            <w:tcMar>
              <w:top w:w="10" w:type="dxa"/>
              <w:left w:w="10" w:type="dxa"/>
              <w:right w:w="10" w:type="dxa"/>
            </w:tcMar>
            <w:vAlign w:val="center"/>
          </w:tcPr>
          <w:p>
            <w:pPr>
              <w:jc w:val="center"/>
              <w:rPr>
                <w:rFonts w:hint="default" w:ascii="Times New Roman" w:hAnsi="Times New Roman" w:eastAsia="宋体" w:cs="Times New Roman"/>
                <w:i w:val="0"/>
                <w:color w:val="000000"/>
                <w:sz w:val="20"/>
                <w:szCs w:val="20"/>
                <w:u w:val="none"/>
              </w:rPr>
            </w:pPr>
          </w:p>
        </w:tc>
        <w:tc>
          <w:tcPr>
            <w:tcW w:w="767" w:type="dxa"/>
            <w:tcBorders>
              <w:top w:val="nil"/>
              <w:left w:val="nil"/>
              <w:bottom w:val="nil"/>
              <w:right w:val="nil"/>
            </w:tcBorders>
            <w:shd w:val="clear" w:color="auto" w:fill="auto"/>
            <w:tcMar>
              <w:top w:w="10" w:type="dxa"/>
              <w:left w:w="10" w:type="dxa"/>
              <w:right w:w="10" w:type="dxa"/>
            </w:tcMar>
            <w:vAlign w:val="center"/>
          </w:tcPr>
          <w:p>
            <w:pPr>
              <w:jc w:val="center"/>
              <w:rPr>
                <w:rFonts w:hint="default" w:ascii="Times New Roman" w:hAnsi="Times New Roman" w:eastAsia="宋体" w:cs="Times New Roman"/>
                <w:i w:val="0"/>
                <w:color w:val="000000"/>
                <w:sz w:val="20"/>
                <w:szCs w:val="20"/>
                <w:u w:val="none"/>
              </w:rPr>
            </w:pPr>
          </w:p>
        </w:tc>
        <w:tc>
          <w:tcPr>
            <w:tcW w:w="753" w:type="dxa"/>
            <w:tcBorders>
              <w:top w:val="nil"/>
              <w:left w:val="nil"/>
              <w:bottom w:val="nil"/>
              <w:right w:val="nil"/>
            </w:tcBorders>
            <w:shd w:val="clear" w:color="auto" w:fill="auto"/>
            <w:tcMar>
              <w:top w:w="10" w:type="dxa"/>
              <w:left w:w="10" w:type="dxa"/>
              <w:right w:w="10" w:type="dxa"/>
            </w:tcMar>
            <w:vAlign w:val="center"/>
          </w:tcPr>
          <w:p>
            <w:pPr>
              <w:jc w:val="center"/>
              <w:rPr>
                <w:rFonts w:hint="default" w:ascii="Times New Roman" w:hAnsi="Times New Roman" w:eastAsia="宋体" w:cs="Times New Roman"/>
                <w:i w:val="0"/>
                <w:color w:val="000000"/>
                <w:sz w:val="20"/>
                <w:szCs w:val="20"/>
                <w:u w:val="none"/>
              </w:rPr>
            </w:pPr>
          </w:p>
        </w:tc>
        <w:tc>
          <w:tcPr>
            <w:tcW w:w="586" w:type="dxa"/>
            <w:tcBorders>
              <w:top w:val="nil"/>
              <w:left w:val="nil"/>
              <w:bottom w:val="nil"/>
              <w:right w:val="nil"/>
            </w:tcBorders>
            <w:shd w:val="clear" w:color="auto" w:fill="auto"/>
            <w:tcMar>
              <w:top w:w="10" w:type="dxa"/>
              <w:left w:w="10" w:type="dxa"/>
              <w:right w:w="10" w:type="dxa"/>
            </w:tcMar>
            <w:vAlign w:val="center"/>
          </w:tcPr>
          <w:p>
            <w:pPr>
              <w:jc w:val="center"/>
              <w:rPr>
                <w:rFonts w:hint="default" w:ascii="Times New Roman" w:hAnsi="Times New Roman" w:eastAsia="宋体" w:cs="Times New Roman"/>
                <w:i w:val="0"/>
                <w:color w:val="000000"/>
                <w:sz w:val="20"/>
                <w:szCs w:val="20"/>
                <w:u w:val="none"/>
              </w:rPr>
            </w:pPr>
          </w:p>
        </w:tc>
        <w:tc>
          <w:tcPr>
            <w:tcW w:w="586" w:type="dxa"/>
            <w:gridSpan w:val="2"/>
            <w:tcBorders>
              <w:top w:val="nil"/>
              <w:left w:val="nil"/>
              <w:bottom w:val="nil"/>
              <w:right w:val="nil"/>
            </w:tcBorders>
            <w:shd w:val="clear" w:color="auto" w:fill="auto"/>
            <w:tcMar>
              <w:top w:w="10" w:type="dxa"/>
              <w:left w:w="10" w:type="dxa"/>
              <w:right w:w="10" w:type="dxa"/>
            </w:tcMar>
            <w:vAlign w:val="center"/>
          </w:tcPr>
          <w:p>
            <w:pPr>
              <w:jc w:val="center"/>
              <w:rPr>
                <w:rFonts w:hint="default" w:ascii="Times New Roman" w:hAnsi="Times New Roman" w:eastAsia="宋体" w:cs="Times New Roman"/>
                <w:i w:val="0"/>
                <w:color w:val="000000"/>
                <w:sz w:val="20"/>
                <w:szCs w:val="20"/>
                <w:u w:val="none"/>
              </w:rPr>
            </w:pPr>
          </w:p>
        </w:tc>
        <w:tc>
          <w:tcPr>
            <w:tcW w:w="718" w:type="dxa"/>
            <w:tcBorders>
              <w:top w:val="nil"/>
              <w:left w:val="nil"/>
              <w:bottom w:val="nil"/>
              <w:right w:val="nil"/>
            </w:tcBorders>
            <w:shd w:val="clear" w:color="auto" w:fill="auto"/>
            <w:tcMar>
              <w:top w:w="10" w:type="dxa"/>
              <w:left w:w="10" w:type="dxa"/>
              <w:right w:w="10" w:type="dxa"/>
            </w:tcMar>
            <w:vAlign w:val="center"/>
          </w:tcPr>
          <w:p>
            <w:pPr>
              <w:jc w:val="center"/>
              <w:rPr>
                <w:rFonts w:hint="default" w:ascii="Times New Roman" w:hAnsi="Times New Roman" w:eastAsia="宋体" w:cs="Times New Roman"/>
                <w:i w:val="0"/>
                <w:color w:val="000000"/>
                <w:sz w:val="20"/>
                <w:szCs w:val="20"/>
                <w:u w:val="none"/>
              </w:rPr>
            </w:pPr>
          </w:p>
        </w:tc>
        <w:tc>
          <w:tcPr>
            <w:tcW w:w="754" w:type="dxa"/>
            <w:tcBorders>
              <w:top w:val="nil"/>
              <w:left w:val="nil"/>
              <w:bottom w:val="nil"/>
              <w:right w:val="nil"/>
            </w:tcBorders>
            <w:shd w:val="clear" w:color="auto" w:fill="auto"/>
            <w:tcMar>
              <w:top w:w="10" w:type="dxa"/>
              <w:left w:w="10" w:type="dxa"/>
              <w:right w:w="10" w:type="dxa"/>
            </w:tcMar>
            <w:vAlign w:val="center"/>
          </w:tcPr>
          <w:p>
            <w:pPr>
              <w:jc w:val="center"/>
              <w:rPr>
                <w:rFonts w:hint="default" w:ascii="Times New Roman" w:hAnsi="Times New Roman" w:eastAsia="宋体" w:cs="Times New Roman"/>
                <w:i w:val="0"/>
                <w:color w:val="000000"/>
                <w:sz w:val="20"/>
                <w:szCs w:val="20"/>
                <w:u w:val="none"/>
              </w:rPr>
            </w:pPr>
          </w:p>
        </w:tc>
        <w:tc>
          <w:tcPr>
            <w:tcW w:w="699" w:type="dxa"/>
            <w:tcBorders>
              <w:top w:val="nil"/>
              <w:left w:val="nil"/>
              <w:bottom w:val="nil"/>
              <w:right w:val="nil"/>
            </w:tcBorders>
            <w:shd w:val="clear" w:color="auto" w:fill="auto"/>
            <w:tcMar>
              <w:top w:w="10" w:type="dxa"/>
              <w:left w:w="10" w:type="dxa"/>
              <w:right w:w="10" w:type="dxa"/>
            </w:tcMar>
            <w:vAlign w:val="center"/>
          </w:tcPr>
          <w:p>
            <w:pPr>
              <w:jc w:val="center"/>
              <w:rPr>
                <w:rFonts w:hint="default" w:ascii="Times New Roman" w:hAnsi="Times New Roman" w:eastAsia="宋体" w:cs="Times New Roman"/>
                <w:i w:val="0"/>
                <w:color w:val="000000"/>
                <w:sz w:val="20"/>
                <w:szCs w:val="20"/>
                <w:u w:val="none"/>
              </w:rPr>
            </w:pPr>
          </w:p>
        </w:tc>
        <w:tc>
          <w:tcPr>
            <w:tcW w:w="699" w:type="dxa"/>
            <w:gridSpan w:val="2"/>
            <w:tcBorders>
              <w:top w:val="nil"/>
              <w:left w:val="nil"/>
              <w:bottom w:val="nil"/>
              <w:right w:val="nil"/>
            </w:tcBorders>
            <w:shd w:val="clear" w:color="auto" w:fill="auto"/>
            <w:tcMar>
              <w:top w:w="10" w:type="dxa"/>
              <w:left w:w="10" w:type="dxa"/>
              <w:right w:w="10" w:type="dxa"/>
            </w:tcMar>
            <w:vAlign w:val="center"/>
          </w:tcPr>
          <w:p>
            <w:pPr>
              <w:jc w:val="center"/>
              <w:rPr>
                <w:rFonts w:hint="default" w:ascii="Times New Roman" w:hAnsi="Times New Roman" w:eastAsia="宋体" w:cs="Times New Roman"/>
                <w:i w:val="0"/>
                <w:color w:val="000000"/>
                <w:sz w:val="20"/>
                <w:szCs w:val="20"/>
                <w:u w:val="none"/>
              </w:rPr>
            </w:pPr>
          </w:p>
        </w:tc>
        <w:tc>
          <w:tcPr>
            <w:tcW w:w="489" w:type="dxa"/>
            <w:tcBorders>
              <w:top w:val="nil"/>
              <w:left w:val="nil"/>
              <w:bottom w:val="nil"/>
              <w:right w:val="nil"/>
            </w:tcBorders>
            <w:shd w:val="clear" w:color="auto" w:fill="auto"/>
            <w:tcMar>
              <w:top w:w="10" w:type="dxa"/>
              <w:left w:w="10" w:type="dxa"/>
              <w:right w:w="10" w:type="dxa"/>
            </w:tcMar>
            <w:vAlign w:val="center"/>
          </w:tcPr>
          <w:p>
            <w:pPr>
              <w:jc w:val="center"/>
              <w:rPr>
                <w:rFonts w:hint="default" w:ascii="Times New Roman" w:hAnsi="Times New Roman" w:eastAsia="宋体" w:cs="Times New Roman"/>
                <w:i w:val="0"/>
                <w:color w:val="000000"/>
                <w:sz w:val="20"/>
                <w:szCs w:val="20"/>
                <w:u w:val="none"/>
              </w:rPr>
            </w:pPr>
          </w:p>
        </w:tc>
        <w:tc>
          <w:tcPr>
            <w:tcW w:w="490" w:type="dxa"/>
            <w:tcBorders>
              <w:top w:val="nil"/>
              <w:left w:val="nil"/>
              <w:bottom w:val="nil"/>
              <w:right w:val="nil"/>
            </w:tcBorders>
            <w:shd w:val="clear" w:color="auto" w:fill="auto"/>
            <w:tcMar>
              <w:top w:w="10" w:type="dxa"/>
              <w:left w:w="10" w:type="dxa"/>
              <w:right w:w="10" w:type="dxa"/>
            </w:tcMar>
            <w:vAlign w:val="center"/>
          </w:tcPr>
          <w:p>
            <w:pPr>
              <w:jc w:val="center"/>
              <w:rPr>
                <w:rFonts w:hint="default" w:ascii="Times New Roman" w:hAnsi="Times New Roman" w:eastAsia="宋体" w:cs="Times New Roman"/>
                <w:i w:val="0"/>
                <w:color w:val="000000"/>
                <w:sz w:val="20"/>
                <w:szCs w:val="20"/>
                <w:u w:val="none"/>
              </w:rPr>
            </w:pPr>
          </w:p>
        </w:tc>
        <w:tc>
          <w:tcPr>
            <w:tcW w:w="490" w:type="dxa"/>
            <w:tcBorders>
              <w:top w:val="nil"/>
              <w:left w:val="nil"/>
              <w:bottom w:val="nil"/>
              <w:right w:val="nil"/>
            </w:tcBorders>
            <w:shd w:val="clear" w:color="auto" w:fill="auto"/>
            <w:tcMar>
              <w:top w:w="10" w:type="dxa"/>
              <w:left w:w="10" w:type="dxa"/>
              <w:right w:w="10" w:type="dxa"/>
            </w:tcMar>
            <w:vAlign w:val="center"/>
          </w:tcPr>
          <w:p>
            <w:pPr>
              <w:jc w:val="center"/>
              <w:rPr>
                <w:rFonts w:hint="default" w:ascii="Times New Roman" w:hAnsi="Times New Roman" w:eastAsia="宋体" w:cs="Times New Roman"/>
                <w:i w:val="0"/>
                <w:color w:val="000000"/>
                <w:sz w:val="20"/>
                <w:szCs w:val="20"/>
                <w:u w:val="none"/>
              </w:rPr>
            </w:pPr>
          </w:p>
        </w:tc>
        <w:tc>
          <w:tcPr>
            <w:tcW w:w="489" w:type="dxa"/>
            <w:tcBorders>
              <w:top w:val="nil"/>
              <w:left w:val="nil"/>
              <w:bottom w:val="nil"/>
              <w:right w:val="nil"/>
            </w:tcBorders>
            <w:shd w:val="clear" w:color="auto" w:fill="auto"/>
            <w:tcMar>
              <w:top w:w="10" w:type="dxa"/>
              <w:left w:w="10" w:type="dxa"/>
              <w:right w:w="10" w:type="dxa"/>
            </w:tcMar>
            <w:vAlign w:val="center"/>
          </w:tcPr>
          <w:p>
            <w:pPr>
              <w:jc w:val="center"/>
              <w:rPr>
                <w:rFonts w:hint="default" w:ascii="Times New Roman" w:hAnsi="Times New Roman" w:eastAsia="宋体" w:cs="Times New Roman"/>
                <w:i w:val="0"/>
                <w:color w:val="000000"/>
                <w:sz w:val="20"/>
                <w:szCs w:val="20"/>
                <w:u w:val="none"/>
              </w:rPr>
            </w:pPr>
          </w:p>
        </w:tc>
        <w:tc>
          <w:tcPr>
            <w:tcW w:w="489" w:type="dxa"/>
            <w:gridSpan w:val="2"/>
            <w:tcBorders>
              <w:top w:val="nil"/>
              <w:left w:val="nil"/>
              <w:bottom w:val="nil"/>
              <w:right w:val="nil"/>
            </w:tcBorders>
            <w:shd w:val="clear" w:color="auto" w:fill="auto"/>
            <w:tcMar>
              <w:top w:w="10" w:type="dxa"/>
              <w:left w:w="10" w:type="dxa"/>
              <w:right w:w="10" w:type="dxa"/>
            </w:tcMar>
            <w:vAlign w:val="center"/>
          </w:tcPr>
          <w:p>
            <w:pPr>
              <w:jc w:val="center"/>
              <w:rPr>
                <w:rFonts w:hint="default" w:ascii="Times New Roman" w:hAnsi="Times New Roman" w:eastAsia="宋体" w:cs="Times New Roman"/>
                <w:i w:val="0"/>
                <w:color w:val="000000"/>
                <w:sz w:val="20"/>
                <w:szCs w:val="20"/>
                <w:u w:val="none"/>
              </w:rPr>
            </w:pPr>
          </w:p>
        </w:tc>
        <w:tc>
          <w:tcPr>
            <w:tcW w:w="489" w:type="dxa"/>
            <w:gridSpan w:val="2"/>
            <w:tcBorders>
              <w:top w:val="nil"/>
              <w:left w:val="nil"/>
              <w:bottom w:val="nil"/>
              <w:right w:val="nil"/>
            </w:tcBorders>
            <w:shd w:val="clear" w:color="auto" w:fill="auto"/>
            <w:tcMar>
              <w:top w:w="10" w:type="dxa"/>
              <w:left w:w="10" w:type="dxa"/>
              <w:right w:w="10" w:type="dxa"/>
            </w:tcMar>
            <w:vAlign w:val="center"/>
          </w:tcPr>
          <w:p>
            <w:pPr>
              <w:jc w:val="center"/>
              <w:rPr>
                <w:rFonts w:hint="default" w:ascii="Times New Roman" w:hAnsi="Times New Roman" w:eastAsia="宋体" w:cs="Times New Roman"/>
                <w:i w:val="0"/>
                <w:color w:val="000000"/>
                <w:sz w:val="20"/>
                <w:szCs w:val="20"/>
                <w:u w:val="none"/>
              </w:rPr>
            </w:pPr>
          </w:p>
        </w:tc>
        <w:tc>
          <w:tcPr>
            <w:tcW w:w="489" w:type="dxa"/>
            <w:tcBorders>
              <w:top w:val="nil"/>
              <w:left w:val="nil"/>
              <w:bottom w:val="nil"/>
              <w:right w:val="nil"/>
            </w:tcBorders>
            <w:shd w:val="clear" w:color="auto" w:fill="auto"/>
            <w:tcMar>
              <w:top w:w="10" w:type="dxa"/>
              <w:left w:w="10" w:type="dxa"/>
              <w:right w:w="10" w:type="dxa"/>
            </w:tcMar>
            <w:vAlign w:val="center"/>
          </w:tcPr>
          <w:p>
            <w:pPr>
              <w:jc w:val="center"/>
              <w:rPr>
                <w:rFonts w:hint="default" w:ascii="Times New Roman" w:hAnsi="Times New Roman" w:eastAsia="宋体" w:cs="Times New Roman"/>
                <w:i w:val="0"/>
                <w:color w:val="000000"/>
                <w:sz w:val="20"/>
                <w:szCs w:val="20"/>
                <w:u w:val="none"/>
              </w:rPr>
            </w:pPr>
          </w:p>
        </w:tc>
        <w:tc>
          <w:tcPr>
            <w:tcW w:w="490" w:type="dxa"/>
            <w:gridSpan w:val="2"/>
            <w:tcBorders>
              <w:top w:val="nil"/>
              <w:left w:val="nil"/>
              <w:bottom w:val="nil"/>
              <w:right w:val="nil"/>
            </w:tcBorders>
            <w:shd w:val="clear" w:color="auto" w:fill="auto"/>
            <w:tcMar>
              <w:top w:w="10" w:type="dxa"/>
              <w:left w:w="10" w:type="dxa"/>
              <w:right w:w="10" w:type="dxa"/>
            </w:tcMar>
            <w:vAlign w:val="center"/>
          </w:tcPr>
          <w:p>
            <w:pPr>
              <w:jc w:val="center"/>
              <w:rPr>
                <w:rFonts w:hint="default" w:ascii="Times New Roman" w:hAnsi="Times New Roman" w:eastAsia="宋体" w:cs="Times New Roman"/>
                <w:i w:val="0"/>
                <w:color w:val="000000"/>
                <w:sz w:val="20"/>
                <w:szCs w:val="20"/>
                <w:u w:val="none"/>
              </w:rPr>
            </w:pPr>
          </w:p>
        </w:tc>
        <w:tc>
          <w:tcPr>
            <w:tcW w:w="489" w:type="dxa"/>
            <w:tcBorders>
              <w:top w:val="nil"/>
              <w:left w:val="nil"/>
              <w:bottom w:val="nil"/>
              <w:right w:val="nil"/>
            </w:tcBorders>
            <w:shd w:val="clear" w:color="auto" w:fill="auto"/>
            <w:tcMar>
              <w:top w:w="10" w:type="dxa"/>
              <w:left w:w="10" w:type="dxa"/>
              <w:right w:w="10" w:type="dxa"/>
            </w:tcMar>
            <w:vAlign w:val="center"/>
          </w:tcPr>
          <w:p>
            <w:pPr>
              <w:jc w:val="center"/>
              <w:rPr>
                <w:rFonts w:hint="default" w:ascii="Times New Roman" w:hAnsi="Times New Roman" w:eastAsia="宋体" w:cs="Times New Roman"/>
                <w:i w:val="0"/>
                <w:color w:val="000000"/>
                <w:sz w:val="20"/>
                <w:szCs w:val="20"/>
                <w:u w:val="none"/>
              </w:rPr>
            </w:pPr>
          </w:p>
        </w:tc>
        <w:tc>
          <w:tcPr>
            <w:tcW w:w="489" w:type="dxa"/>
            <w:gridSpan w:val="2"/>
            <w:tcBorders>
              <w:top w:val="nil"/>
              <w:left w:val="nil"/>
              <w:bottom w:val="nil"/>
              <w:right w:val="nil"/>
            </w:tcBorders>
            <w:shd w:val="clear" w:color="auto" w:fill="auto"/>
            <w:tcMar>
              <w:top w:w="10" w:type="dxa"/>
              <w:left w:w="10" w:type="dxa"/>
              <w:right w:w="10" w:type="dxa"/>
            </w:tcMar>
            <w:vAlign w:val="center"/>
          </w:tcPr>
          <w:p>
            <w:pPr>
              <w:jc w:val="center"/>
              <w:rPr>
                <w:rFonts w:hint="default" w:ascii="Times New Roman" w:hAnsi="Times New Roman" w:eastAsia="宋体" w:cs="Times New Roman"/>
                <w:i w:val="0"/>
                <w:color w:val="000000"/>
                <w:sz w:val="20"/>
                <w:szCs w:val="20"/>
                <w:u w:val="none"/>
              </w:rPr>
            </w:pPr>
          </w:p>
        </w:tc>
        <w:tc>
          <w:tcPr>
            <w:tcW w:w="699" w:type="dxa"/>
            <w:tcBorders>
              <w:top w:val="nil"/>
              <w:left w:val="nil"/>
              <w:bottom w:val="nil"/>
              <w:right w:val="nil"/>
            </w:tcBorders>
            <w:shd w:val="clear" w:color="auto" w:fill="auto"/>
            <w:tcMar>
              <w:top w:w="10" w:type="dxa"/>
              <w:left w:w="10" w:type="dxa"/>
              <w:right w:w="10" w:type="dxa"/>
            </w:tcMar>
            <w:vAlign w:val="center"/>
          </w:tcPr>
          <w:p>
            <w:pPr>
              <w:jc w:val="center"/>
              <w:rPr>
                <w:rFonts w:hint="default" w:ascii="Times New Roman" w:hAnsi="Times New Roman" w:eastAsia="宋体" w:cs="Times New Roman"/>
                <w:i w:val="0"/>
                <w:color w:val="000000"/>
                <w:sz w:val="20"/>
                <w:szCs w:val="20"/>
                <w:u w:val="none"/>
              </w:rPr>
            </w:pPr>
          </w:p>
        </w:tc>
        <w:tc>
          <w:tcPr>
            <w:tcW w:w="517" w:type="dxa"/>
            <w:gridSpan w:val="2"/>
            <w:tcBorders>
              <w:top w:val="nil"/>
              <w:left w:val="nil"/>
              <w:bottom w:val="nil"/>
              <w:right w:val="nil"/>
            </w:tcBorders>
            <w:shd w:val="clear" w:color="auto" w:fill="auto"/>
            <w:tcMar>
              <w:top w:w="10" w:type="dxa"/>
              <w:left w:w="10" w:type="dxa"/>
              <w:right w:w="10" w:type="dxa"/>
            </w:tcMar>
            <w:vAlign w:val="center"/>
          </w:tcPr>
          <w:p>
            <w:pPr>
              <w:jc w:val="center"/>
              <w:rPr>
                <w:rFonts w:hint="default" w:ascii="Times New Roman" w:hAnsi="Times New Roman" w:eastAsia="宋体" w:cs="Times New Roman"/>
                <w:i w:val="0"/>
                <w:color w:val="000000"/>
                <w:sz w:val="20"/>
                <w:szCs w:val="20"/>
                <w:u w:val="none"/>
              </w:rPr>
            </w:pPr>
          </w:p>
        </w:tc>
        <w:tc>
          <w:tcPr>
            <w:tcW w:w="517" w:type="dxa"/>
            <w:tcBorders>
              <w:top w:val="nil"/>
              <w:left w:val="nil"/>
              <w:bottom w:val="nil"/>
              <w:right w:val="nil"/>
            </w:tcBorders>
            <w:shd w:val="clear" w:color="auto" w:fill="auto"/>
            <w:tcMar>
              <w:top w:w="10" w:type="dxa"/>
              <w:left w:w="10" w:type="dxa"/>
              <w:right w:w="10" w:type="dxa"/>
            </w:tcMar>
            <w:vAlign w:val="center"/>
          </w:tcPr>
          <w:p>
            <w:pPr>
              <w:jc w:val="center"/>
              <w:rPr>
                <w:rFonts w:hint="default" w:ascii="Times New Roman" w:hAnsi="Times New Roman" w:eastAsia="宋体" w:cs="Times New Roman"/>
                <w:i w:val="0"/>
                <w:color w:val="000000"/>
                <w:sz w:val="20"/>
                <w:szCs w:val="20"/>
                <w:u w:val="none"/>
              </w:rPr>
            </w:pPr>
          </w:p>
        </w:tc>
        <w:tc>
          <w:tcPr>
            <w:tcW w:w="517" w:type="dxa"/>
            <w:tcBorders>
              <w:top w:val="nil"/>
              <w:left w:val="nil"/>
              <w:bottom w:val="nil"/>
              <w:right w:val="nil"/>
            </w:tcBorders>
            <w:shd w:val="clear" w:color="auto" w:fill="auto"/>
            <w:tcMar>
              <w:top w:w="10" w:type="dxa"/>
              <w:left w:w="10" w:type="dxa"/>
              <w:right w:w="10" w:type="dxa"/>
            </w:tcMar>
            <w:vAlign w:val="center"/>
          </w:tcPr>
          <w:p>
            <w:pPr>
              <w:jc w:val="center"/>
              <w:rPr>
                <w:rFonts w:hint="default" w:ascii="Times New Roman" w:hAnsi="Times New Roman" w:eastAsia="宋体" w:cs="Times New Roman"/>
                <w:i w:val="0"/>
                <w:color w:val="000000"/>
                <w:sz w:val="20"/>
                <w:szCs w:val="20"/>
                <w:u w:val="none"/>
              </w:rPr>
            </w:pPr>
          </w:p>
        </w:tc>
        <w:tc>
          <w:tcPr>
            <w:tcW w:w="517" w:type="dxa"/>
            <w:tcBorders>
              <w:top w:val="nil"/>
              <w:left w:val="nil"/>
              <w:bottom w:val="nil"/>
              <w:right w:val="nil"/>
            </w:tcBorders>
            <w:shd w:val="clear" w:color="auto" w:fill="auto"/>
            <w:tcMar>
              <w:top w:w="10" w:type="dxa"/>
              <w:left w:w="10" w:type="dxa"/>
              <w:right w:w="10" w:type="dxa"/>
            </w:tcMar>
            <w:vAlign w:val="center"/>
          </w:tcPr>
          <w:p>
            <w:pPr>
              <w:jc w:val="center"/>
              <w:rPr>
                <w:rFonts w:hint="default" w:ascii="Times New Roman" w:hAnsi="Times New Roman" w:eastAsia="宋体" w:cs="Times New Roman"/>
                <w:i w:val="0"/>
                <w:color w:val="000000"/>
                <w:sz w:val="20"/>
                <w:szCs w:val="20"/>
                <w:u w:val="none"/>
              </w:rPr>
            </w:pPr>
          </w:p>
        </w:tc>
        <w:tc>
          <w:tcPr>
            <w:tcW w:w="517" w:type="dxa"/>
            <w:gridSpan w:val="3"/>
            <w:tcBorders>
              <w:top w:val="nil"/>
              <w:left w:val="nil"/>
              <w:bottom w:val="nil"/>
              <w:right w:val="nil"/>
            </w:tcBorders>
            <w:shd w:val="clear" w:color="auto" w:fill="auto"/>
            <w:tcMar>
              <w:top w:w="10" w:type="dxa"/>
              <w:left w:w="10" w:type="dxa"/>
              <w:right w:w="10" w:type="dxa"/>
            </w:tcMar>
            <w:vAlign w:val="center"/>
          </w:tcPr>
          <w:p>
            <w:pPr>
              <w:jc w:val="center"/>
              <w:rPr>
                <w:rFonts w:hint="default" w:ascii="Times New Roman" w:hAnsi="Times New Roman" w:eastAsia="宋体" w:cs="Times New Roman"/>
                <w:i w:val="0"/>
                <w:color w:val="000000"/>
                <w:sz w:val="20"/>
                <w:szCs w:val="20"/>
                <w:u w:val="none"/>
              </w:rPr>
            </w:pPr>
          </w:p>
        </w:tc>
        <w:tc>
          <w:tcPr>
            <w:tcW w:w="509" w:type="dxa"/>
            <w:gridSpan w:val="3"/>
            <w:tcBorders>
              <w:top w:val="nil"/>
              <w:left w:val="nil"/>
              <w:bottom w:val="nil"/>
              <w:right w:val="nil"/>
            </w:tcBorders>
            <w:shd w:val="clear" w:color="auto" w:fill="auto"/>
            <w:tcMar>
              <w:top w:w="10" w:type="dxa"/>
              <w:left w:w="10" w:type="dxa"/>
              <w:right w:w="10"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2" w:type="dxa"/>
          <w:trHeight w:val="452" w:hRule="atLeast"/>
        </w:trPr>
        <w:tc>
          <w:tcPr>
            <w:tcW w:w="14336" w:type="dxa"/>
            <w:gridSpan w:val="32"/>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8"/>
                <w:lang w:val="en-US" w:eastAsia="zh-CN" w:bidi="ar"/>
              </w:rPr>
              <w:t>注：</w:t>
            </w:r>
            <w:r>
              <w:rPr>
                <w:rStyle w:val="9"/>
                <w:rFonts w:eastAsia="宋体"/>
                <w:lang w:val="en-US" w:eastAsia="zh-CN" w:bidi="ar"/>
              </w:rPr>
              <w:t>“</w:t>
            </w:r>
            <w:r>
              <w:rPr>
                <w:rStyle w:val="8"/>
                <w:lang w:val="en-US" w:eastAsia="zh-CN" w:bidi="ar"/>
              </w:rPr>
              <w:t>人口总数</w:t>
            </w:r>
            <w:r>
              <w:rPr>
                <w:rStyle w:val="9"/>
                <w:rFonts w:eastAsia="宋体"/>
                <w:lang w:val="en-US" w:eastAsia="zh-CN" w:bidi="ar"/>
              </w:rPr>
              <w:t>”</w:t>
            </w:r>
            <w:r>
              <w:rPr>
                <w:rStyle w:val="8"/>
                <w:lang w:val="en-US" w:eastAsia="zh-CN" w:bidi="ar"/>
              </w:rPr>
              <w:t>和</w:t>
            </w:r>
            <w:r>
              <w:rPr>
                <w:rStyle w:val="9"/>
                <w:rFonts w:eastAsia="宋体"/>
                <w:lang w:val="en-US" w:eastAsia="zh-CN" w:bidi="ar"/>
              </w:rPr>
              <w:t>“</w:t>
            </w:r>
            <w:r>
              <w:rPr>
                <w:rStyle w:val="8"/>
                <w:lang w:val="en-US" w:eastAsia="zh-CN" w:bidi="ar"/>
              </w:rPr>
              <w:t>农业人口数</w:t>
            </w:r>
            <w:r>
              <w:rPr>
                <w:rStyle w:val="9"/>
                <w:rFonts w:eastAsia="宋体"/>
                <w:lang w:val="en-US" w:eastAsia="zh-CN" w:bidi="ar"/>
              </w:rPr>
              <w:t>”</w:t>
            </w:r>
            <w:r>
              <w:rPr>
                <w:rStyle w:val="8"/>
                <w:lang w:val="en-US" w:eastAsia="zh-CN" w:bidi="ar"/>
              </w:rPr>
              <w:t>按常住人口统计，数字保留两位小数。</w:t>
            </w:r>
            <w:r>
              <w:rPr>
                <w:rStyle w:val="9"/>
                <w:rFonts w:eastAsia="宋体"/>
                <w:lang w:val="en-US" w:eastAsia="zh-CN" w:bidi="ar"/>
              </w:rPr>
              <w:t>L5-L8</w:t>
            </w:r>
            <w:r>
              <w:rPr>
                <w:rStyle w:val="8"/>
                <w:lang w:val="en-US" w:eastAsia="zh-CN" w:bidi="ar"/>
              </w:rPr>
              <w:t>列数字保留整数。</w:t>
            </w:r>
          </w:p>
        </w:tc>
        <w:tc>
          <w:tcPr>
            <w:tcW w:w="509" w:type="dxa"/>
            <w:gridSpan w:val="3"/>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Style w:val="8"/>
                <w:lang w:val="en-US" w:eastAsia="zh-CN" w:bidi="ar"/>
              </w:rPr>
            </w:pPr>
          </w:p>
        </w:tc>
      </w:tr>
    </w:tbl>
    <w:p/>
    <w:p/>
    <w:tbl>
      <w:tblPr>
        <w:tblStyle w:val="2"/>
        <w:tblW w:w="157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0"/>
        <w:gridCol w:w="3194"/>
        <w:gridCol w:w="1290"/>
        <w:gridCol w:w="1140"/>
        <w:gridCol w:w="830"/>
        <w:gridCol w:w="790"/>
        <w:gridCol w:w="1100"/>
        <w:gridCol w:w="1037"/>
        <w:gridCol w:w="1011"/>
        <w:gridCol w:w="938"/>
        <w:gridCol w:w="938"/>
        <w:gridCol w:w="1101"/>
        <w:gridCol w:w="829"/>
        <w:gridCol w:w="9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4" w:hRule="atLeast"/>
        </w:trPr>
        <w:tc>
          <w:tcPr>
            <w:tcW w:w="15760" w:type="dxa"/>
            <w:gridSpan w:val="14"/>
            <w:tcBorders>
              <w:top w:val="nil"/>
              <w:left w:val="nil"/>
              <w:bottom w:val="nil"/>
              <w:right w:val="nil"/>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kern w:val="0"/>
                <w:sz w:val="28"/>
                <w:szCs w:val="28"/>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kern w:val="0"/>
                <w:sz w:val="28"/>
                <w:szCs w:val="28"/>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28"/>
                <w:szCs w:val="28"/>
                <w:u w:val="none"/>
                <w:lang w:val="en-US" w:eastAsia="zh-CN" w:bidi="ar"/>
              </w:rPr>
              <w:t>表Ⅱ-2： 小学、初中资源配置基本情况（分学校）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440" w:hRule="atLeast"/>
        </w:trPr>
        <w:tc>
          <w:tcPr>
            <w:tcW w:w="64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序号</w:t>
            </w:r>
          </w:p>
        </w:tc>
        <w:tc>
          <w:tcPr>
            <w:tcW w:w="319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学</w:t>
            </w:r>
            <w:r>
              <w:rPr>
                <w:rStyle w:val="10"/>
                <w:rFonts w:eastAsia="黑体"/>
                <w:lang w:val="en-US" w:eastAsia="zh-CN" w:bidi="ar"/>
              </w:rPr>
              <w:t xml:space="preserve">  </w:t>
            </w:r>
            <w:r>
              <w:rPr>
                <w:rStyle w:val="11"/>
                <w:lang w:val="en-US" w:eastAsia="zh-CN" w:bidi="ar"/>
              </w:rPr>
              <w:t>校</w:t>
            </w:r>
            <w:r>
              <w:rPr>
                <w:rStyle w:val="10"/>
                <w:rFonts w:eastAsia="黑体"/>
                <w:lang w:val="en-US" w:eastAsia="zh-CN" w:bidi="ar"/>
              </w:rPr>
              <w:br w:type="textWrapping"/>
            </w:r>
            <w:r>
              <w:rPr>
                <w:rStyle w:val="11"/>
                <w:lang w:val="en-US" w:eastAsia="zh-CN" w:bidi="ar"/>
              </w:rPr>
              <w:t>名</w:t>
            </w:r>
            <w:r>
              <w:rPr>
                <w:rStyle w:val="10"/>
                <w:rFonts w:eastAsia="黑体"/>
                <w:lang w:val="en-US" w:eastAsia="zh-CN" w:bidi="ar"/>
              </w:rPr>
              <w:t xml:space="preserve">  </w:t>
            </w:r>
            <w:r>
              <w:rPr>
                <w:rStyle w:val="11"/>
                <w:lang w:val="en-US" w:eastAsia="zh-CN" w:bidi="ar"/>
              </w:rPr>
              <w:t>称</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举办者类型</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在校</w:t>
            </w:r>
            <w:r>
              <w:rPr>
                <w:rStyle w:val="13"/>
                <w:lang w:val="en-US" w:eastAsia="zh-CN" w:bidi="ar"/>
              </w:rPr>
              <w:t>生数</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年级数</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班级数</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每百名学生拥有高于规定学历教师数</w:t>
            </w:r>
          </w:p>
        </w:tc>
        <w:tc>
          <w:tcPr>
            <w:tcW w:w="103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每百名学生拥有县级及以上骨干教师数</w:t>
            </w:r>
          </w:p>
        </w:tc>
        <w:tc>
          <w:tcPr>
            <w:tcW w:w="101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每百名学生拥有体育、艺术</w:t>
            </w:r>
            <w:r>
              <w:rPr>
                <w:rStyle w:val="14"/>
                <w:rFonts w:eastAsia="黑体"/>
                <w:lang w:val="en-US" w:eastAsia="zh-CN" w:bidi="ar"/>
              </w:rPr>
              <w:t xml:space="preserve"> (</w:t>
            </w:r>
            <w:r>
              <w:rPr>
                <w:rStyle w:val="15"/>
                <w:lang w:val="en-US" w:eastAsia="zh-CN" w:bidi="ar"/>
              </w:rPr>
              <w:t>美术、音乐</w:t>
            </w:r>
            <w:r>
              <w:rPr>
                <w:rStyle w:val="14"/>
                <w:rFonts w:eastAsia="黑体"/>
                <w:lang w:val="en-US" w:eastAsia="zh-CN" w:bidi="ar"/>
              </w:rPr>
              <w:t>)</w:t>
            </w:r>
            <w:r>
              <w:rPr>
                <w:rStyle w:val="15"/>
                <w:lang w:val="en-US" w:eastAsia="zh-CN" w:bidi="ar"/>
              </w:rPr>
              <w:t>专任教师数</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生均教学及辅助用房面积</w:t>
            </w:r>
            <w:r>
              <w:rPr>
                <w:rStyle w:val="12"/>
                <w:rFonts w:ascii="宋体" w:hAnsi="宋体" w:eastAsia="黑体" w:cs="宋体"/>
                <w:sz w:val="24"/>
                <w:szCs w:val="24"/>
                <w:lang w:val="en-US" w:eastAsia="zh-CN" w:bidi="ar"/>
              </w:rPr>
              <w:br w:type="textWrapping"/>
            </w:r>
            <w:r>
              <w:rPr>
                <w:rStyle w:val="13"/>
                <w:lang w:val="en-US" w:eastAsia="zh-CN" w:bidi="ar"/>
              </w:rPr>
              <w:t>（</w:t>
            </w:r>
            <w:r>
              <w:rPr>
                <w:rStyle w:val="16"/>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生均体育运动场馆面积（</w:t>
            </w:r>
            <w:r>
              <w:rPr>
                <w:rStyle w:val="16"/>
                <w:lang w:val="en-US" w:eastAsia="zh-CN" w:bidi="ar"/>
              </w:rPr>
              <w:t>㎡）</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生均教学仪器设备值</w:t>
            </w:r>
            <w:r>
              <w:rPr>
                <w:rStyle w:val="12"/>
                <w:rFonts w:ascii="宋体" w:hAnsi="宋体" w:eastAsia="黑体" w:cs="宋体"/>
                <w:sz w:val="24"/>
                <w:szCs w:val="24"/>
                <w:lang w:val="en-US" w:eastAsia="zh-CN" w:bidi="ar"/>
              </w:rPr>
              <w:br w:type="textWrapping"/>
            </w:r>
            <w:r>
              <w:rPr>
                <w:rStyle w:val="12"/>
                <w:rFonts w:ascii="宋体" w:hAnsi="宋体" w:eastAsia="黑体" w:cs="宋体"/>
                <w:sz w:val="24"/>
                <w:szCs w:val="24"/>
                <w:lang w:val="en-US" w:eastAsia="zh-CN" w:bidi="ar"/>
              </w:rPr>
              <w:t>(</w:t>
            </w:r>
            <w:r>
              <w:rPr>
                <w:rStyle w:val="13"/>
                <w:lang w:val="en-US" w:eastAsia="zh-CN" w:bidi="ar"/>
              </w:rPr>
              <w:t>元</w:t>
            </w:r>
            <w:r>
              <w:rPr>
                <w:rStyle w:val="12"/>
                <w:rFonts w:ascii="宋体" w:hAnsi="宋体" w:eastAsia="黑体" w:cs="宋体"/>
                <w:sz w:val="24"/>
                <w:szCs w:val="24"/>
                <w:lang w:val="en-US" w:eastAsia="zh-CN" w:bidi="ar"/>
              </w:rPr>
              <w:t>)</w:t>
            </w:r>
          </w:p>
        </w:tc>
        <w:tc>
          <w:tcPr>
            <w:tcW w:w="82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每百名学生拥有网络多媒体教室数</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备注（注明有哪几项指标达标，哪几项指标达到</w:t>
            </w:r>
            <w:r>
              <w:rPr>
                <w:rStyle w:val="14"/>
                <w:rFonts w:eastAsia="黑体"/>
                <w:lang w:val="en-US" w:eastAsia="zh-CN" w:bidi="ar"/>
              </w:rPr>
              <w:t>85%</w:t>
            </w:r>
            <w:r>
              <w:rPr>
                <w:rStyle w:val="15"/>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9" w:hRule="atLeast"/>
        </w:trPr>
        <w:tc>
          <w:tcPr>
            <w:tcW w:w="640" w:type="dxa"/>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L1</w:t>
            </w:r>
          </w:p>
        </w:tc>
        <w:tc>
          <w:tcPr>
            <w:tcW w:w="3194" w:type="dxa"/>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L2</w:t>
            </w:r>
          </w:p>
        </w:tc>
        <w:tc>
          <w:tcPr>
            <w:tcW w:w="1290" w:type="dxa"/>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L3</w:t>
            </w:r>
          </w:p>
        </w:tc>
        <w:tc>
          <w:tcPr>
            <w:tcW w:w="1140" w:type="dxa"/>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L4</w:t>
            </w:r>
          </w:p>
        </w:tc>
        <w:tc>
          <w:tcPr>
            <w:tcW w:w="830" w:type="dxa"/>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L5</w:t>
            </w:r>
          </w:p>
        </w:tc>
        <w:tc>
          <w:tcPr>
            <w:tcW w:w="790" w:type="dxa"/>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L6</w:t>
            </w:r>
          </w:p>
        </w:tc>
        <w:tc>
          <w:tcPr>
            <w:tcW w:w="1100" w:type="dxa"/>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L7</w:t>
            </w:r>
          </w:p>
        </w:tc>
        <w:tc>
          <w:tcPr>
            <w:tcW w:w="1037" w:type="dxa"/>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L8</w:t>
            </w:r>
          </w:p>
        </w:tc>
        <w:tc>
          <w:tcPr>
            <w:tcW w:w="1011" w:type="dxa"/>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L9</w:t>
            </w:r>
          </w:p>
        </w:tc>
        <w:tc>
          <w:tcPr>
            <w:tcW w:w="938" w:type="dxa"/>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L10</w:t>
            </w:r>
          </w:p>
        </w:tc>
        <w:tc>
          <w:tcPr>
            <w:tcW w:w="938" w:type="dxa"/>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L11</w:t>
            </w:r>
          </w:p>
        </w:tc>
        <w:tc>
          <w:tcPr>
            <w:tcW w:w="1101" w:type="dxa"/>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L12</w:t>
            </w:r>
          </w:p>
        </w:tc>
        <w:tc>
          <w:tcPr>
            <w:tcW w:w="829" w:type="dxa"/>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L13</w:t>
            </w:r>
          </w:p>
        </w:tc>
        <w:tc>
          <w:tcPr>
            <w:tcW w:w="922" w:type="dxa"/>
            <w:tcBorders>
              <w:top w:val="single" w:color="000000" w:sz="4" w:space="0"/>
              <w:left w:val="single" w:color="000000" w:sz="4" w:space="0"/>
              <w:bottom w:val="nil"/>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L14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乌苏市第三中学（小学部）</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721 </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6.10 </w:t>
            </w:r>
          </w:p>
        </w:tc>
        <w:tc>
          <w:tcPr>
            <w:tcW w:w="103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1.39 </w:t>
            </w:r>
          </w:p>
        </w:tc>
        <w:tc>
          <w:tcPr>
            <w:tcW w:w="101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1.25 </w:t>
            </w:r>
          </w:p>
        </w:tc>
        <w:tc>
          <w:tcPr>
            <w:tcW w:w="93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5.57 </w:t>
            </w:r>
          </w:p>
        </w:tc>
        <w:tc>
          <w:tcPr>
            <w:tcW w:w="938" w:type="dxa"/>
            <w:tcBorders>
              <w:top w:val="single" w:color="000000" w:sz="4" w:space="0"/>
              <w:left w:val="nil"/>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11.03 </w:t>
            </w:r>
          </w:p>
        </w:tc>
        <w:tc>
          <w:tcPr>
            <w:tcW w:w="110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3713.60 </w:t>
            </w:r>
          </w:p>
        </w:tc>
        <w:tc>
          <w:tcPr>
            <w:tcW w:w="82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3.86 </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乌苏市第二中学（小学部）</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333 </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9.31 </w:t>
            </w:r>
          </w:p>
        </w:tc>
        <w:tc>
          <w:tcPr>
            <w:tcW w:w="103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 </w:t>
            </w:r>
          </w:p>
        </w:tc>
        <w:tc>
          <w:tcPr>
            <w:tcW w:w="101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1.20 </w:t>
            </w:r>
          </w:p>
        </w:tc>
        <w:tc>
          <w:tcPr>
            <w:tcW w:w="93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5.33 </w:t>
            </w:r>
          </w:p>
        </w:tc>
        <w:tc>
          <w:tcPr>
            <w:tcW w:w="938" w:type="dxa"/>
            <w:tcBorders>
              <w:top w:val="single" w:color="000000" w:sz="4" w:space="0"/>
              <w:left w:val="nil"/>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15.39 </w:t>
            </w:r>
          </w:p>
        </w:tc>
        <w:tc>
          <w:tcPr>
            <w:tcW w:w="110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3034.30 </w:t>
            </w:r>
          </w:p>
        </w:tc>
        <w:tc>
          <w:tcPr>
            <w:tcW w:w="82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2.90 </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乌苏市第六中学（小学部）</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1400 </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5.57 </w:t>
            </w:r>
          </w:p>
        </w:tc>
        <w:tc>
          <w:tcPr>
            <w:tcW w:w="103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1.00 </w:t>
            </w:r>
          </w:p>
        </w:tc>
        <w:tc>
          <w:tcPr>
            <w:tcW w:w="101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1.00 </w:t>
            </w:r>
          </w:p>
        </w:tc>
        <w:tc>
          <w:tcPr>
            <w:tcW w:w="93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5.52 </w:t>
            </w:r>
          </w:p>
        </w:tc>
        <w:tc>
          <w:tcPr>
            <w:tcW w:w="938" w:type="dxa"/>
            <w:tcBorders>
              <w:top w:val="single" w:color="000000" w:sz="4" w:space="0"/>
              <w:left w:val="nil"/>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9.70 </w:t>
            </w:r>
          </w:p>
        </w:tc>
        <w:tc>
          <w:tcPr>
            <w:tcW w:w="110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2355.30 </w:t>
            </w:r>
          </w:p>
        </w:tc>
        <w:tc>
          <w:tcPr>
            <w:tcW w:w="82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2.54 </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乌苏市哈图布呼镇中心学校（小学部）</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912 </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7.13 </w:t>
            </w:r>
          </w:p>
        </w:tc>
        <w:tc>
          <w:tcPr>
            <w:tcW w:w="103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1.10 </w:t>
            </w:r>
          </w:p>
        </w:tc>
        <w:tc>
          <w:tcPr>
            <w:tcW w:w="101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0.99 </w:t>
            </w:r>
          </w:p>
        </w:tc>
        <w:tc>
          <w:tcPr>
            <w:tcW w:w="93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7.69 </w:t>
            </w:r>
          </w:p>
        </w:tc>
        <w:tc>
          <w:tcPr>
            <w:tcW w:w="938" w:type="dxa"/>
            <w:tcBorders>
              <w:top w:val="single" w:color="000000" w:sz="4" w:space="0"/>
              <w:left w:val="nil"/>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22.11 </w:t>
            </w:r>
          </w:p>
        </w:tc>
        <w:tc>
          <w:tcPr>
            <w:tcW w:w="110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2943.10 </w:t>
            </w:r>
          </w:p>
        </w:tc>
        <w:tc>
          <w:tcPr>
            <w:tcW w:w="82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3.26 </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乌苏市四棵树镇中心学校（小学部）</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387 </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7.49 </w:t>
            </w:r>
          </w:p>
        </w:tc>
        <w:tc>
          <w:tcPr>
            <w:tcW w:w="103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1.29 </w:t>
            </w:r>
          </w:p>
        </w:tc>
        <w:tc>
          <w:tcPr>
            <w:tcW w:w="101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1.55 </w:t>
            </w:r>
          </w:p>
        </w:tc>
        <w:tc>
          <w:tcPr>
            <w:tcW w:w="93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8.65 </w:t>
            </w:r>
          </w:p>
        </w:tc>
        <w:tc>
          <w:tcPr>
            <w:tcW w:w="938" w:type="dxa"/>
            <w:tcBorders>
              <w:top w:val="single" w:color="000000" w:sz="4" w:space="0"/>
              <w:left w:val="nil"/>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21.08 </w:t>
            </w:r>
          </w:p>
        </w:tc>
        <w:tc>
          <w:tcPr>
            <w:tcW w:w="110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4864.60 </w:t>
            </w:r>
          </w:p>
        </w:tc>
        <w:tc>
          <w:tcPr>
            <w:tcW w:w="82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4.22 </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乌苏市古尔图镇中心学校（小学部）</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470 </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6.60 </w:t>
            </w:r>
          </w:p>
        </w:tc>
        <w:tc>
          <w:tcPr>
            <w:tcW w:w="103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1.91 </w:t>
            </w:r>
          </w:p>
        </w:tc>
        <w:tc>
          <w:tcPr>
            <w:tcW w:w="101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1.06 </w:t>
            </w:r>
          </w:p>
        </w:tc>
        <w:tc>
          <w:tcPr>
            <w:tcW w:w="93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8.67 </w:t>
            </w:r>
          </w:p>
        </w:tc>
        <w:tc>
          <w:tcPr>
            <w:tcW w:w="938" w:type="dxa"/>
            <w:tcBorders>
              <w:top w:val="single" w:color="000000" w:sz="4" w:space="0"/>
              <w:left w:val="nil"/>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 </w:t>
            </w:r>
          </w:p>
        </w:tc>
        <w:tc>
          <w:tcPr>
            <w:tcW w:w="110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3261.70 </w:t>
            </w:r>
          </w:p>
        </w:tc>
        <w:tc>
          <w:tcPr>
            <w:tcW w:w="82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3.10 </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乌苏市第一小学</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1694</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5.55 </w:t>
            </w:r>
          </w:p>
        </w:tc>
        <w:tc>
          <w:tcPr>
            <w:tcW w:w="103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1.36 </w:t>
            </w:r>
          </w:p>
        </w:tc>
        <w:tc>
          <w:tcPr>
            <w:tcW w:w="101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1.12 </w:t>
            </w:r>
          </w:p>
        </w:tc>
        <w:tc>
          <w:tcPr>
            <w:tcW w:w="93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5.86 </w:t>
            </w:r>
          </w:p>
        </w:tc>
        <w:tc>
          <w:tcPr>
            <w:tcW w:w="938" w:type="dxa"/>
            <w:tcBorders>
              <w:top w:val="single" w:color="000000" w:sz="4" w:space="0"/>
              <w:left w:val="nil"/>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9.46 </w:t>
            </w:r>
          </w:p>
        </w:tc>
        <w:tc>
          <w:tcPr>
            <w:tcW w:w="110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2422.40 </w:t>
            </w:r>
          </w:p>
        </w:tc>
        <w:tc>
          <w:tcPr>
            <w:tcW w:w="82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3.01 </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乌苏市第二小学</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1646 </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4.68 </w:t>
            </w:r>
          </w:p>
        </w:tc>
        <w:tc>
          <w:tcPr>
            <w:tcW w:w="103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1.28 </w:t>
            </w:r>
          </w:p>
        </w:tc>
        <w:tc>
          <w:tcPr>
            <w:tcW w:w="101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0.91 </w:t>
            </w:r>
          </w:p>
        </w:tc>
        <w:tc>
          <w:tcPr>
            <w:tcW w:w="93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5.41 </w:t>
            </w:r>
          </w:p>
        </w:tc>
        <w:tc>
          <w:tcPr>
            <w:tcW w:w="938" w:type="dxa"/>
            <w:tcBorders>
              <w:top w:val="single" w:color="000000" w:sz="4" w:space="0"/>
              <w:left w:val="nil"/>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7.90 </w:t>
            </w:r>
          </w:p>
        </w:tc>
        <w:tc>
          <w:tcPr>
            <w:tcW w:w="110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2517.40 </w:t>
            </w:r>
          </w:p>
        </w:tc>
        <w:tc>
          <w:tcPr>
            <w:tcW w:w="82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2.92 </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乌苏市第三小学</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599 </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7.85 </w:t>
            </w:r>
          </w:p>
        </w:tc>
        <w:tc>
          <w:tcPr>
            <w:tcW w:w="103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1.67 </w:t>
            </w:r>
          </w:p>
        </w:tc>
        <w:tc>
          <w:tcPr>
            <w:tcW w:w="101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1.67 </w:t>
            </w:r>
          </w:p>
        </w:tc>
        <w:tc>
          <w:tcPr>
            <w:tcW w:w="93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10.01 </w:t>
            </w:r>
          </w:p>
        </w:tc>
        <w:tc>
          <w:tcPr>
            <w:tcW w:w="938" w:type="dxa"/>
            <w:tcBorders>
              <w:top w:val="single" w:color="000000" w:sz="4" w:space="0"/>
              <w:left w:val="nil"/>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15.83 </w:t>
            </w:r>
          </w:p>
        </w:tc>
        <w:tc>
          <w:tcPr>
            <w:tcW w:w="110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5780.95 </w:t>
            </w:r>
          </w:p>
        </w:tc>
        <w:tc>
          <w:tcPr>
            <w:tcW w:w="82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5.01 </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乌苏市第四小学</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1133</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6.53 </w:t>
            </w:r>
          </w:p>
        </w:tc>
        <w:tc>
          <w:tcPr>
            <w:tcW w:w="103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1.24 </w:t>
            </w:r>
          </w:p>
        </w:tc>
        <w:tc>
          <w:tcPr>
            <w:tcW w:w="101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1.24 </w:t>
            </w:r>
          </w:p>
        </w:tc>
        <w:tc>
          <w:tcPr>
            <w:tcW w:w="93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7.80 </w:t>
            </w:r>
          </w:p>
        </w:tc>
        <w:tc>
          <w:tcPr>
            <w:tcW w:w="938" w:type="dxa"/>
            <w:tcBorders>
              <w:top w:val="single" w:color="000000" w:sz="4" w:space="0"/>
              <w:left w:val="nil"/>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18.29 </w:t>
            </w:r>
          </w:p>
        </w:tc>
        <w:tc>
          <w:tcPr>
            <w:tcW w:w="110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2811.79 </w:t>
            </w:r>
          </w:p>
        </w:tc>
        <w:tc>
          <w:tcPr>
            <w:tcW w:w="82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3.97 </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乌苏市第五小学</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1222 </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6.46 </w:t>
            </w:r>
          </w:p>
        </w:tc>
        <w:tc>
          <w:tcPr>
            <w:tcW w:w="103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1.31 </w:t>
            </w:r>
          </w:p>
        </w:tc>
        <w:tc>
          <w:tcPr>
            <w:tcW w:w="101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1.31 </w:t>
            </w:r>
          </w:p>
        </w:tc>
        <w:tc>
          <w:tcPr>
            <w:tcW w:w="93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5.42 </w:t>
            </w:r>
          </w:p>
        </w:tc>
        <w:tc>
          <w:tcPr>
            <w:tcW w:w="938" w:type="dxa"/>
            <w:tcBorders>
              <w:top w:val="single" w:color="000000" w:sz="4" w:space="0"/>
              <w:left w:val="nil"/>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9.66 </w:t>
            </w:r>
          </w:p>
        </w:tc>
        <w:tc>
          <w:tcPr>
            <w:tcW w:w="110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2969.24 </w:t>
            </w:r>
          </w:p>
        </w:tc>
        <w:tc>
          <w:tcPr>
            <w:tcW w:w="82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3.85 </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乌苏市第六小学</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1154 </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6.15 </w:t>
            </w:r>
          </w:p>
        </w:tc>
        <w:tc>
          <w:tcPr>
            <w:tcW w:w="103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1.13 </w:t>
            </w:r>
          </w:p>
        </w:tc>
        <w:tc>
          <w:tcPr>
            <w:tcW w:w="101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1.04 </w:t>
            </w:r>
          </w:p>
        </w:tc>
        <w:tc>
          <w:tcPr>
            <w:tcW w:w="93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5.81 </w:t>
            </w:r>
          </w:p>
        </w:tc>
        <w:tc>
          <w:tcPr>
            <w:tcW w:w="938" w:type="dxa"/>
            <w:tcBorders>
              <w:top w:val="single" w:color="000000" w:sz="4" w:space="0"/>
              <w:left w:val="nil"/>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7.79 </w:t>
            </w:r>
          </w:p>
        </w:tc>
        <w:tc>
          <w:tcPr>
            <w:tcW w:w="110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5523.70 </w:t>
            </w:r>
          </w:p>
        </w:tc>
        <w:tc>
          <w:tcPr>
            <w:tcW w:w="82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2.60 </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乌苏市八十四户乡中心小学</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241 </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15.35 </w:t>
            </w:r>
          </w:p>
        </w:tc>
        <w:tc>
          <w:tcPr>
            <w:tcW w:w="103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 </w:t>
            </w:r>
          </w:p>
        </w:tc>
        <w:tc>
          <w:tcPr>
            <w:tcW w:w="101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1.66 </w:t>
            </w:r>
          </w:p>
        </w:tc>
        <w:tc>
          <w:tcPr>
            <w:tcW w:w="93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14.63 </w:t>
            </w:r>
          </w:p>
        </w:tc>
        <w:tc>
          <w:tcPr>
            <w:tcW w:w="938" w:type="dxa"/>
            <w:tcBorders>
              <w:top w:val="single" w:color="000000" w:sz="4" w:space="0"/>
              <w:left w:val="nil"/>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18.56 </w:t>
            </w:r>
          </w:p>
        </w:tc>
        <w:tc>
          <w:tcPr>
            <w:tcW w:w="110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6618.30 </w:t>
            </w:r>
          </w:p>
        </w:tc>
        <w:tc>
          <w:tcPr>
            <w:tcW w:w="82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4.15 </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乌苏市八十四户乡八十四户小学</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106 </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16.98 </w:t>
            </w:r>
          </w:p>
        </w:tc>
        <w:tc>
          <w:tcPr>
            <w:tcW w:w="103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1.89 </w:t>
            </w:r>
          </w:p>
        </w:tc>
        <w:tc>
          <w:tcPr>
            <w:tcW w:w="101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3.77 </w:t>
            </w:r>
          </w:p>
        </w:tc>
        <w:tc>
          <w:tcPr>
            <w:tcW w:w="93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18.24 </w:t>
            </w:r>
          </w:p>
        </w:tc>
        <w:tc>
          <w:tcPr>
            <w:tcW w:w="938" w:type="dxa"/>
            <w:tcBorders>
              <w:top w:val="single" w:color="000000" w:sz="4" w:space="0"/>
              <w:left w:val="nil"/>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17.64 </w:t>
            </w:r>
          </w:p>
        </w:tc>
        <w:tc>
          <w:tcPr>
            <w:tcW w:w="110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5781.47 </w:t>
            </w:r>
          </w:p>
        </w:tc>
        <w:tc>
          <w:tcPr>
            <w:tcW w:w="82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5.66 </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乌苏市皇宫镇中心学校</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150 </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15.33 </w:t>
            </w:r>
          </w:p>
        </w:tc>
        <w:tc>
          <w:tcPr>
            <w:tcW w:w="103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1.33 </w:t>
            </w:r>
          </w:p>
        </w:tc>
        <w:tc>
          <w:tcPr>
            <w:tcW w:w="101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2.67 </w:t>
            </w:r>
          </w:p>
        </w:tc>
        <w:tc>
          <w:tcPr>
            <w:tcW w:w="93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11.14 </w:t>
            </w:r>
          </w:p>
        </w:tc>
        <w:tc>
          <w:tcPr>
            <w:tcW w:w="938" w:type="dxa"/>
            <w:tcBorders>
              <w:top w:val="single" w:color="000000" w:sz="4" w:space="0"/>
              <w:left w:val="nil"/>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16.67 </w:t>
            </w:r>
          </w:p>
        </w:tc>
        <w:tc>
          <w:tcPr>
            <w:tcW w:w="110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3879.87 </w:t>
            </w:r>
          </w:p>
        </w:tc>
        <w:tc>
          <w:tcPr>
            <w:tcW w:w="82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6,67</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乌苏市车排子镇中心学校</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128 </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17.97 </w:t>
            </w:r>
          </w:p>
        </w:tc>
        <w:tc>
          <w:tcPr>
            <w:tcW w:w="103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1.56 </w:t>
            </w:r>
          </w:p>
        </w:tc>
        <w:tc>
          <w:tcPr>
            <w:tcW w:w="101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3.13 </w:t>
            </w:r>
          </w:p>
        </w:tc>
        <w:tc>
          <w:tcPr>
            <w:tcW w:w="93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13.23 </w:t>
            </w:r>
          </w:p>
        </w:tc>
        <w:tc>
          <w:tcPr>
            <w:tcW w:w="938" w:type="dxa"/>
            <w:tcBorders>
              <w:top w:val="single" w:color="000000" w:sz="4" w:space="0"/>
              <w:left w:val="nil"/>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19.53 </w:t>
            </w:r>
          </w:p>
        </w:tc>
        <w:tc>
          <w:tcPr>
            <w:tcW w:w="110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5007.73 </w:t>
            </w:r>
          </w:p>
        </w:tc>
        <w:tc>
          <w:tcPr>
            <w:tcW w:w="82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7.81 </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乌苏市夹河子乡中心学校</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45 </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26.67 </w:t>
            </w:r>
          </w:p>
        </w:tc>
        <w:tc>
          <w:tcPr>
            <w:tcW w:w="103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4.44 </w:t>
            </w:r>
          </w:p>
        </w:tc>
        <w:tc>
          <w:tcPr>
            <w:tcW w:w="101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 </w:t>
            </w:r>
          </w:p>
        </w:tc>
        <w:tc>
          <w:tcPr>
            <w:tcW w:w="93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12.26 </w:t>
            </w:r>
          </w:p>
        </w:tc>
        <w:tc>
          <w:tcPr>
            <w:tcW w:w="938" w:type="dxa"/>
            <w:tcBorders>
              <w:top w:val="single" w:color="000000" w:sz="4" w:space="0"/>
              <w:left w:val="nil"/>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41.11 </w:t>
            </w:r>
          </w:p>
        </w:tc>
        <w:tc>
          <w:tcPr>
            <w:tcW w:w="110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8875.60 </w:t>
            </w:r>
          </w:p>
        </w:tc>
        <w:tc>
          <w:tcPr>
            <w:tcW w:w="82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13.30 </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乌苏市石桥乡中心学校</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69 </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23.19 </w:t>
            </w:r>
          </w:p>
        </w:tc>
        <w:tc>
          <w:tcPr>
            <w:tcW w:w="103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4.35 </w:t>
            </w:r>
          </w:p>
        </w:tc>
        <w:tc>
          <w:tcPr>
            <w:tcW w:w="101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2.90 </w:t>
            </w:r>
          </w:p>
        </w:tc>
        <w:tc>
          <w:tcPr>
            <w:tcW w:w="93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17.86 </w:t>
            </w:r>
          </w:p>
        </w:tc>
        <w:tc>
          <w:tcPr>
            <w:tcW w:w="938" w:type="dxa"/>
            <w:tcBorders>
              <w:top w:val="single" w:color="000000" w:sz="4" w:space="0"/>
              <w:left w:val="nil"/>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36.23 </w:t>
            </w:r>
          </w:p>
        </w:tc>
        <w:tc>
          <w:tcPr>
            <w:tcW w:w="110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3550.29 </w:t>
            </w:r>
          </w:p>
        </w:tc>
        <w:tc>
          <w:tcPr>
            <w:tcW w:w="82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14.50 </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乌苏市西大沟镇中心学校</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16.13 </w:t>
            </w:r>
          </w:p>
        </w:tc>
        <w:tc>
          <w:tcPr>
            <w:tcW w:w="103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2.42 </w:t>
            </w:r>
          </w:p>
        </w:tc>
        <w:tc>
          <w:tcPr>
            <w:tcW w:w="101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1.61 </w:t>
            </w:r>
          </w:p>
        </w:tc>
        <w:tc>
          <w:tcPr>
            <w:tcW w:w="93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14.45 </w:t>
            </w:r>
          </w:p>
        </w:tc>
        <w:tc>
          <w:tcPr>
            <w:tcW w:w="938" w:type="dxa"/>
            <w:tcBorders>
              <w:top w:val="single" w:color="000000" w:sz="4" w:space="0"/>
              <w:left w:val="nil"/>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15.00 </w:t>
            </w:r>
          </w:p>
        </w:tc>
        <w:tc>
          <w:tcPr>
            <w:tcW w:w="110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6512.78 </w:t>
            </w:r>
          </w:p>
        </w:tc>
        <w:tc>
          <w:tcPr>
            <w:tcW w:w="82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4.84 </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乌苏市甘河子镇中心学校</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128 </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17.97 </w:t>
            </w:r>
          </w:p>
        </w:tc>
        <w:tc>
          <w:tcPr>
            <w:tcW w:w="103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4.69 </w:t>
            </w:r>
          </w:p>
        </w:tc>
        <w:tc>
          <w:tcPr>
            <w:tcW w:w="101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3.91 </w:t>
            </w:r>
          </w:p>
        </w:tc>
        <w:tc>
          <w:tcPr>
            <w:tcW w:w="93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13.83 </w:t>
            </w:r>
          </w:p>
        </w:tc>
        <w:tc>
          <w:tcPr>
            <w:tcW w:w="938" w:type="dxa"/>
            <w:tcBorders>
              <w:top w:val="single" w:color="000000" w:sz="4" w:space="0"/>
              <w:left w:val="nil"/>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15.00 </w:t>
            </w:r>
          </w:p>
        </w:tc>
        <w:tc>
          <w:tcPr>
            <w:tcW w:w="110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6407.74 </w:t>
            </w:r>
          </w:p>
        </w:tc>
        <w:tc>
          <w:tcPr>
            <w:tcW w:w="82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4.69 </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乌苏市百泉镇中心学校</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17.57 </w:t>
            </w:r>
          </w:p>
        </w:tc>
        <w:tc>
          <w:tcPr>
            <w:tcW w:w="103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1.35 </w:t>
            </w:r>
          </w:p>
        </w:tc>
        <w:tc>
          <w:tcPr>
            <w:tcW w:w="101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4.05 </w:t>
            </w:r>
          </w:p>
        </w:tc>
        <w:tc>
          <w:tcPr>
            <w:tcW w:w="93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19.01 </w:t>
            </w:r>
          </w:p>
        </w:tc>
        <w:tc>
          <w:tcPr>
            <w:tcW w:w="93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26.01 </w:t>
            </w:r>
          </w:p>
        </w:tc>
        <w:tc>
          <w:tcPr>
            <w:tcW w:w="110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8412.61 </w:t>
            </w:r>
          </w:p>
        </w:tc>
        <w:tc>
          <w:tcPr>
            <w:tcW w:w="82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8.11 </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乌苏市吉尔格勒特乡中心学校</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17.07 </w:t>
            </w:r>
          </w:p>
        </w:tc>
        <w:tc>
          <w:tcPr>
            <w:tcW w:w="103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2.44 </w:t>
            </w:r>
          </w:p>
        </w:tc>
        <w:tc>
          <w:tcPr>
            <w:tcW w:w="101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1.22 </w:t>
            </w:r>
          </w:p>
        </w:tc>
        <w:tc>
          <w:tcPr>
            <w:tcW w:w="93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18.48 </w:t>
            </w:r>
          </w:p>
        </w:tc>
        <w:tc>
          <w:tcPr>
            <w:tcW w:w="93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25.61 </w:t>
            </w:r>
          </w:p>
        </w:tc>
        <w:tc>
          <w:tcPr>
            <w:tcW w:w="110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9380.40 </w:t>
            </w:r>
          </w:p>
        </w:tc>
        <w:tc>
          <w:tcPr>
            <w:tcW w:w="82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8.54 </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kern w:val="0"/>
                <w:sz w:val="20"/>
                <w:szCs w:val="20"/>
                <w:u w:val="none"/>
                <w:lang w:val="en-US" w:eastAsia="zh-CN"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乌苏市第四中学</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1728 </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790"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34 </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6.60 </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1.62 </w:t>
            </w:r>
          </w:p>
        </w:tc>
        <w:tc>
          <w:tcPr>
            <w:tcW w:w="101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0.93 </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6.42 </w:t>
            </w:r>
          </w:p>
        </w:tc>
        <w:tc>
          <w:tcPr>
            <w:tcW w:w="938" w:type="dxa"/>
            <w:tcBorders>
              <w:top w:val="single" w:color="000000" w:sz="4" w:space="0"/>
              <w:left w:val="nil"/>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12.20 </w:t>
            </w:r>
          </w:p>
        </w:tc>
        <w:tc>
          <w:tcPr>
            <w:tcW w:w="110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4670.61 </w:t>
            </w:r>
          </w:p>
        </w:tc>
        <w:tc>
          <w:tcPr>
            <w:tcW w:w="82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3.01 </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kern w:val="0"/>
                <w:sz w:val="20"/>
                <w:szCs w:val="20"/>
                <w:u w:val="none"/>
                <w:lang w:val="en-US" w:eastAsia="zh-CN" w:bidi="ar"/>
              </w:rPr>
              <w:t>2</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乌苏市第五中学</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1943 </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 </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6.85 </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1.49 </w:t>
            </w:r>
          </w:p>
        </w:tc>
        <w:tc>
          <w:tcPr>
            <w:tcW w:w="101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0.93 </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8.96 </w:t>
            </w:r>
          </w:p>
        </w:tc>
        <w:tc>
          <w:tcPr>
            <w:tcW w:w="938" w:type="dxa"/>
            <w:tcBorders>
              <w:top w:val="single" w:color="000000" w:sz="4" w:space="0"/>
              <w:left w:val="nil"/>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14.41 </w:t>
            </w:r>
          </w:p>
        </w:tc>
        <w:tc>
          <w:tcPr>
            <w:tcW w:w="110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3838.48 </w:t>
            </w:r>
          </w:p>
        </w:tc>
        <w:tc>
          <w:tcPr>
            <w:tcW w:w="82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2.57 </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kern w:val="0"/>
                <w:sz w:val="20"/>
                <w:szCs w:val="20"/>
                <w:u w:val="none"/>
                <w:lang w:val="en-US" w:eastAsia="zh-CN" w:bidi="ar"/>
              </w:rPr>
              <w:t>3</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乌苏市第三中学（初中部）</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718</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7.24 </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2.23 </w:t>
            </w:r>
          </w:p>
        </w:tc>
        <w:tc>
          <w:tcPr>
            <w:tcW w:w="101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1.25 </w:t>
            </w:r>
          </w:p>
        </w:tc>
        <w:tc>
          <w:tcPr>
            <w:tcW w:w="93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6.13 </w:t>
            </w:r>
          </w:p>
        </w:tc>
        <w:tc>
          <w:tcPr>
            <w:tcW w:w="93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12.13 </w:t>
            </w:r>
          </w:p>
        </w:tc>
        <w:tc>
          <w:tcPr>
            <w:tcW w:w="110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4585.00 </w:t>
            </w:r>
          </w:p>
        </w:tc>
        <w:tc>
          <w:tcPr>
            <w:tcW w:w="82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4.24 </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kern w:val="0"/>
                <w:sz w:val="20"/>
                <w:szCs w:val="20"/>
                <w:u w:val="none"/>
                <w:lang w:val="en-US" w:eastAsia="zh-CN" w:bidi="ar"/>
              </w:rPr>
              <w:t>4</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乌苏市第二中学（初中部）</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953 </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7.45 </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1.78 </w:t>
            </w:r>
          </w:p>
        </w:tc>
        <w:tc>
          <w:tcPr>
            <w:tcW w:w="101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0.94 </w:t>
            </w:r>
          </w:p>
        </w:tc>
        <w:tc>
          <w:tcPr>
            <w:tcW w:w="93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5.86 </w:t>
            </w:r>
          </w:p>
        </w:tc>
        <w:tc>
          <w:tcPr>
            <w:tcW w:w="93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16.93 </w:t>
            </w:r>
          </w:p>
        </w:tc>
        <w:tc>
          <w:tcPr>
            <w:tcW w:w="110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3337.76 </w:t>
            </w:r>
          </w:p>
        </w:tc>
        <w:tc>
          <w:tcPr>
            <w:tcW w:w="82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3.19 </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kern w:val="0"/>
                <w:sz w:val="20"/>
                <w:szCs w:val="20"/>
                <w:u w:val="none"/>
                <w:lang w:val="en-US" w:eastAsia="zh-CN" w:bidi="ar"/>
              </w:rPr>
              <w:t>5</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乌苏市第六中学（初中部）</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1519 </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6.52 </w:t>
            </w:r>
          </w:p>
        </w:tc>
        <w:tc>
          <w:tcPr>
            <w:tcW w:w="1037" w:type="dxa"/>
            <w:tcBorders>
              <w:top w:val="nil"/>
              <w:left w:val="nil"/>
              <w:bottom w:val="nil"/>
              <w:right w:val="nil"/>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1.05 </w:t>
            </w:r>
          </w:p>
        </w:tc>
        <w:tc>
          <w:tcPr>
            <w:tcW w:w="101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0.92 </w:t>
            </w:r>
          </w:p>
        </w:tc>
        <w:tc>
          <w:tcPr>
            <w:tcW w:w="93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6.07 </w:t>
            </w:r>
          </w:p>
        </w:tc>
        <w:tc>
          <w:tcPr>
            <w:tcW w:w="93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10.67 </w:t>
            </w:r>
          </w:p>
        </w:tc>
        <w:tc>
          <w:tcPr>
            <w:tcW w:w="110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2590.90 </w:t>
            </w:r>
          </w:p>
        </w:tc>
        <w:tc>
          <w:tcPr>
            <w:tcW w:w="82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2.79 </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kern w:val="0"/>
                <w:sz w:val="20"/>
                <w:szCs w:val="20"/>
                <w:u w:val="none"/>
                <w:lang w:val="en-US" w:eastAsia="zh-CN" w:bidi="ar"/>
              </w:rPr>
              <w:t>6</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乌苏市哈图布呼镇中心学校（初中部）</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564 </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9.57 </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2.84 </w:t>
            </w:r>
          </w:p>
        </w:tc>
        <w:tc>
          <w:tcPr>
            <w:tcW w:w="101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1.06 </w:t>
            </w:r>
          </w:p>
        </w:tc>
        <w:tc>
          <w:tcPr>
            <w:tcW w:w="93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8.45 </w:t>
            </w:r>
          </w:p>
        </w:tc>
        <w:tc>
          <w:tcPr>
            <w:tcW w:w="93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24.33 </w:t>
            </w:r>
          </w:p>
        </w:tc>
        <w:tc>
          <w:tcPr>
            <w:tcW w:w="110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3237.40 </w:t>
            </w:r>
          </w:p>
        </w:tc>
        <w:tc>
          <w:tcPr>
            <w:tcW w:w="82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3.59 </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kern w:val="0"/>
                <w:sz w:val="20"/>
                <w:szCs w:val="20"/>
                <w:u w:val="none"/>
                <w:lang w:val="en-US" w:eastAsia="zh-CN" w:bidi="ar"/>
              </w:rPr>
              <w:t>7</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乌苏市四棵树镇中心学校（初中部）</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295 </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10.17 </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2.03 </w:t>
            </w:r>
          </w:p>
        </w:tc>
        <w:tc>
          <w:tcPr>
            <w:tcW w:w="101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1.02 </w:t>
            </w:r>
          </w:p>
        </w:tc>
        <w:tc>
          <w:tcPr>
            <w:tcW w:w="93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9.52 </w:t>
            </w:r>
          </w:p>
        </w:tc>
        <w:tc>
          <w:tcPr>
            <w:tcW w:w="93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23.19 </w:t>
            </w:r>
          </w:p>
        </w:tc>
        <w:tc>
          <w:tcPr>
            <w:tcW w:w="110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5351.00 </w:t>
            </w:r>
          </w:p>
        </w:tc>
        <w:tc>
          <w:tcPr>
            <w:tcW w:w="82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4.64 </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kern w:val="0"/>
                <w:sz w:val="20"/>
                <w:szCs w:val="20"/>
                <w:u w:val="none"/>
                <w:lang w:val="en-US" w:eastAsia="zh-CN" w:bidi="ar"/>
              </w:rPr>
              <w:t>8</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乌苏市古尔图镇中心学校（初中部）</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248 </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790"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9.68 </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2.42 </w:t>
            </w:r>
          </w:p>
        </w:tc>
        <w:tc>
          <w:tcPr>
            <w:tcW w:w="101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1.21 </w:t>
            </w:r>
          </w:p>
        </w:tc>
        <w:tc>
          <w:tcPr>
            <w:tcW w:w="93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9.54 </w:t>
            </w:r>
          </w:p>
        </w:tc>
        <w:tc>
          <w:tcPr>
            <w:tcW w:w="93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23.10 </w:t>
            </w:r>
          </w:p>
        </w:tc>
        <w:tc>
          <w:tcPr>
            <w:tcW w:w="110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3588.20 </w:t>
            </w:r>
          </w:p>
        </w:tc>
        <w:tc>
          <w:tcPr>
            <w:tcW w:w="82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3.41 </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8" w:hRule="atLeast"/>
        </w:trPr>
        <w:tc>
          <w:tcPr>
            <w:tcW w:w="15760" w:type="dxa"/>
            <w:gridSpan w:val="14"/>
            <w:tcBorders>
              <w:top w:val="nil"/>
              <w:left w:val="nil"/>
              <w:bottom w:val="nil"/>
              <w:right w:val="nil"/>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w:t>
            </w:r>
            <w:r>
              <w:rPr>
                <w:rStyle w:val="17"/>
                <w:rFonts w:eastAsia="宋体"/>
                <w:lang w:val="en-US" w:eastAsia="zh-CN" w:bidi="ar"/>
              </w:rPr>
              <w:t>1.</w:t>
            </w:r>
            <w:r>
              <w:rPr>
                <w:rFonts w:hint="eastAsia" w:ascii="宋体" w:hAnsi="宋体" w:eastAsia="宋体" w:cs="宋体"/>
                <w:i w:val="0"/>
                <w:color w:val="000000"/>
                <w:kern w:val="0"/>
                <w:sz w:val="20"/>
                <w:szCs w:val="20"/>
                <w:u w:val="none"/>
                <w:lang w:val="en-US" w:eastAsia="zh-CN" w:bidi="ar"/>
              </w:rPr>
              <w:t>小学学校总数＿</w:t>
            </w:r>
            <w:r>
              <w:rPr>
                <w:rStyle w:val="17"/>
                <w:rFonts w:eastAsia="宋体"/>
                <w:lang w:val="en-US" w:eastAsia="zh-CN" w:bidi="ar"/>
              </w:rPr>
              <w:t>22</w:t>
            </w:r>
            <w:r>
              <w:rPr>
                <w:rFonts w:hint="eastAsia" w:ascii="宋体" w:hAnsi="宋体" w:eastAsia="宋体" w:cs="宋体"/>
                <w:i w:val="0"/>
                <w:color w:val="000000"/>
                <w:kern w:val="0"/>
                <w:sz w:val="20"/>
                <w:szCs w:val="20"/>
                <w:u w:val="none"/>
                <w:lang w:val="en-US" w:eastAsia="zh-CN" w:bidi="ar"/>
              </w:rPr>
              <w:t>＿所（其中：一贯制学校的小学部有6所，</w:t>
            </w:r>
            <w:r>
              <w:rPr>
                <w:rStyle w:val="17"/>
                <w:rFonts w:eastAsia="宋体"/>
                <w:lang w:val="en-US" w:eastAsia="zh-CN" w:bidi="ar"/>
              </w:rPr>
              <w:t>50</w:t>
            </w:r>
            <w:r>
              <w:rPr>
                <w:rFonts w:hint="eastAsia" w:ascii="宋体" w:hAnsi="宋体" w:eastAsia="宋体" w:cs="宋体"/>
                <w:i w:val="0"/>
                <w:color w:val="000000"/>
                <w:kern w:val="0"/>
                <w:sz w:val="20"/>
                <w:szCs w:val="20"/>
                <w:u w:val="none"/>
                <w:lang w:val="en-US" w:eastAsia="zh-CN" w:bidi="ar"/>
              </w:rPr>
              <w:t>人及以上教学点有＿</w:t>
            </w:r>
            <w:r>
              <w:rPr>
                <w:rStyle w:val="17"/>
                <w:rFonts w:eastAsia="宋体"/>
                <w:lang w:val="en-US" w:eastAsia="zh-CN" w:bidi="ar"/>
              </w:rPr>
              <w:t>0</w:t>
            </w:r>
            <w:r>
              <w:rPr>
                <w:rFonts w:hint="eastAsia" w:ascii="宋体" w:hAnsi="宋体" w:eastAsia="宋体" w:cs="宋体"/>
                <w:i w:val="0"/>
                <w:color w:val="000000"/>
                <w:kern w:val="0"/>
                <w:sz w:val="20"/>
                <w:szCs w:val="20"/>
                <w:u w:val="none"/>
                <w:lang w:val="en-US" w:eastAsia="zh-CN" w:bidi="ar"/>
              </w:rPr>
              <w:t>＿个），初中学校总数＿</w:t>
            </w:r>
            <w:r>
              <w:rPr>
                <w:rStyle w:val="17"/>
                <w:rFonts w:eastAsia="宋体"/>
                <w:lang w:val="en-US" w:eastAsia="zh-CN" w:bidi="ar"/>
              </w:rPr>
              <w:t>8</w:t>
            </w:r>
            <w:r>
              <w:rPr>
                <w:rFonts w:hint="eastAsia" w:ascii="宋体" w:hAnsi="宋体" w:eastAsia="宋体" w:cs="宋体"/>
                <w:i w:val="0"/>
                <w:color w:val="000000"/>
                <w:kern w:val="0"/>
                <w:sz w:val="20"/>
                <w:szCs w:val="20"/>
                <w:u w:val="none"/>
                <w:lang w:val="en-US" w:eastAsia="zh-CN" w:bidi="ar"/>
              </w:rPr>
              <w:t>＿所（其中：一贯制学校的初中部</w:t>
            </w:r>
            <w:r>
              <w:rPr>
                <w:rStyle w:val="18"/>
                <w:lang w:val="en-US" w:eastAsia="zh-CN" w:bidi="ar"/>
              </w:rPr>
              <w:t>6</w:t>
            </w:r>
            <w:r>
              <w:rPr>
                <w:rFonts w:hint="eastAsia" w:ascii="宋体" w:hAnsi="宋体" w:eastAsia="宋体" w:cs="宋体"/>
                <w:i w:val="0"/>
                <w:color w:val="000000"/>
                <w:kern w:val="0"/>
                <w:sz w:val="20"/>
                <w:szCs w:val="20"/>
                <w:u w:val="none"/>
                <w:lang w:val="en-US" w:eastAsia="zh-CN" w:bidi="ar"/>
              </w:rPr>
              <w:t>所，完全中学的初中部＿</w:t>
            </w:r>
            <w:r>
              <w:rPr>
                <w:rStyle w:val="17"/>
                <w:rFonts w:eastAsia="宋体"/>
                <w:lang w:val="en-US" w:eastAsia="zh-CN" w:bidi="ar"/>
              </w:rPr>
              <w:t>0</w:t>
            </w:r>
            <w:r>
              <w:rPr>
                <w:rFonts w:hint="eastAsia" w:ascii="宋体" w:hAnsi="宋体" w:eastAsia="宋体" w:cs="宋体"/>
                <w:i w:val="0"/>
                <w:color w:val="000000"/>
                <w:kern w:val="0"/>
                <w:sz w:val="20"/>
                <w:szCs w:val="20"/>
                <w:u w:val="none"/>
                <w:lang w:val="en-US" w:eastAsia="zh-CN" w:bidi="ar"/>
              </w:rPr>
              <w:t>＿所）。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18" w:hRule="atLeast"/>
        </w:trPr>
        <w:tc>
          <w:tcPr>
            <w:tcW w:w="15760" w:type="dxa"/>
            <w:gridSpan w:val="14"/>
            <w:tcBorders>
              <w:top w:val="nil"/>
              <w:left w:val="nil"/>
              <w:bottom w:val="nil"/>
              <w:right w:val="nil"/>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w:t>
            </w:r>
            <w:r>
              <w:rPr>
                <w:rFonts w:hint="eastAsia" w:ascii="宋体" w:hAnsi="宋体" w:eastAsia="宋体" w:cs="宋体"/>
                <w:i w:val="0"/>
                <w:color w:val="000000"/>
                <w:kern w:val="0"/>
                <w:sz w:val="20"/>
                <w:szCs w:val="20"/>
                <w:u w:val="none"/>
                <w:lang w:val="en-US" w:eastAsia="zh-CN" w:bidi="ar"/>
              </w:rPr>
              <w:t>举办者类型处填写代码：中央教育部门代码为</w:t>
            </w:r>
            <w:r>
              <w:rPr>
                <w:rFonts w:hint="default" w:ascii="Times New Roman" w:hAnsi="Times New Roman" w:eastAsia="宋体" w:cs="Times New Roman"/>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、中央其他部门为</w:t>
            </w:r>
            <w:r>
              <w:rPr>
                <w:rFonts w:hint="default" w:ascii="Times New Roman" w:hAnsi="Times New Roman" w:eastAsia="宋体" w:cs="Times New Roman"/>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、省级教育部门为</w:t>
            </w:r>
            <w:r>
              <w:rPr>
                <w:rFonts w:hint="default" w:ascii="Times New Roman" w:hAnsi="Times New Roman" w:eastAsia="宋体" w:cs="Times New Roman"/>
                <w:i w:val="0"/>
                <w:color w:val="000000"/>
                <w:kern w:val="0"/>
                <w:sz w:val="20"/>
                <w:szCs w:val="20"/>
                <w:u w:val="none"/>
                <w:lang w:val="en-US" w:eastAsia="zh-CN" w:bidi="ar"/>
              </w:rPr>
              <w:t>3</w:t>
            </w:r>
            <w:r>
              <w:rPr>
                <w:rFonts w:hint="eastAsia" w:ascii="宋体" w:hAnsi="宋体" w:eastAsia="宋体" w:cs="宋体"/>
                <w:i w:val="0"/>
                <w:color w:val="000000"/>
                <w:kern w:val="0"/>
                <w:sz w:val="20"/>
                <w:szCs w:val="20"/>
                <w:u w:val="none"/>
                <w:lang w:val="en-US" w:eastAsia="zh-CN" w:bidi="ar"/>
              </w:rPr>
              <w:t>、省级其他部门为</w:t>
            </w:r>
            <w:r>
              <w:rPr>
                <w:rFonts w:hint="default" w:ascii="Times New Roman" w:hAnsi="Times New Roman" w:eastAsia="宋体" w:cs="Times New Roman"/>
                <w:i w:val="0"/>
                <w:color w:val="000000"/>
                <w:kern w:val="0"/>
                <w:sz w:val="20"/>
                <w:szCs w:val="20"/>
                <w:u w:val="none"/>
                <w:lang w:val="en-US" w:eastAsia="zh-CN" w:bidi="ar"/>
              </w:rPr>
              <w:t>4</w:t>
            </w:r>
            <w:r>
              <w:rPr>
                <w:rFonts w:hint="eastAsia" w:ascii="宋体" w:hAnsi="宋体" w:eastAsia="宋体" w:cs="宋体"/>
                <w:i w:val="0"/>
                <w:color w:val="000000"/>
                <w:kern w:val="0"/>
                <w:sz w:val="20"/>
                <w:szCs w:val="20"/>
                <w:u w:val="none"/>
                <w:lang w:val="en-US" w:eastAsia="zh-CN" w:bidi="ar"/>
              </w:rPr>
              <w:t>、地级教育部门为</w:t>
            </w:r>
            <w:r>
              <w:rPr>
                <w:rFonts w:hint="default" w:ascii="Times New Roman" w:hAnsi="Times New Roman" w:eastAsia="宋体" w:cs="Times New Roman"/>
                <w:i w:val="0"/>
                <w:color w:val="000000"/>
                <w:kern w:val="0"/>
                <w:sz w:val="20"/>
                <w:szCs w:val="20"/>
                <w:u w:val="none"/>
                <w:lang w:val="en-US" w:eastAsia="zh-CN" w:bidi="ar"/>
              </w:rPr>
              <w:t>5</w:t>
            </w:r>
            <w:r>
              <w:rPr>
                <w:rFonts w:hint="eastAsia" w:ascii="宋体" w:hAnsi="宋体" w:eastAsia="宋体" w:cs="宋体"/>
                <w:i w:val="0"/>
                <w:color w:val="000000"/>
                <w:kern w:val="0"/>
                <w:sz w:val="20"/>
                <w:szCs w:val="20"/>
                <w:u w:val="none"/>
                <w:lang w:val="en-US" w:eastAsia="zh-CN" w:bidi="ar"/>
              </w:rPr>
              <w:t>、地级其他部门为</w:t>
            </w:r>
            <w:r>
              <w:rPr>
                <w:rFonts w:hint="default" w:ascii="Times New Roman" w:hAnsi="Times New Roman" w:eastAsia="宋体" w:cs="Times New Roman"/>
                <w:i w:val="0"/>
                <w:color w:val="000000"/>
                <w:kern w:val="0"/>
                <w:sz w:val="20"/>
                <w:szCs w:val="20"/>
                <w:u w:val="none"/>
                <w:lang w:val="en-US" w:eastAsia="zh-CN" w:bidi="ar"/>
              </w:rPr>
              <w:t>6</w:t>
            </w:r>
            <w:r>
              <w:rPr>
                <w:rFonts w:hint="eastAsia" w:ascii="宋体" w:hAnsi="宋体" w:eastAsia="宋体" w:cs="宋体"/>
                <w:i w:val="0"/>
                <w:color w:val="000000"/>
                <w:kern w:val="0"/>
                <w:sz w:val="20"/>
                <w:szCs w:val="20"/>
                <w:u w:val="none"/>
                <w:lang w:val="en-US" w:eastAsia="zh-CN" w:bidi="ar"/>
              </w:rPr>
              <w:t>、县级教育部门为</w:t>
            </w:r>
            <w:r>
              <w:rPr>
                <w:rFonts w:hint="default" w:ascii="Times New Roman" w:hAnsi="Times New Roman" w:eastAsia="宋体" w:cs="Times New Roman"/>
                <w:i w:val="0"/>
                <w:color w:val="000000"/>
                <w:kern w:val="0"/>
                <w:sz w:val="20"/>
                <w:szCs w:val="20"/>
                <w:u w:val="none"/>
                <w:lang w:val="en-US" w:eastAsia="zh-CN" w:bidi="ar"/>
              </w:rPr>
              <w:t>7</w:t>
            </w:r>
            <w:r>
              <w:rPr>
                <w:rFonts w:hint="eastAsia" w:ascii="宋体" w:hAnsi="宋体" w:eastAsia="宋体" w:cs="宋体"/>
                <w:i w:val="0"/>
                <w:color w:val="000000"/>
                <w:kern w:val="0"/>
                <w:sz w:val="20"/>
                <w:szCs w:val="20"/>
                <w:u w:val="none"/>
                <w:lang w:val="en-US" w:eastAsia="zh-CN" w:bidi="ar"/>
              </w:rPr>
              <w:t>、县级其他部门为</w:t>
            </w:r>
            <w:r>
              <w:rPr>
                <w:rFonts w:hint="default" w:ascii="Times New Roman" w:hAnsi="Times New Roman" w:eastAsia="宋体" w:cs="Times New Roman"/>
                <w:i w:val="0"/>
                <w:color w:val="000000"/>
                <w:kern w:val="0"/>
                <w:sz w:val="20"/>
                <w:szCs w:val="20"/>
                <w:u w:val="none"/>
                <w:lang w:val="en-US" w:eastAsia="zh-CN" w:bidi="ar"/>
              </w:rPr>
              <w:t>8</w:t>
            </w:r>
            <w:r>
              <w:rPr>
                <w:rFonts w:hint="eastAsia" w:ascii="宋体" w:hAnsi="宋体" w:eastAsia="宋体" w:cs="宋体"/>
                <w:i w:val="0"/>
                <w:color w:val="000000"/>
                <w:kern w:val="0"/>
                <w:sz w:val="20"/>
                <w:szCs w:val="20"/>
                <w:u w:val="none"/>
                <w:lang w:val="en-US" w:eastAsia="zh-CN" w:bidi="ar"/>
              </w:rPr>
              <w:t>、地方企业为</w:t>
            </w:r>
            <w:r>
              <w:rPr>
                <w:rFonts w:hint="default" w:ascii="Times New Roman" w:hAnsi="Times New Roman" w:eastAsia="宋体" w:cs="Times New Roman"/>
                <w:i w:val="0"/>
                <w:color w:val="000000"/>
                <w:kern w:val="0"/>
                <w:sz w:val="20"/>
                <w:szCs w:val="20"/>
                <w:u w:val="none"/>
                <w:lang w:val="en-US" w:eastAsia="zh-CN" w:bidi="ar"/>
              </w:rPr>
              <w:t>9</w:t>
            </w:r>
            <w:r>
              <w:rPr>
                <w:rFonts w:hint="eastAsia" w:ascii="宋体" w:hAnsi="宋体" w:eastAsia="宋体" w:cs="宋体"/>
                <w:i w:val="0"/>
                <w:color w:val="000000"/>
                <w:kern w:val="0"/>
                <w:sz w:val="20"/>
                <w:szCs w:val="20"/>
                <w:u w:val="none"/>
                <w:lang w:val="en-US" w:eastAsia="zh-CN" w:bidi="ar"/>
              </w:rPr>
              <w:t>、民办为</w:t>
            </w:r>
            <w:r>
              <w:rPr>
                <w:rFonts w:hint="default" w:ascii="Times New Roman" w:hAnsi="Times New Roman" w:eastAsia="宋体" w:cs="Times New Roman"/>
                <w:i w:val="0"/>
                <w:color w:val="000000"/>
                <w:kern w:val="0"/>
                <w:sz w:val="20"/>
                <w:szCs w:val="20"/>
                <w:u w:val="none"/>
                <w:lang w:val="en-US" w:eastAsia="zh-CN" w:bidi="ar"/>
              </w:rPr>
              <w:t>10</w:t>
            </w: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5760" w:type="dxa"/>
            <w:gridSpan w:val="14"/>
            <w:tcBorders>
              <w:top w:val="nil"/>
              <w:left w:val="nil"/>
              <w:bottom w:val="nil"/>
              <w:right w:val="nil"/>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 L7-L13</w:t>
            </w:r>
            <w:r>
              <w:rPr>
                <w:rFonts w:hint="eastAsia" w:ascii="宋体" w:hAnsi="宋体" w:eastAsia="宋体" w:cs="宋体"/>
                <w:i w:val="0"/>
                <w:color w:val="000000"/>
                <w:kern w:val="0"/>
                <w:sz w:val="20"/>
                <w:szCs w:val="20"/>
                <w:u w:val="none"/>
                <w:lang w:val="en-US" w:eastAsia="zh-CN" w:bidi="ar"/>
              </w:rPr>
              <w:t>数值均保留两位小数。</w:t>
            </w:r>
          </w:p>
        </w:tc>
      </w:tr>
    </w:tbl>
    <w:p/>
    <w:tbl>
      <w:tblPr>
        <w:tblStyle w:val="2"/>
        <w:tblW w:w="15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91"/>
        <w:gridCol w:w="1391"/>
        <w:gridCol w:w="868"/>
        <w:gridCol w:w="716"/>
        <w:gridCol w:w="1567"/>
        <w:gridCol w:w="18"/>
        <w:gridCol w:w="143"/>
        <w:gridCol w:w="1441"/>
        <w:gridCol w:w="335"/>
        <w:gridCol w:w="1232"/>
        <w:gridCol w:w="1585"/>
        <w:gridCol w:w="1584"/>
        <w:gridCol w:w="1511"/>
        <w:gridCol w:w="21"/>
        <w:gridCol w:w="53"/>
        <w:gridCol w:w="108"/>
        <w:gridCol w:w="579"/>
        <w:gridCol w:w="355"/>
        <w:gridCol w:w="216"/>
        <w:gridCol w:w="326"/>
        <w:gridCol w:w="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520" w:type="dxa"/>
          <w:trHeight w:val="818" w:hRule="atLeast"/>
        </w:trPr>
        <w:tc>
          <w:tcPr>
            <w:tcW w:w="15440" w:type="dxa"/>
            <w:gridSpan w:val="20"/>
            <w:tcBorders>
              <w:top w:val="nil"/>
              <w:left w:val="nil"/>
              <w:bottom w:val="nil"/>
              <w:right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28"/>
                <w:szCs w:val="28"/>
                <w:u w:val="none"/>
                <w:lang w:val="en-US" w:eastAsia="zh-CN" w:bidi="ar"/>
              </w:rPr>
              <w:t>表Ⅲ 县域义务教育校际均衡情况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520" w:type="dxa"/>
          <w:trHeight w:val="1414" w:hRule="atLeast"/>
        </w:trPr>
        <w:tc>
          <w:tcPr>
            <w:tcW w:w="27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乌苏市</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黑体" w:hAnsi="宋体" w:eastAsia="黑体" w:cs="黑体"/>
                <w:i w:val="0"/>
                <w:color w:val="000000"/>
                <w:kern w:val="0"/>
                <w:sz w:val="18"/>
                <w:szCs w:val="18"/>
                <w:u w:val="none"/>
                <w:lang w:val="en-US" w:eastAsia="zh-CN" w:bidi="ar"/>
              </w:rPr>
              <w:t>每百名学生拥有高于规定学历教师数</w:t>
            </w:r>
          </w:p>
        </w:tc>
        <w:tc>
          <w:tcPr>
            <w:tcW w:w="158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黑体" w:hAnsi="宋体" w:eastAsia="黑体" w:cs="黑体"/>
                <w:i w:val="0"/>
                <w:color w:val="000000"/>
                <w:kern w:val="0"/>
                <w:sz w:val="18"/>
                <w:szCs w:val="18"/>
                <w:u w:val="none"/>
                <w:lang w:val="en-US" w:eastAsia="zh-CN" w:bidi="ar"/>
              </w:rPr>
              <w:t>每百名学生拥有县级及以上骨干教师数</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黑体" w:hAnsi="宋体" w:eastAsia="黑体" w:cs="黑体"/>
                <w:i w:val="0"/>
                <w:color w:val="000000"/>
                <w:kern w:val="0"/>
                <w:sz w:val="18"/>
                <w:szCs w:val="18"/>
                <w:u w:val="none"/>
                <w:lang w:val="en-US" w:eastAsia="zh-CN" w:bidi="ar"/>
              </w:rPr>
              <w:t>每百名学生拥有体育、艺术</w:t>
            </w:r>
            <w:r>
              <w:rPr>
                <w:rFonts w:hint="default" w:ascii="Times New Roman" w:hAnsi="Times New Roman" w:eastAsia="宋体" w:cs="Times New Roman"/>
                <w:i w:val="0"/>
                <w:color w:val="000000"/>
                <w:kern w:val="0"/>
                <w:sz w:val="18"/>
                <w:szCs w:val="18"/>
                <w:u w:val="none"/>
                <w:lang w:val="en-US" w:eastAsia="zh-CN" w:bidi="ar"/>
              </w:rPr>
              <w:t xml:space="preserve"> (</w:t>
            </w:r>
            <w:r>
              <w:rPr>
                <w:rFonts w:hint="eastAsia" w:ascii="黑体" w:hAnsi="宋体" w:eastAsia="黑体" w:cs="黑体"/>
                <w:i w:val="0"/>
                <w:color w:val="000000"/>
                <w:kern w:val="0"/>
                <w:sz w:val="18"/>
                <w:szCs w:val="18"/>
                <w:u w:val="none"/>
                <w:lang w:val="en-US" w:eastAsia="zh-CN" w:bidi="ar"/>
              </w:rPr>
              <w:t>美术、音乐</w:t>
            </w:r>
            <w:r>
              <w:rPr>
                <w:rFonts w:hint="default" w:ascii="Times New Roman" w:hAnsi="Times New Roman" w:eastAsia="宋体" w:cs="Times New Roman"/>
                <w:i w:val="0"/>
                <w:color w:val="000000"/>
                <w:kern w:val="0"/>
                <w:sz w:val="18"/>
                <w:szCs w:val="18"/>
                <w:u w:val="none"/>
                <w:lang w:val="en-US" w:eastAsia="zh-CN" w:bidi="ar"/>
              </w:rPr>
              <w:t>)</w:t>
            </w:r>
            <w:r>
              <w:rPr>
                <w:rFonts w:hint="eastAsia" w:ascii="黑体" w:hAnsi="宋体" w:eastAsia="黑体" w:cs="黑体"/>
                <w:i w:val="0"/>
                <w:color w:val="000000"/>
                <w:kern w:val="0"/>
                <w:sz w:val="18"/>
                <w:szCs w:val="18"/>
                <w:u w:val="none"/>
                <w:lang w:val="en-US" w:eastAsia="zh-CN" w:bidi="ar"/>
              </w:rPr>
              <w:t>专任教师数</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黑体" w:hAnsi="宋体" w:eastAsia="黑体" w:cs="黑体"/>
                <w:i w:val="0"/>
                <w:color w:val="000000"/>
                <w:kern w:val="0"/>
                <w:sz w:val="18"/>
                <w:szCs w:val="18"/>
                <w:u w:val="none"/>
                <w:lang w:val="en-US" w:eastAsia="zh-CN" w:bidi="ar"/>
              </w:rPr>
              <w:t>生均教学及辅助用房面积</w:t>
            </w:r>
            <w:r>
              <w:rPr>
                <w:rFonts w:hint="default" w:ascii="Times New Roman" w:hAnsi="Times New Roman" w:eastAsia="宋体" w:cs="Times New Roman"/>
                <w:i w:val="0"/>
                <w:color w:val="000000"/>
                <w:kern w:val="0"/>
                <w:sz w:val="18"/>
                <w:szCs w:val="18"/>
                <w:u w:val="none"/>
                <w:lang w:val="en-US" w:eastAsia="zh-CN" w:bidi="ar"/>
              </w:rPr>
              <w:br w:type="textWrapping"/>
            </w:r>
            <w:r>
              <w:rPr>
                <w:rFonts w:hint="eastAsia" w:ascii="黑体" w:hAnsi="宋体" w:eastAsia="黑体" w:cs="黑体"/>
                <w:i w:val="0"/>
                <w:color w:val="000000"/>
                <w:kern w:val="0"/>
                <w:sz w:val="18"/>
                <w:szCs w:val="18"/>
                <w:u w:val="none"/>
                <w:lang w:val="en-US" w:eastAsia="zh-CN" w:bidi="ar"/>
              </w:rPr>
              <w:t>（</w:t>
            </w:r>
            <w:r>
              <w:rPr>
                <w:rFonts w:hint="eastAsia" w:ascii="黑体" w:hAnsi="宋体" w:eastAsia="黑体" w:cs="黑体"/>
                <w:i w:val="0"/>
                <w:color w:val="000000"/>
                <w:kern w:val="0"/>
                <w:sz w:val="24"/>
                <w:szCs w:val="24"/>
                <w:u w:val="none"/>
                <w:lang w:val="en-US" w:eastAsia="zh-CN" w:bidi="ar"/>
              </w:rPr>
              <w:t>㎡）</w:t>
            </w:r>
          </w:p>
        </w:tc>
        <w:tc>
          <w:tcPr>
            <w:tcW w:w="15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黑体" w:hAnsi="宋体" w:eastAsia="黑体" w:cs="黑体"/>
                <w:i w:val="0"/>
                <w:color w:val="000000"/>
                <w:kern w:val="0"/>
                <w:sz w:val="18"/>
                <w:szCs w:val="18"/>
                <w:u w:val="none"/>
                <w:lang w:val="en-US" w:eastAsia="zh-CN" w:bidi="ar"/>
              </w:rPr>
              <w:t>生均体育运动场馆面积（</w:t>
            </w:r>
            <w:r>
              <w:rPr>
                <w:rFonts w:hint="eastAsia" w:ascii="黑体" w:hAnsi="宋体" w:eastAsia="黑体" w:cs="黑体"/>
                <w:i w:val="0"/>
                <w:color w:val="000000"/>
                <w:kern w:val="0"/>
                <w:sz w:val="24"/>
                <w:szCs w:val="24"/>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黑体" w:hAnsi="宋体" w:eastAsia="黑体" w:cs="黑体"/>
                <w:i w:val="0"/>
                <w:color w:val="000000"/>
                <w:kern w:val="0"/>
                <w:sz w:val="18"/>
                <w:szCs w:val="18"/>
                <w:u w:val="none"/>
                <w:lang w:val="en-US" w:eastAsia="zh-CN" w:bidi="ar"/>
              </w:rPr>
              <w:t>生均教学仪器设备值</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w:t>
            </w:r>
            <w:r>
              <w:rPr>
                <w:rFonts w:hint="eastAsia" w:ascii="黑体" w:hAnsi="宋体" w:eastAsia="黑体" w:cs="黑体"/>
                <w:i w:val="0"/>
                <w:color w:val="000000"/>
                <w:kern w:val="0"/>
                <w:sz w:val="18"/>
                <w:szCs w:val="18"/>
                <w:u w:val="none"/>
                <w:lang w:val="en-US" w:eastAsia="zh-CN" w:bidi="ar"/>
              </w:rPr>
              <w:t>元</w:t>
            </w:r>
            <w:r>
              <w:rPr>
                <w:rFonts w:hint="default" w:ascii="Times New Roman" w:hAnsi="Times New Roman" w:eastAsia="宋体" w:cs="Times New Roman"/>
                <w:i w:val="0"/>
                <w:color w:val="000000"/>
                <w:kern w:val="0"/>
                <w:sz w:val="18"/>
                <w:szCs w:val="18"/>
                <w:u w:val="none"/>
                <w:lang w:val="en-US" w:eastAsia="zh-CN" w:bidi="ar"/>
              </w:rPr>
              <w:t>)</w:t>
            </w:r>
          </w:p>
        </w:tc>
        <w:tc>
          <w:tcPr>
            <w:tcW w:w="15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黑体" w:hAnsi="宋体" w:eastAsia="黑体" w:cs="黑体"/>
                <w:i w:val="0"/>
                <w:color w:val="000000"/>
                <w:kern w:val="0"/>
                <w:sz w:val="18"/>
                <w:szCs w:val="18"/>
                <w:u w:val="none"/>
                <w:lang w:val="en-US" w:eastAsia="zh-CN" w:bidi="ar"/>
              </w:rPr>
              <w:t>每百名学生拥有网络多媒体教室数</w:t>
            </w:r>
          </w:p>
        </w:tc>
        <w:tc>
          <w:tcPr>
            <w:tcW w:w="1584"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黑体" w:hAnsi="宋体" w:eastAsia="黑体" w:cs="黑体"/>
                <w:i w:val="0"/>
                <w:color w:val="000000"/>
                <w:kern w:val="0"/>
                <w:sz w:val="21"/>
                <w:szCs w:val="21"/>
                <w:u w:val="none"/>
                <w:lang w:val="en-US" w:eastAsia="zh-CN" w:bidi="ar"/>
              </w:rPr>
              <w:t>综合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520" w:type="dxa"/>
          <w:trHeight w:val="907" w:hRule="atLeast"/>
        </w:trPr>
        <w:tc>
          <w:tcPr>
            <w:tcW w:w="27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黑体" w:hAnsi="宋体" w:eastAsia="黑体" w:cs="黑体"/>
                <w:i w:val="0"/>
                <w:color w:val="000000"/>
                <w:sz w:val="21"/>
                <w:szCs w:val="21"/>
                <w:u w:val="none"/>
              </w:rPr>
            </w:pPr>
          </w:p>
        </w:tc>
        <w:tc>
          <w:tcPr>
            <w:tcW w:w="1584" w:type="dxa"/>
            <w:gridSpan w:val="2"/>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L1</w:t>
            </w:r>
          </w:p>
        </w:tc>
        <w:tc>
          <w:tcPr>
            <w:tcW w:w="1585" w:type="dxa"/>
            <w:gridSpan w:val="2"/>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L2</w:t>
            </w:r>
          </w:p>
        </w:tc>
        <w:tc>
          <w:tcPr>
            <w:tcW w:w="1584" w:type="dxa"/>
            <w:gridSpan w:val="2"/>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L3</w:t>
            </w:r>
          </w:p>
        </w:tc>
        <w:tc>
          <w:tcPr>
            <w:tcW w:w="1567" w:type="dxa"/>
            <w:gridSpan w:val="2"/>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L4</w:t>
            </w:r>
          </w:p>
        </w:tc>
        <w:tc>
          <w:tcPr>
            <w:tcW w:w="1585"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L5</w:t>
            </w:r>
          </w:p>
        </w:tc>
        <w:tc>
          <w:tcPr>
            <w:tcW w:w="1584"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L6</w:t>
            </w:r>
          </w:p>
        </w:tc>
        <w:tc>
          <w:tcPr>
            <w:tcW w:w="1585" w:type="dxa"/>
            <w:gridSpan w:val="3"/>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L7</w:t>
            </w:r>
          </w:p>
        </w:tc>
        <w:tc>
          <w:tcPr>
            <w:tcW w:w="1584" w:type="dxa"/>
            <w:gridSpan w:val="5"/>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L8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520" w:type="dxa"/>
          <w:trHeight w:val="971" w:hRule="atLeast"/>
        </w:trPr>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小学</w:t>
            </w:r>
          </w:p>
        </w:tc>
        <w:tc>
          <w:tcPr>
            <w:tcW w:w="1391"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全县平均值</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7.17 </w:t>
            </w:r>
          </w:p>
        </w:tc>
        <w:tc>
          <w:tcPr>
            <w:tcW w:w="1585"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1.40 </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1.27 </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7.18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13.14 </w:t>
            </w:r>
          </w:p>
        </w:tc>
        <w:tc>
          <w:tcPr>
            <w:tcW w:w="1584"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3516.82 </w:t>
            </w:r>
          </w:p>
        </w:tc>
        <w:tc>
          <w:tcPr>
            <w:tcW w:w="158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3.60 </w:t>
            </w:r>
          </w:p>
        </w:tc>
        <w:tc>
          <w:tcPr>
            <w:tcW w:w="1584" w:type="dxa"/>
            <w:gridSpan w:val="5"/>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520" w:type="dxa"/>
          <w:trHeight w:val="971"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Times New Roman" w:hAnsi="Times New Roman" w:eastAsia="宋体" w:cs="Times New Roman"/>
                <w:i w:val="0"/>
                <w:color w:val="000000"/>
                <w:sz w:val="21"/>
                <w:szCs w:val="21"/>
                <w:u w:val="none"/>
              </w:rPr>
            </w:pPr>
          </w:p>
        </w:tc>
        <w:tc>
          <w:tcPr>
            <w:tcW w:w="1391"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差异系数</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0.478 </w:t>
            </w:r>
          </w:p>
        </w:tc>
        <w:tc>
          <w:tcPr>
            <w:tcW w:w="1585"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0.375 </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0.427 </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0.396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0.432 </w:t>
            </w:r>
          </w:p>
        </w:tc>
        <w:tc>
          <w:tcPr>
            <w:tcW w:w="1584"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0.409 </w:t>
            </w:r>
          </w:p>
        </w:tc>
        <w:tc>
          <w:tcPr>
            <w:tcW w:w="158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0.400 </w:t>
            </w:r>
          </w:p>
        </w:tc>
        <w:tc>
          <w:tcPr>
            <w:tcW w:w="1584" w:type="dxa"/>
            <w:gridSpan w:val="5"/>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0.417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520" w:type="dxa"/>
          <w:trHeight w:val="971" w:hRule="atLeast"/>
        </w:trPr>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初中</w:t>
            </w:r>
          </w:p>
        </w:tc>
        <w:tc>
          <w:tcPr>
            <w:tcW w:w="1391"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全县平均值</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7.24 </w:t>
            </w:r>
          </w:p>
        </w:tc>
        <w:tc>
          <w:tcPr>
            <w:tcW w:w="158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1.68 </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0.98 </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7.23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14.61 </w:t>
            </w:r>
          </w:p>
        </w:tc>
        <w:tc>
          <w:tcPr>
            <w:tcW w:w="158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3749.08 </w:t>
            </w:r>
          </w:p>
        </w:tc>
        <w:tc>
          <w:tcPr>
            <w:tcW w:w="1585" w:type="dxa"/>
            <w:gridSpan w:val="3"/>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3.11 </w:t>
            </w:r>
          </w:p>
        </w:tc>
        <w:tc>
          <w:tcPr>
            <w:tcW w:w="1584" w:type="dxa"/>
            <w:gridSpan w:val="5"/>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520" w:type="dxa"/>
          <w:trHeight w:val="971"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Times New Roman" w:hAnsi="Times New Roman" w:eastAsia="宋体" w:cs="Times New Roman"/>
                <w:i w:val="0"/>
                <w:color w:val="000000"/>
                <w:sz w:val="21"/>
                <w:szCs w:val="21"/>
                <w:u w:val="none"/>
              </w:rPr>
            </w:pPr>
          </w:p>
        </w:tc>
        <w:tc>
          <w:tcPr>
            <w:tcW w:w="1391"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color w:val="000000"/>
                <w:kern w:val="0"/>
                <w:sz w:val="21"/>
                <w:szCs w:val="21"/>
                <w:u w:val="none"/>
                <w:lang w:val="en-US" w:eastAsia="zh-CN" w:bidi="ar"/>
              </w:rPr>
              <w:t>差异系数</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0.146 </w:t>
            </w:r>
          </w:p>
        </w:tc>
        <w:tc>
          <w:tcPr>
            <w:tcW w:w="158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0.285 </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0.107 </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0.192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0.283 </w:t>
            </w:r>
          </w:p>
        </w:tc>
        <w:tc>
          <w:tcPr>
            <w:tcW w:w="158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0.204 </w:t>
            </w:r>
          </w:p>
        </w:tc>
        <w:tc>
          <w:tcPr>
            <w:tcW w:w="1585" w:type="dxa"/>
            <w:gridSpan w:val="3"/>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0.180 </w:t>
            </w:r>
          </w:p>
        </w:tc>
        <w:tc>
          <w:tcPr>
            <w:tcW w:w="1584" w:type="dxa"/>
            <w:gridSpan w:val="5"/>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520" w:type="dxa"/>
          <w:trHeight w:val="358" w:hRule="atLeast"/>
        </w:trPr>
        <w:tc>
          <w:tcPr>
            <w:tcW w:w="1391" w:type="dxa"/>
            <w:tcBorders>
              <w:top w:val="nil"/>
              <w:left w:val="nil"/>
              <w:bottom w:val="nil"/>
              <w:right w:val="nil"/>
            </w:tcBorders>
            <w:shd w:val="clear" w:color="auto" w:fill="auto"/>
            <w:tcMar>
              <w:top w:w="10" w:type="dxa"/>
              <w:left w:w="10" w:type="dxa"/>
              <w:right w:w="10" w:type="dxa"/>
            </w:tcMar>
            <w:vAlign w:val="center"/>
          </w:tcPr>
          <w:p>
            <w:pPr>
              <w:jc w:val="left"/>
              <w:rPr>
                <w:rFonts w:hint="default" w:ascii="Times New Roman" w:hAnsi="Times New Roman" w:eastAsia="宋体" w:cs="Times New Roman"/>
                <w:i w:val="0"/>
                <w:color w:val="000000"/>
                <w:sz w:val="20"/>
                <w:szCs w:val="20"/>
                <w:u w:val="none"/>
              </w:rPr>
            </w:pPr>
          </w:p>
        </w:tc>
        <w:tc>
          <w:tcPr>
            <w:tcW w:w="1391" w:type="dxa"/>
            <w:tcBorders>
              <w:top w:val="nil"/>
              <w:left w:val="nil"/>
              <w:bottom w:val="nil"/>
              <w:right w:val="nil"/>
            </w:tcBorders>
            <w:shd w:val="clear" w:color="auto" w:fill="auto"/>
            <w:tcMar>
              <w:top w:w="10" w:type="dxa"/>
              <w:left w:w="10" w:type="dxa"/>
              <w:right w:w="10" w:type="dxa"/>
            </w:tcMar>
            <w:vAlign w:val="center"/>
          </w:tcPr>
          <w:p>
            <w:pPr>
              <w:jc w:val="left"/>
              <w:rPr>
                <w:rFonts w:hint="default" w:ascii="Times New Roman" w:hAnsi="Times New Roman" w:eastAsia="宋体" w:cs="Times New Roman"/>
                <w:i w:val="0"/>
                <w:color w:val="000000"/>
                <w:sz w:val="20"/>
                <w:szCs w:val="20"/>
                <w:u w:val="none"/>
              </w:rPr>
            </w:pPr>
          </w:p>
        </w:tc>
        <w:tc>
          <w:tcPr>
            <w:tcW w:w="1584" w:type="dxa"/>
            <w:gridSpan w:val="2"/>
            <w:tcBorders>
              <w:top w:val="nil"/>
              <w:left w:val="nil"/>
              <w:bottom w:val="nil"/>
              <w:right w:val="nil"/>
            </w:tcBorders>
            <w:shd w:val="clear" w:color="auto" w:fill="auto"/>
            <w:tcMar>
              <w:top w:w="10" w:type="dxa"/>
              <w:left w:w="10" w:type="dxa"/>
              <w:right w:w="10" w:type="dxa"/>
            </w:tcMar>
            <w:vAlign w:val="center"/>
          </w:tcPr>
          <w:p>
            <w:pPr>
              <w:jc w:val="left"/>
              <w:rPr>
                <w:rFonts w:hint="default" w:ascii="Times New Roman" w:hAnsi="Times New Roman" w:eastAsia="宋体" w:cs="Times New Roman"/>
                <w:i w:val="0"/>
                <w:color w:val="000000"/>
                <w:sz w:val="20"/>
                <w:szCs w:val="20"/>
                <w:u w:val="none"/>
              </w:rPr>
            </w:pPr>
          </w:p>
        </w:tc>
        <w:tc>
          <w:tcPr>
            <w:tcW w:w="1585" w:type="dxa"/>
            <w:gridSpan w:val="2"/>
            <w:tcBorders>
              <w:top w:val="nil"/>
              <w:left w:val="nil"/>
              <w:bottom w:val="nil"/>
              <w:right w:val="nil"/>
            </w:tcBorders>
            <w:shd w:val="clear" w:color="auto" w:fill="auto"/>
            <w:tcMar>
              <w:top w:w="10" w:type="dxa"/>
              <w:left w:w="10" w:type="dxa"/>
              <w:right w:w="10" w:type="dxa"/>
            </w:tcMar>
            <w:vAlign w:val="center"/>
          </w:tcPr>
          <w:p>
            <w:pPr>
              <w:jc w:val="left"/>
              <w:rPr>
                <w:rFonts w:hint="default" w:ascii="Times New Roman" w:hAnsi="Times New Roman" w:eastAsia="宋体" w:cs="Times New Roman"/>
                <w:i w:val="0"/>
                <w:color w:val="000000"/>
                <w:sz w:val="20"/>
                <w:szCs w:val="20"/>
                <w:u w:val="none"/>
              </w:rPr>
            </w:pPr>
          </w:p>
        </w:tc>
        <w:tc>
          <w:tcPr>
            <w:tcW w:w="1584" w:type="dxa"/>
            <w:gridSpan w:val="2"/>
            <w:tcBorders>
              <w:top w:val="nil"/>
              <w:left w:val="nil"/>
              <w:bottom w:val="nil"/>
              <w:right w:val="nil"/>
            </w:tcBorders>
            <w:shd w:val="clear" w:color="auto" w:fill="auto"/>
            <w:tcMar>
              <w:top w:w="10" w:type="dxa"/>
              <w:left w:w="10" w:type="dxa"/>
              <w:right w:w="10" w:type="dxa"/>
            </w:tcMar>
            <w:vAlign w:val="center"/>
          </w:tcPr>
          <w:p>
            <w:pPr>
              <w:jc w:val="left"/>
              <w:rPr>
                <w:rFonts w:hint="default" w:ascii="Times New Roman" w:hAnsi="Times New Roman" w:eastAsia="宋体" w:cs="Times New Roman"/>
                <w:i w:val="0"/>
                <w:color w:val="000000"/>
                <w:sz w:val="20"/>
                <w:szCs w:val="20"/>
                <w:u w:val="none"/>
              </w:rPr>
            </w:pPr>
          </w:p>
        </w:tc>
        <w:tc>
          <w:tcPr>
            <w:tcW w:w="1567" w:type="dxa"/>
            <w:gridSpan w:val="2"/>
            <w:tcBorders>
              <w:top w:val="nil"/>
              <w:left w:val="nil"/>
              <w:bottom w:val="nil"/>
              <w:right w:val="nil"/>
            </w:tcBorders>
            <w:shd w:val="clear" w:color="auto" w:fill="auto"/>
            <w:tcMar>
              <w:top w:w="10" w:type="dxa"/>
              <w:left w:w="10" w:type="dxa"/>
              <w:right w:w="10" w:type="dxa"/>
            </w:tcMar>
            <w:vAlign w:val="center"/>
          </w:tcPr>
          <w:p>
            <w:pPr>
              <w:jc w:val="left"/>
              <w:rPr>
                <w:rFonts w:hint="default" w:ascii="Times New Roman" w:hAnsi="Times New Roman" w:eastAsia="宋体" w:cs="Times New Roman"/>
                <w:i w:val="0"/>
                <w:color w:val="000000"/>
                <w:sz w:val="20"/>
                <w:szCs w:val="20"/>
                <w:u w:val="none"/>
              </w:rPr>
            </w:pPr>
          </w:p>
        </w:tc>
        <w:tc>
          <w:tcPr>
            <w:tcW w:w="1585" w:type="dxa"/>
            <w:tcBorders>
              <w:top w:val="nil"/>
              <w:left w:val="nil"/>
              <w:bottom w:val="nil"/>
              <w:right w:val="nil"/>
            </w:tcBorders>
            <w:shd w:val="clear" w:color="auto" w:fill="auto"/>
            <w:tcMar>
              <w:top w:w="10" w:type="dxa"/>
              <w:left w:w="10" w:type="dxa"/>
              <w:right w:w="10" w:type="dxa"/>
            </w:tcMar>
            <w:vAlign w:val="center"/>
          </w:tcPr>
          <w:p>
            <w:pPr>
              <w:jc w:val="left"/>
              <w:rPr>
                <w:rFonts w:hint="default" w:ascii="Times New Roman" w:hAnsi="Times New Roman" w:eastAsia="宋体" w:cs="Times New Roman"/>
                <w:i w:val="0"/>
                <w:color w:val="000000"/>
                <w:sz w:val="20"/>
                <w:szCs w:val="20"/>
                <w:u w:val="none"/>
              </w:rPr>
            </w:pPr>
          </w:p>
        </w:tc>
        <w:tc>
          <w:tcPr>
            <w:tcW w:w="1584" w:type="dxa"/>
            <w:tcBorders>
              <w:top w:val="nil"/>
              <w:left w:val="nil"/>
              <w:bottom w:val="nil"/>
              <w:right w:val="nil"/>
            </w:tcBorders>
            <w:shd w:val="clear" w:color="auto" w:fill="auto"/>
            <w:tcMar>
              <w:top w:w="10" w:type="dxa"/>
              <w:left w:w="10" w:type="dxa"/>
              <w:right w:w="10" w:type="dxa"/>
            </w:tcMar>
            <w:vAlign w:val="center"/>
          </w:tcPr>
          <w:p>
            <w:pPr>
              <w:jc w:val="left"/>
              <w:rPr>
                <w:rFonts w:hint="default" w:ascii="Times New Roman" w:hAnsi="Times New Roman" w:eastAsia="宋体" w:cs="Times New Roman"/>
                <w:i w:val="0"/>
                <w:color w:val="000000"/>
                <w:sz w:val="20"/>
                <w:szCs w:val="20"/>
                <w:u w:val="none"/>
              </w:rPr>
            </w:pPr>
          </w:p>
        </w:tc>
        <w:tc>
          <w:tcPr>
            <w:tcW w:w="1585" w:type="dxa"/>
            <w:gridSpan w:val="3"/>
            <w:tcBorders>
              <w:top w:val="nil"/>
              <w:left w:val="nil"/>
              <w:bottom w:val="nil"/>
              <w:right w:val="nil"/>
            </w:tcBorders>
            <w:shd w:val="clear" w:color="auto" w:fill="auto"/>
            <w:tcMar>
              <w:top w:w="10" w:type="dxa"/>
              <w:left w:w="10" w:type="dxa"/>
              <w:right w:w="10" w:type="dxa"/>
            </w:tcMar>
            <w:vAlign w:val="center"/>
          </w:tcPr>
          <w:p>
            <w:pPr>
              <w:jc w:val="left"/>
              <w:rPr>
                <w:rFonts w:hint="default" w:ascii="Times New Roman" w:hAnsi="Times New Roman" w:eastAsia="宋体" w:cs="Times New Roman"/>
                <w:i w:val="0"/>
                <w:color w:val="000000"/>
                <w:sz w:val="20"/>
                <w:szCs w:val="20"/>
                <w:u w:val="none"/>
              </w:rPr>
            </w:pPr>
          </w:p>
        </w:tc>
        <w:tc>
          <w:tcPr>
            <w:tcW w:w="1584" w:type="dxa"/>
            <w:gridSpan w:val="5"/>
            <w:tcBorders>
              <w:top w:val="nil"/>
              <w:left w:val="nil"/>
              <w:bottom w:val="nil"/>
              <w:right w:val="nil"/>
            </w:tcBorders>
            <w:shd w:val="clear" w:color="auto" w:fill="auto"/>
            <w:tcMar>
              <w:top w:w="10" w:type="dxa"/>
              <w:left w:w="10" w:type="dxa"/>
              <w:right w:w="10" w:type="dxa"/>
            </w:tcMar>
            <w:vAlign w:val="center"/>
          </w:tcPr>
          <w:p>
            <w:pPr>
              <w:jc w:val="lef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520" w:type="dxa"/>
          <w:trHeight w:val="580" w:hRule="atLeast"/>
        </w:trPr>
        <w:tc>
          <w:tcPr>
            <w:tcW w:w="15440" w:type="dxa"/>
            <w:gridSpan w:val="20"/>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注：</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全县平均值保留两位小数，差异系数保留三位小数。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846" w:type="dxa"/>
          <w:trHeight w:val="484" w:hRule="atLeast"/>
        </w:trPr>
        <w:tc>
          <w:tcPr>
            <w:tcW w:w="15114" w:type="dxa"/>
            <w:gridSpan w:val="19"/>
            <w:tcBorders>
              <w:top w:val="nil"/>
              <w:left w:val="nil"/>
              <w:bottom w:val="nil"/>
              <w:right w:val="nil"/>
            </w:tcBorders>
            <w:shd w:val="clear" w:color="auto" w:fill="FFFFFF"/>
            <w:noWrap/>
            <w:tcMar>
              <w:top w:w="10" w:type="dxa"/>
              <w:left w:w="10" w:type="dxa"/>
              <w:right w:w="10" w:type="dxa"/>
            </w:tcMar>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i w:val="0"/>
                <w:color w:val="000000"/>
                <w:kern w:val="0"/>
                <w:sz w:val="36"/>
                <w:szCs w:val="36"/>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表Ⅳ 政府保障程度评估指标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846" w:type="dxa"/>
          <w:trHeight w:val="400" w:hRule="atLeast"/>
        </w:trPr>
        <w:tc>
          <w:tcPr>
            <w:tcW w:w="6094"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787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指标值或简要结论</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是否达标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846" w:type="dxa"/>
          <w:trHeight w:val="940" w:hRule="atLeast"/>
        </w:trPr>
        <w:tc>
          <w:tcPr>
            <w:tcW w:w="6094"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r>
              <w:rPr>
                <w:rFonts w:hint="eastAsia" w:ascii="宋体" w:hAnsi="宋体" w:eastAsia="宋体" w:cs="宋体"/>
                <w:i w:val="0"/>
                <w:color w:val="000000"/>
                <w:kern w:val="0"/>
                <w:sz w:val="24"/>
                <w:szCs w:val="24"/>
                <w:u w:val="none"/>
                <w:lang w:val="en-US" w:eastAsia="zh-CN" w:bidi="ar"/>
              </w:rPr>
              <w:t>县域内义务教育学校规划布局合理，符合国家规定要求</w:t>
            </w:r>
          </w:p>
        </w:tc>
        <w:tc>
          <w:tcPr>
            <w:tcW w:w="7870" w:type="dxa"/>
            <w:gridSpan w:val="9"/>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城镇化发展、人口流动趋势和常住人口规模编制《乌苏市各类学校设置与校点布局调整“十四五”规划（2021—2025年）》，科学合理优化中小学校点布局，通过就近入学与集中办学相结合，使学生享受优质教育资源。</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846" w:type="dxa"/>
          <w:trHeight w:val="1480" w:hRule="atLeast"/>
        </w:trPr>
        <w:tc>
          <w:tcPr>
            <w:tcW w:w="6094"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 </w:t>
            </w:r>
            <w:r>
              <w:rPr>
                <w:rFonts w:hint="eastAsia" w:ascii="宋体" w:hAnsi="宋体" w:eastAsia="宋体" w:cs="宋体"/>
                <w:i w:val="0"/>
                <w:color w:val="000000"/>
                <w:kern w:val="0"/>
                <w:sz w:val="24"/>
                <w:szCs w:val="24"/>
                <w:u w:val="none"/>
                <w:lang w:val="en-US" w:eastAsia="zh-CN" w:bidi="ar"/>
              </w:rPr>
              <w:t>县域内城乡义务教育学校建设标准统一、教师编制标准统一、生均公用经费基准定额统一、基本装备配置标准统一</w:t>
            </w:r>
          </w:p>
        </w:tc>
        <w:tc>
          <w:tcPr>
            <w:tcW w:w="7870" w:type="dxa"/>
            <w:gridSpan w:val="9"/>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根据《自治区关于统筹推进县域内城乡义务教育一体化改革发展的实施意见》（新政发〔</w:t>
            </w:r>
            <w:r>
              <w:rPr>
                <w:rFonts w:hint="default" w:ascii="宋体" w:hAnsi="宋体" w:eastAsia="宋体" w:cs="宋体"/>
                <w:i w:val="0"/>
                <w:color w:val="000000"/>
                <w:kern w:val="0"/>
                <w:sz w:val="24"/>
                <w:szCs w:val="24"/>
                <w:u w:val="none"/>
                <w:lang w:val="en-US" w:eastAsia="zh-CN" w:bidi="ar"/>
              </w:rPr>
              <w:t>2018</w:t>
            </w:r>
            <w:r>
              <w:rPr>
                <w:rFonts w:hint="eastAsia" w:ascii="宋体" w:hAnsi="宋体" w:eastAsia="宋体" w:cs="宋体"/>
                <w:i w:val="0"/>
                <w:color w:val="000000"/>
                <w:kern w:val="0"/>
                <w:sz w:val="24"/>
                <w:szCs w:val="24"/>
                <w:u w:val="none"/>
                <w:lang w:val="en-US" w:eastAsia="zh-CN" w:bidi="ar"/>
              </w:rPr>
              <w:t>〕</w:t>
            </w:r>
            <w:r>
              <w:rPr>
                <w:rFonts w:hint="default" w:ascii="宋体" w:hAnsi="宋体" w:eastAsia="宋体" w:cs="宋体"/>
                <w:i w:val="0"/>
                <w:color w:val="000000"/>
                <w:kern w:val="0"/>
                <w:sz w:val="24"/>
                <w:szCs w:val="24"/>
                <w:u w:val="none"/>
                <w:lang w:val="en-US" w:eastAsia="zh-CN" w:bidi="ar"/>
              </w:rPr>
              <w:t>48</w:t>
            </w:r>
            <w:r>
              <w:rPr>
                <w:rFonts w:hint="eastAsia" w:ascii="宋体" w:hAnsi="宋体" w:eastAsia="宋体" w:cs="宋体"/>
                <w:i w:val="0"/>
                <w:color w:val="000000"/>
                <w:kern w:val="0"/>
                <w:sz w:val="24"/>
                <w:szCs w:val="24"/>
                <w:u w:val="none"/>
                <w:lang w:val="en-US" w:eastAsia="zh-CN" w:bidi="ar"/>
              </w:rPr>
              <w:t>号）要求，制定了《乌苏市人民政府关于统筹推进县域内城乡义务教育一体化改革发展的实施意见》，严格落实城乡学校在建设标准、教师编制标准、生均公用经费基准定额、基本装备配置标准等四方面的统一。</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846" w:type="dxa"/>
          <w:trHeight w:val="910" w:hRule="atLeast"/>
        </w:trPr>
        <w:tc>
          <w:tcPr>
            <w:tcW w:w="6094"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 </w:t>
            </w:r>
            <w:r>
              <w:rPr>
                <w:rFonts w:hint="eastAsia" w:ascii="宋体" w:hAnsi="宋体" w:eastAsia="宋体" w:cs="宋体"/>
                <w:i w:val="0"/>
                <w:color w:val="000000"/>
                <w:kern w:val="0"/>
                <w:sz w:val="24"/>
                <w:szCs w:val="24"/>
                <w:u w:val="none"/>
                <w:lang w:val="en-US" w:eastAsia="zh-CN" w:bidi="ar"/>
              </w:rPr>
              <w:t>所有小学、初中每</w:t>
            </w:r>
            <w:r>
              <w:rPr>
                <w:rFonts w:hint="default" w:ascii="Times New Roman" w:hAnsi="Times New Roman" w:eastAsia="宋体" w:cs="Times New Roman"/>
                <w:i w:val="0"/>
                <w:color w:val="000000"/>
                <w:kern w:val="0"/>
                <w:sz w:val="24"/>
                <w:szCs w:val="24"/>
                <w:u w:val="none"/>
                <w:lang w:val="en-US" w:eastAsia="zh-CN" w:bidi="ar"/>
              </w:rPr>
              <w:t>12</w:t>
            </w:r>
            <w:r>
              <w:rPr>
                <w:rFonts w:hint="eastAsia" w:ascii="宋体" w:hAnsi="宋体" w:eastAsia="宋体" w:cs="宋体"/>
                <w:i w:val="0"/>
                <w:color w:val="000000"/>
                <w:kern w:val="0"/>
                <w:sz w:val="24"/>
                <w:szCs w:val="24"/>
                <w:u w:val="none"/>
                <w:lang w:val="en-US" w:eastAsia="zh-CN" w:bidi="ar"/>
              </w:rPr>
              <w:t>个班级配备音乐、美术专用教室</w:t>
            </w:r>
            <w:r>
              <w:rPr>
                <w:rFonts w:hint="default" w:ascii="Times New Roman" w:hAnsi="Times New Roman" w:eastAsia="宋体" w:cs="Times New Roman"/>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间以上；其中，每间音乐专用教室面积不小于</w:t>
            </w:r>
            <w:r>
              <w:rPr>
                <w:rFonts w:hint="default" w:ascii="Times New Roman" w:hAnsi="Times New Roman" w:eastAsia="宋体" w:cs="Times New Roman"/>
                <w:i w:val="0"/>
                <w:color w:val="000000"/>
                <w:kern w:val="0"/>
                <w:sz w:val="24"/>
                <w:szCs w:val="24"/>
                <w:u w:val="none"/>
                <w:lang w:val="en-US" w:eastAsia="zh-CN" w:bidi="ar"/>
              </w:rPr>
              <w:t>96</w:t>
            </w:r>
            <w:r>
              <w:rPr>
                <w:rFonts w:hint="eastAsia" w:ascii="宋体" w:hAnsi="宋体" w:eastAsia="宋体" w:cs="宋体"/>
                <w:i w:val="0"/>
                <w:color w:val="000000"/>
                <w:kern w:val="0"/>
                <w:sz w:val="24"/>
                <w:szCs w:val="24"/>
                <w:u w:val="none"/>
                <w:lang w:val="en-US" w:eastAsia="zh-CN" w:bidi="ar"/>
              </w:rPr>
              <w:t>平方米，每间美术专用教室面积不小于</w:t>
            </w:r>
            <w:r>
              <w:rPr>
                <w:rFonts w:hint="default" w:ascii="Times New Roman" w:hAnsi="Times New Roman" w:eastAsia="宋体" w:cs="Times New Roman"/>
                <w:i w:val="0"/>
                <w:color w:val="000000"/>
                <w:kern w:val="0"/>
                <w:sz w:val="24"/>
                <w:szCs w:val="24"/>
                <w:u w:val="none"/>
                <w:lang w:val="en-US" w:eastAsia="zh-CN" w:bidi="ar"/>
              </w:rPr>
              <w:t>90</w:t>
            </w:r>
            <w:r>
              <w:rPr>
                <w:rFonts w:hint="eastAsia" w:ascii="宋体" w:hAnsi="宋体" w:eastAsia="宋体" w:cs="宋体"/>
                <w:i w:val="0"/>
                <w:color w:val="000000"/>
                <w:kern w:val="0"/>
                <w:sz w:val="24"/>
                <w:szCs w:val="24"/>
                <w:u w:val="none"/>
                <w:lang w:val="en-US" w:eastAsia="zh-CN" w:bidi="ar"/>
              </w:rPr>
              <w:t>平方米</w:t>
            </w:r>
          </w:p>
        </w:tc>
        <w:tc>
          <w:tcPr>
            <w:tcW w:w="787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根据“每12个班级配备音乐、美术专用教室1间以上”的标准，全市527个教学班共配备音乐、美术专用教室125间。2016年及以前规划建设学校，音乐、美术教室数量达标；2016年以后规划建设学校，音乐、美术教室面积不小于96平方米、90平方米；对于最大班额低于30人的乡村小规模学校，音乐、美术教室单间使用面积和普通教室相当。</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846" w:type="dxa"/>
          <w:trHeight w:val="780" w:hRule="atLeast"/>
        </w:trPr>
        <w:tc>
          <w:tcPr>
            <w:tcW w:w="6094"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 </w:t>
            </w:r>
            <w:r>
              <w:rPr>
                <w:rFonts w:hint="eastAsia" w:ascii="宋体" w:hAnsi="宋体" w:eastAsia="宋体" w:cs="宋体"/>
                <w:i w:val="0"/>
                <w:color w:val="000000"/>
                <w:kern w:val="0"/>
                <w:sz w:val="24"/>
                <w:szCs w:val="24"/>
                <w:u w:val="none"/>
                <w:lang w:val="en-US" w:eastAsia="zh-CN" w:bidi="ar"/>
              </w:rPr>
              <w:t>所有小学、初中学校规模不超过</w:t>
            </w:r>
            <w:r>
              <w:rPr>
                <w:rFonts w:hint="default" w:ascii="Times New Roman" w:hAnsi="Times New Roman" w:eastAsia="宋体" w:cs="Times New Roman"/>
                <w:i w:val="0"/>
                <w:color w:val="000000"/>
                <w:kern w:val="0"/>
                <w:sz w:val="24"/>
                <w:szCs w:val="24"/>
                <w:u w:val="none"/>
                <w:lang w:val="en-US" w:eastAsia="zh-CN" w:bidi="ar"/>
              </w:rPr>
              <w:t>2000</w:t>
            </w:r>
            <w:r>
              <w:rPr>
                <w:rFonts w:hint="eastAsia" w:ascii="宋体" w:hAnsi="宋体" w:eastAsia="宋体" w:cs="宋体"/>
                <w:i w:val="0"/>
                <w:color w:val="000000"/>
                <w:kern w:val="0"/>
                <w:sz w:val="24"/>
                <w:szCs w:val="24"/>
                <w:u w:val="none"/>
                <w:lang w:val="en-US" w:eastAsia="zh-CN" w:bidi="ar"/>
              </w:rPr>
              <w:t>人，九年一贯制学校、十二年一贯制学校义务教育阶段规模不超过</w:t>
            </w:r>
            <w:r>
              <w:rPr>
                <w:rFonts w:hint="default" w:ascii="Times New Roman" w:hAnsi="Times New Roman" w:eastAsia="宋体" w:cs="Times New Roman"/>
                <w:i w:val="0"/>
                <w:color w:val="000000"/>
                <w:kern w:val="0"/>
                <w:sz w:val="24"/>
                <w:szCs w:val="24"/>
                <w:u w:val="none"/>
                <w:lang w:val="en-US" w:eastAsia="zh-CN" w:bidi="ar"/>
              </w:rPr>
              <w:t>2500</w:t>
            </w:r>
            <w:r>
              <w:rPr>
                <w:rFonts w:hint="eastAsia" w:ascii="宋体" w:hAnsi="宋体" w:eastAsia="宋体" w:cs="宋体"/>
                <w:i w:val="0"/>
                <w:color w:val="000000"/>
                <w:kern w:val="0"/>
                <w:sz w:val="24"/>
                <w:szCs w:val="24"/>
                <w:u w:val="none"/>
                <w:lang w:val="en-US" w:eastAsia="zh-CN" w:bidi="ar"/>
              </w:rPr>
              <w:t>人</w:t>
            </w:r>
          </w:p>
        </w:tc>
        <w:tc>
          <w:tcPr>
            <w:tcW w:w="7870" w:type="dxa"/>
            <w:gridSpan w:val="9"/>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超过</w:t>
            </w:r>
            <w:r>
              <w:rPr>
                <w:rFonts w:hint="default" w:ascii="Times New Roman" w:hAnsi="Times New Roman" w:eastAsia="宋体" w:cs="Times New Roman"/>
                <w:i w:val="0"/>
                <w:color w:val="000000"/>
                <w:kern w:val="0"/>
                <w:sz w:val="24"/>
                <w:szCs w:val="24"/>
                <w:u w:val="none"/>
                <w:lang w:val="en-US" w:eastAsia="zh-CN" w:bidi="ar"/>
              </w:rPr>
              <w:t>2000</w:t>
            </w:r>
            <w:r>
              <w:rPr>
                <w:rFonts w:hint="eastAsia" w:ascii="宋体" w:hAnsi="宋体" w:eastAsia="宋体" w:cs="宋体"/>
                <w:i w:val="0"/>
                <w:color w:val="000000"/>
                <w:kern w:val="0"/>
                <w:sz w:val="24"/>
                <w:szCs w:val="24"/>
                <w:u w:val="none"/>
                <w:lang w:val="en-US" w:eastAsia="zh-CN" w:bidi="ar"/>
              </w:rPr>
              <w:t>人的小学＿</w:t>
            </w:r>
            <w:r>
              <w:rPr>
                <w:rFonts w:hint="default" w:ascii="Times New Roman" w:hAnsi="Times New Roman" w:eastAsia="宋体" w:cs="Times New Roman"/>
                <w:i w:val="0"/>
                <w:color w:val="000000"/>
                <w:kern w:val="0"/>
                <w:sz w:val="24"/>
                <w:szCs w:val="24"/>
                <w:u w:val="single"/>
                <w:lang w:val="en-US" w:eastAsia="zh-CN" w:bidi="ar"/>
              </w:rPr>
              <w:t>0</w:t>
            </w:r>
            <w:r>
              <w:rPr>
                <w:rFonts w:hint="eastAsia" w:ascii="宋体" w:hAnsi="宋体" w:eastAsia="宋体" w:cs="宋体"/>
                <w:i w:val="0"/>
                <w:color w:val="000000"/>
                <w:kern w:val="0"/>
                <w:sz w:val="24"/>
                <w:szCs w:val="24"/>
                <w:u w:val="none"/>
                <w:lang w:val="en-US" w:eastAsia="zh-CN" w:bidi="ar"/>
              </w:rPr>
              <w:t>＿所，初中＿</w:t>
            </w:r>
            <w:r>
              <w:rPr>
                <w:rFonts w:hint="default" w:ascii="Times New Roman" w:hAnsi="Times New Roman" w:eastAsia="宋体" w:cs="Times New Roman"/>
                <w:i w:val="0"/>
                <w:color w:val="000000"/>
                <w:kern w:val="0"/>
                <w:sz w:val="24"/>
                <w:szCs w:val="24"/>
                <w:u w:val="single"/>
                <w:lang w:val="en-US" w:eastAsia="zh-CN" w:bidi="ar"/>
              </w:rPr>
              <w:t>0</w:t>
            </w:r>
            <w:r>
              <w:rPr>
                <w:rFonts w:hint="eastAsia" w:ascii="宋体" w:hAnsi="宋体" w:eastAsia="宋体" w:cs="宋体"/>
                <w:i w:val="0"/>
                <w:color w:val="000000"/>
                <w:kern w:val="0"/>
                <w:sz w:val="24"/>
                <w:szCs w:val="24"/>
                <w:u w:val="none"/>
                <w:lang w:val="en-US" w:eastAsia="zh-CN" w:bidi="ar"/>
              </w:rPr>
              <w:t>＿所，超过</w:t>
            </w:r>
            <w:r>
              <w:rPr>
                <w:rFonts w:hint="default" w:ascii="Times New Roman" w:hAnsi="Times New Roman" w:eastAsia="宋体" w:cs="Times New Roman"/>
                <w:i w:val="0"/>
                <w:color w:val="000000"/>
                <w:kern w:val="0"/>
                <w:sz w:val="24"/>
                <w:szCs w:val="24"/>
                <w:u w:val="none"/>
                <w:lang w:val="en-US" w:eastAsia="zh-CN" w:bidi="ar"/>
              </w:rPr>
              <w:t>2500</w:t>
            </w:r>
            <w:r>
              <w:rPr>
                <w:rFonts w:hint="eastAsia" w:ascii="宋体" w:hAnsi="宋体" w:eastAsia="宋体" w:cs="宋体"/>
                <w:i w:val="0"/>
                <w:color w:val="000000"/>
                <w:kern w:val="0"/>
                <w:sz w:val="24"/>
                <w:szCs w:val="24"/>
                <w:u w:val="none"/>
                <w:lang w:val="en-US" w:eastAsia="zh-CN" w:bidi="ar"/>
              </w:rPr>
              <w:t>人的一贯制学校＿</w:t>
            </w:r>
            <w:r>
              <w:rPr>
                <w:rFonts w:hint="eastAsia" w:ascii="宋体" w:hAnsi="宋体" w:eastAsia="宋体" w:cs="宋体"/>
                <w:i w:val="0"/>
                <w:color w:val="000000"/>
                <w:kern w:val="0"/>
                <w:sz w:val="24"/>
                <w:szCs w:val="24"/>
                <w:u w:val="single"/>
                <w:lang w:val="en-US" w:eastAsia="zh-CN" w:bidi="ar"/>
              </w:rPr>
              <w:t>1</w:t>
            </w:r>
            <w:r>
              <w:rPr>
                <w:rFonts w:hint="eastAsia" w:ascii="宋体" w:hAnsi="宋体" w:eastAsia="宋体" w:cs="宋体"/>
                <w:i w:val="0"/>
                <w:color w:val="000000"/>
                <w:kern w:val="0"/>
                <w:sz w:val="24"/>
                <w:szCs w:val="24"/>
                <w:u w:val="none"/>
                <w:lang w:val="en-US" w:eastAsia="zh-CN" w:bidi="ar"/>
              </w:rPr>
              <w:t>＿所。已制定《乌苏市化解区域大校额、大班额方案》，通过新建、扩建等方式，2026年9月消除大校额。</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846" w:type="dxa"/>
          <w:trHeight w:val="460" w:hRule="atLeast"/>
        </w:trPr>
        <w:tc>
          <w:tcPr>
            <w:tcW w:w="6094"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 </w:t>
            </w:r>
            <w:r>
              <w:rPr>
                <w:rFonts w:hint="eastAsia" w:ascii="宋体" w:hAnsi="宋体" w:eastAsia="宋体" w:cs="宋体"/>
                <w:i w:val="0"/>
                <w:color w:val="000000"/>
                <w:kern w:val="0"/>
                <w:sz w:val="24"/>
                <w:szCs w:val="24"/>
                <w:u w:val="none"/>
                <w:lang w:val="en-US" w:eastAsia="zh-CN" w:bidi="ar"/>
              </w:rPr>
              <w:t>小学、初中所有班级学生数分别不超过</w:t>
            </w:r>
            <w:r>
              <w:rPr>
                <w:rFonts w:hint="default" w:ascii="Times New Roman" w:hAnsi="Times New Roman" w:eastAsia="宋体" w:cs="Times New Roman"/>
                <w:i w:val="0"/>
                <w:color w:val="000000"/>
                <w:kern w:val="0"/>
                <w:sz w:val="24"/>
                <w:szCs w:val="24"/>
                <w:u w:val="none"/>
                <w:lang w:val="en-US" w:eastAsia="zh-CN" w:bidi="ar"/>
              </w:rPr>
              <w:t>45</w:t>
            </w:r>
            <w:r>
              <w:rPr>
                <w:rFonts w:hint="eastAsia" w:ascii="宋体" w:hAnsi="宋体" w:eastAsia="宋体" w:cs="宋体"/>
                <w:i w:val="0"/>
                <w:color w:val="000000"/>
                <w:kern w:val="0"/>
                <w:sz w:val="24"/>
                <w:szCs w:val="24"/>
                <w:u w:val="none"/>
                <w:lang w:val="en-US" w:eastAsia="zh-CN" w:bidi="ar"/>
              </w:rPr>
              <w:t>人、</w:t>
            </w:r>
            <w:r>
              <w:rPr>
                <w:rFonts w:hint="default" w:ascii="Times New Roman" w:hAnsi="Times New Roman" w:eastAsia="宋体" w:cs="Times New Roman"/>
                <w:i w:val="0"/>
                <w:color w:val="000000"/>
                <w:kern w:val="0"/>
                <w:sz w:val="24"/>
                <w:szCs w:val="24"/>
                <w:u w:val="none"/>
                <w:lang w:val="en-US" w:eastAsia="zh-CN" w:bidi="ar"/>
              </w:rPr>
              <w:t>50</w:t>
            </w:r>
            <w:r>
              <w:rPr>
                <w:rFonts w:hint="eastAsia" w:ascii="宋体" w:hAnsi="宋体" w:eastAsia="宋体" w:cs="宋体"/>
                <w:i w:val="0"/>
                <w:color w:val="000000"/>
                <w:kern w:val="0"/>
                <w:sz w:val="24"/>
                <w:szCs w:val="24"/>
                <w:u w:val="none"/>
                <w:lang w:val="en-US" w:eastAsia="zh-CN" w:bidi="ar"/>
              </w:rPr>
              <w:t>人</w:t>
            </w:r>
          </w:p>
        </w:tc>
        <w:tc>
          <w:tcPr>
            <w:tcW w:w="7870" w:type="dxa"/>
            <w:gridSpan w:val="9"/>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超过</w:t>
            </w:r>
            <w:r>
              <w:rPr>
                <w:rFonts w:hint="default" w:ascii="Times New Roman" w:hAnsi="Times New Roman" w:eastAsia="宋体" w:cs="Times New Roman"/>
                <w:i w:val="0"/>
                <w:color w:val="000000"/>
                <w:kern w:val="0"/>
                <w:sz w:val="24"/>
                <w:szCs w:val="24"/>
                <w:u w:val="none"/>
                <w:lang w:val="en-US" w:eastAsia="zh-CN" w:bidi="ar"/>
              </w:rPr>
              <w:t>45</w:t>
            </w:r>
            <w:r>
              <w:rPr>
                <w:rFonts w:hint="eastAsia" w:ascii="宋体" w:hAnsi="宋体" w:eastAsia="宋体" w:cs="宋体"/>
                <w:i w:val="0"/>
                <w:color w:val="000000"/>
                <w:kern w:val="0"/>
                <w:sz w:val="24"/>
                <w:szCs w:val="24"/>
                <w:u w:val="none"/>
                <w:lang w:val="en-US" w:eastAsia="zh-CN" w:bidi="ar"/>
              </w:rPr>
              <w:t>人的小学班级＿</w:t>
            </w:r>
            <w:r>
              <w:rPr>
                <w:rFonts w:hint="eastAsia" w:ascii="宋体" w:hAnsi="宋体" w:eastAsia="宋体" w:cs="宋体"/>
                <w:i w:val="0"/>
                <w:color w:val="000000"/>
                <w:kern w:val="0"/>
                <w:sz w:val="24"/>
                <w:szCs w:val="24"/>
                <w:u w:val="single"/>
                <w:lang w:val="en-US" w:eastAsia="zh-CN" w:bidi="ar"/>
              </w:rPr>
              <w:t>75</w:t>
            </w:r>
            <w:r>
              <w:rPr>
                <w:rFonts w:hint="eastAsia" w:ascii="宋体" w:hAnsi="宋体" w:eastAsia="宋体" w:cs="宋体"/>
                <w:i w:val="0"/>
                <w:color w:val="000000"/>
                <w:kern w:val="0"/>
                <w:sz w:val="24"/>
                <w:szCs w:val="24"/>
                <w:u w:val="none"/>
                <w:lang w:val="en-US" w:eastAsia="zh-CN" w:bidi="ar"/>
              </w:rPr>
              <w:t>＿个，超过</w:t>
            </w:r>
            <w:r>
              <w:rPr>
                <w:rFonts w:hint="default" w:ascii="Times New Roman" w:hAnsi="Times New Roman" w:eastAsia="宋体" w:cs="Times New Roman"/>
                <w:i w:val="0"/>
                <w:color w:val="000000"/>
                <w:kern w:val="0"/>
                <w:sz w:val="24"/>
                <w:szCs w:val="24"/>
                <w:u w:val="none"/>
                <w:lang w:val="en-US" w:eastAsia="zh-CN" w:bidi="ar"/>
              </w:rPr>
              <w:t>50</w:t>
            </w:r>
            <w:r>
              <w:rPr>
                <w:rFonts w:hint="eastAsia" w:ascii="宋体" w:hAnsi="宋体" w:eastAsia="宋体" w:cs="宋体"/>
                <w:i w:val="0"/>
                <w:color w:val="000000"/>
                <w:kern w:val="0"/>
                <w:sz w:val="24"/>
                <w:szCs w:val="24"/>
                <w:u w:val="none"/>
                <w:lang w:val="en-US" w:eastAsia="zh-CN" w:bidi="ar"/>
              </w:rPr>
              <w:t>人的初中班级＿</w:t>
            </w:r>
            <w:r>
              <w:rPr>
                <w:rFonts w:hint="eastAsia" w:ascii="宋体" w:hAnsi="宋体" w:eastAsia="宋体" w:cs="宋体"/>
                <w:i w:val="0"/>
                <w:color w:val="000000"/>
                <w:kern w:val="0"/>
                <w:sz w:val="24"/>
                <w:szCs w:val="24"/>
                <w:u w:val="single"/>
                <w:lang w:val="en-US" w:eastAsia="zh-CN" w:bidi="ar"/>
              </w:rPr>
              <w:t>33</w:t>
            </w:r>
            <w:r>
              <w:rPr>
                <w:rFonts w:hint="eastAsia" w:ascii="宋体" w:hAnsi="宋体" w:eastAsia="宋体" w:cs="宋体"/>
                <w:i w:val="0"/>
                <w:color w:val="000000"/>
                <w:kern w:val="0"/>
                <w:sz w:val="24"/>
                <w:szCs w:val="24"/>
                <w:u w:val="none"/>
                <w:lang w:val="en-US" w:eastAsia="zh-CN" w:bidi="ar"/>
              </w:rPr>
              <w:t>＿个。已制定《乌苏市化解区域大校额、大班额方案》，通过新建、扩建等方式，2026年9月消除大班额。</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846" w:type="dxa"/>
          <w:trHeight w:val="504" w:hRule="atLeast"/>
        </w:trPr>
        <w:tc>
          <w:tcPr>
            <w:tcW w:w="6094"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 </w:t>
            </w:r>
            <w:r>
              <w:rPr>
                <w:rFonts w:hint="eastAsia" w:ascii="宋体" w:hAnsi="宋体" w:eastAsia="宋体" w:cs="宋体"/>
                <w:i w:val="0"/>
                <w:color w:val="000000"/>
                <w:kern w:val="0"/>
                <w:sz w:val="24"/>
                <w:szCs w:val="24"/>
                <w:u w:val="none"/>
                <w:lang w:val="en-US" w:eastAsia="zh-CN" w:bidi="ar"/>
              </w:rPr>
              <w:t>不足</w:t>
            </w:r>
            <w:r>
              <w:rPr>
                <w:rFonts w:hint="default" w:ascii="Times New Roman" w:hAnsi="Times New Roman" w:eastAsia="宋体" w:cs="Times New Roman"/>
                <w:i w:val="0"/>
                <w:color w:val="000000"/>
                <w:kern w:val="0"/>
                <w:sz w:val="24"/>
                <w:szCs w:val="24"/>
                <w:u w:val="none"/>
                <w:lang w:val="en-US" w:eastAsia="zh-CN" w:bidi="ar"/>
              </w:rPr>
              <w:t>100</w:t>
            </w:r>
            <w:r>
              <w:rPr>
                <w:rFonts w:hint="eastAsia" w:ascii="宋体" w:hAnsi="宋体" w:eastAsia="宋体" w:cs="宋体"/>
                <w:i w:val="0"/>
                <w:color w:val="000000"/>
                <w:kern w:val="0"/>
                <w:sz w:val="24"/>
                <w:szCs w:val="24"/>
                <w:u w:val="none"/>
                <w:lang w:val="en-US" w:eastAsia="zh-CN" w:bidi="ar"/>
              </w:rPr>
              <w:t>名学生村小学和教学点按</w:t>
            </w:r>
            <w:r>
              <w:rPr>
                <w:rFonts w:hint="default" w:ascii="Times New Roman" w:hAnsi="Times New Roman" w:eastAsia="宋体" w:cs="Times New Roman"/>
                <w:i w:val="0"/>
                <w:color w:val="000000"/>
                <w:kern w:val="0"/>
                <w:sz w:val="24"/>
                <w:szCs w:val="24"/>
                <w:u w:val="none"/>
                <w:lang w:val="en-US" w:eastAsia="zh-CN" w:bidi="ar"/>
              </w:rPr>
              <w:t>100</w:t>
            </w:r>
            <w:r>
              <w:rPr>
                <w:rFonts w:hint="eastAsia" w:ascii="宋体" w:hAnsi="宋体" w:eastAsia="宋体" w:cs="宋体"/>
                <w:i w:val="0"/>
                <w:color w:val="000000"/>
                <w:kern w:val="0"/>
                <w:sz w:val="24"/>
                <w:szCs w:val="24"/>
                <w:u w:val="none"/>
                <w:lang w:val="en-US" w:eastAsia="zh-CN" w:bidi="ar"/>
              </w:rPr>
              <w:t>名学生核定公用经费</w:t>
            </w:r>
          </w:p>
        </w:tc>
        <w:tc>
          <w:tcPr>
            <w:tcW w:w="7870" w:type="dxa"/>
            <w:gridSpan w:val="9"/>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不足</w:t>
            </w:r>
            <w:r>
              <w:rPr>
                <w:rFonts w:hint="default" w:ascii="宋体" w:hAnsi="宋体" w:eastAsia="宋体" w:cs="宋体"/>
                <w:i w:val="0"/>
                <w:color w:val="auto"/>
                <w:kern w:val="0"/>
                <w:sz w:val="24"/>
                <w:szCs w:val="24"/>
                <w:u w:val="none"/>
                <w:lang w:val="en-US" w:eastAsia="zh-CN" w:bidi="ar"/>
              </w:rPr>
              <w:t>100</w:t>
            </w:r>
            <w:r>
              <w:rPr>
                <w:rFonts w:hint="eastAsia" w:ascii="宋体" w:hAnsi="宋体" w:eastAsia="宋体" w:cs="宋体"/>
                <w:i w:val="0"/>
                <w:color w:val="auto"/>
                <w:kern w:val="0"/>
                <w:sz w:val="24"/>
                <w:szCs w:val="24"/>
                <w:u w:val="none"/>
                <w:lang w:val="en-US" w:eastAsia="zh-CN" w:bidi="ar"/>
              </w:rPr>
              <w:t>名学生村小学和教学点9个，学生数</w:t>
            </w:r>
            <w:r>
              <w:rPr>
                <w:rFonts w:hint="eastAsia" w:ascii="宋体" w:hAnsi="宋体" w:eastAsia="宋体" w:cs="宋体"/>
                <w:i w:val="0"/>
                <w:color w:val="auto"/>
                <w:kern w:val="0"/>
                <w:sz w:val="24"/>
                <w:szCs w:val="24"/>
                <w:u w:val="single"/>
                <w:lang w:val="en-US" w:eastAsia="zh-CN" w:bidi="ar"/>
              </w:rPr>
              <w:t xml:space="preserve"> 458</w:t>
            </w:r>
            <w:r>
              <w:rPr>
                <w:rFonts w:hint="eastAsia" w:ascii="宋体" w:hAnsi="宋体" w:eastAsia="宋体" w:cs="宋体"/>
                <w:i w:val="0"/>
                <w:color w:val="auto"/>
                <w:kern w:val="0"/>
                <w:sz w:val="24"/>
                <w:szCs w:val="24"/>
                <w:u w:val="none"/>
                <w:lang w:val="en-US" w:eastAsia="zh-CN" w:bidi="ar"/>
              </w:rPr>
              <w:t>人，公用经费</w:t>
            </w:r>
            <w:r>
              <w:rPr>
                <w:rFonts w:hint="default" w:ascii="Times New Roman" w:hAnsi="Times New Roman" w:eastAsia="宋体" w:cs="Times New Roman"/>
                <w:i w:val="0"/>
                <w:color w:val="auto"/>
                <w:kern w:val="0"/>
                <w:sz w:val="24"/>
                <w:szCs w:val="24"/>
                <w:u w:val="single"/>
                <w:lang w:val="en-US" w:eastAsia="zh-CN" w:bidi="ar"/>
              </w:rPr>
              <w:t xml:space="preserve"> </w:t>
            </w:r>
            <w:r>
              <w:rPr>
                <w:rFonts w:hint="eastAsia" w:ascii="Times New Roman" w:hAnsi="Times New Roman" w:eastAsia="宋体" w:cs="Times New Roman"/>
                <w:i w:val="0"/>
                <w:color w:val="auto"/>
                <w:kern w:val="0"/>
                <w:sz w:val="24"/>
                <w:szCs w:val="24"/>
                <w:u w:val="single"/>
                <w:lang w:val="en-US" w:eastAsia="zh-CN" w:bidi="ar"/>
              </w:rPr>
              <w:t>790060</w:t>
            </w:r>
            <w:r>
              <w:rPr>
                <w:rFonts w:hint="eastAsia" w:ascii="宋体" w:hAnsi="宋体" w:eastAsia="宋体" w:cs="宋体"/>
                <w:i w:val="0"/>
                <w:color w:val="auto"/>
                <w:kern w:val="0"/>
                <w:sz w:val="24"/>
                <w:szCs w:val="24"/>
                <w:u w:val="none"/>
                <w:lang w:val="en-US" w:eastAsia="zh-CN" w:bidi="ar"/>
              </w:rPr>
              <w:t>元。</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846" w:type="dxa"/>
          <w:trHeight w:val="620" w:hRule="atLeast"/>
        </w:trPr>
        <w:tc>
          <w:tcPr>
            <w:tcW w:w="6094"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 </w:t>
            </w:r>
            <w:r>
              <w:rPr>
                <w:rFonts w:hint="eastAsia" w:ascii="宋体" w:hAnsi="宋体" w:eastAsia="宋体" w:cs="宋体"/>
                <w:i w:val="0"/>
                <w:color w:val="000000"/>
                <w:kern w:val="0"/>
                <w:sz w:val="24"/>
                <w:szCs w:val="24"/>
                <w:u w:val="none"/>
                <w:lang w:val="en-US" w:eastAsia="zh-CN" w:bidi="ar"/>
              </w:rPr>
              <w:t>特殊教育学校生均公用经费不低于</w:t>
            </w:r>
            <w:r>
              <w:rPr>
                <w:rFonts w:hint="default" w:ascii="Times New Roman" w:hAnsi="Times New Roman" w:eastAsia="宋体" w:cs="Times New Roman"/>
                <w:i w:val="0"/>
                <w:color w:val="000000"/>
                <w:kern w:val="0"/>
                <w:sz w:val="24"/>
                <w:szCs w:val="24"/>
                <w:u w:val="none"/>
                <w:lang w:val="en-US" w:eastAsia="zh-CN" w:bidi="ar"/>
              </w:rPr>
              <w:t>6000</w:t>
            </w:r>
            <w:r>
              <w:rPr>
                <w:rFonts w:hint="eastAsia" w:ascii="宋体" w:hAnsi="宋体" w:eastAsia="宋体" w:cs="宋体"/>
                <w:i w:val="0"/>
                <w:color w:val="000000"/>
                <w:kern w:val="0"/>
                <w:sz w:val="24"/>
                <w:szCs w:val="24"/>
                <w:u w:val="none"/>
                <w:lang w:val="en-US" w:eastAsia="zh-CN" w:bidi="ar"/>
              </w:rPr>
              <w:t>元</w:t>
            </w:r>
          </w:p>
        </w:tc>
        <w:tc>
          <w:tcPr>
            <w:tcW w:w="7870" w:type="dxa"/>
            <w:gridSpan w:val="9"/>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特殊教育公用经费为</w:t>
            </w:r>
            <w:r>
              <w:rPr>
                <w:rFonts w:hint="default" w:ascii="Times New Roman" w:hAnsi="Times New Roman" w:eastAsia="宋体" w:cs="Times New Roman"/>
                <w:i w:val="0"/>
                <w:color w:val="auto"/>
                <w:kern w:val="0"/>
                <w:sz w:val="24"/>
                <w:szCs w:val="24"/>
                <w:u w:val="single"/>
                <w:lang w:val="en-US" w:eastAsia="zh-CN" w:bidi="ar"/>
              </w:rPr>
              <w:t xml:space="preserve"> </w:t>
            </w:r>
            <w:r>
              <w:rPr>
                <w:rFonts w:hint="eastAsia" w:ascii="Times New Roman" w:hAnsi="Times New Roman" w:eastAsia="宋体" w:cs="Times New Roman"/>
                <w:i w:val="0"/>
                <w:color w:val="auto"/>
                <w:kern w:val="0"/>
                <w:sz w:val="24"/>
                <w:szCs w:val="24"/>
                <w:u w:val="single"/>
                <w:lang w:val="en-US" w:eastAsia="zh-CN" w:bidi="ar"/>
              </w:rPr>
              <w:t>73.5</w:t>
            </w:r>
            <w:r>
              <w:rPr>
                <w:rFonts w:hint="default" w:ascii="Times New Roman" w:hAnsi="Times New Roman" w:eastAsia="宋体" w:cs="Times New Roman"/>
                <w:i w:val="0"/>
                <w:color w:val="auto"/>
                <w:kern w:val="0"/>
                <w:sz w:val="24"/>
                <w:szCs w:val="24"/>
                <w:u w:val="single"/>
                <w:lang w:val="en-US" w:eastAsia="zh-CN" w:bidi="ar"/>
              </w:rPr>
              <w:t xml:space="preserve"> </w:t>
            </w:r>
            <w:r>
              <w:rPr>
                <w:rFonts w:hint="eastAsia" w:ascii="宋体" w:hAnsi="宋体" w:eastAsia="宋体" w:cs="宋体"/>
                <w:i w:val="0"/>
                <w:color w:val="auto"/>
                <w:kern w:val="0"/>
                <w:sz w:val="24"/>
                <w:szCs w:val="24"/>
                <w:u w:val="none"/>
                <w:lang w:val="en-US" w:eastAsia="zh-CN" w:bidi="ar"/>
              </w:rPr>
              <w:t>万元，特殊教育学生数为</w:t>
            </w:r>
            <w:r>
              <w:rPr>
                <w:rFonts w:hint="default" w:ascii="Times New Roman" w:hAnsi="Times New Roman" w:eastAsia="宋体" w:cs="Times New Roman"/>
                <w:i w:val="0"/>
                <w:color w:val="auto"/>
                <w:kern w:val="0"/>
                <w:sz w:val="24"/>
                <w:szCs w:val="24"/>
                <w:u w:val="single"/>
                <w:lang w:val="en-US" w:eastAsia="zh-CN" w:bidi="ar"/>
              </w:rPr>
              <w:t xml:space="preserve"> 1</w:t>
            </w:r>
            <w:r>
              <w:rPr>
                <w:rFonts w:hint="eastAsia" w:ascii="Times New Roman" w:hAnsi="Times New Roman" w:eastAsia="宋体" w:cs="Times New Roman"/>
                <w:i w:val="0"/>
                <w:color w:val="auto"/>
                <w:kern w:val="0"/>
                <w:sz w:val="24"/>
                <w:szCs w:val="24"/>
                <w:u w:val="single"/>
                <w:lang w:val="en-US" w:eastAsia="zh-CN" w:bidi="ar"/>
              </w:rPr>
              <w:t>05</w:t>
            </w:r>
            <w:r>
              <w:rPr>
                <w:rFonts w:hint="eastAsia" w:ascii="宋体" w:hAnsi="宋体" w:eastAsia="宋体" w:cs="宋体"/>
                <w:i w:val="0"/>
                <w:color w:val="auto"/>
                <w:kern w:val="0"/>
                <w:sz w:val="24"/>
                <w:szCs w:val="24"/>
                <w:u w:val="none"/>
                <w:lang w:val="en-US" w:eastAsia="zh-CN" w:bidi="ar"/>
              </w:rPr>
              <w:t>人，其中随班就读</w:t>
            </w:r>
            <w:r>
              <w:rPr>
                <w:rFonts w:hint="eastAsia" w:ascii="宋体" w:hAnsi="宋体" w:eastAsia="宋体" w:cs="宋体"/>
                <w:i w:val="0"/>
                <w:color w:val="auto"/>
                <w:kern w:val="0"/>
                <w:sz w:val="24"/>
                <w:szCs w:val="24"/>
                <w:u w:val="single"/>
                <w:lang w:val="en-US" w:eastAsia="zh-CN" w:bidi="ar"/>
              </w:rPr>
              <w:t>94</w:t>
            </w:r>
            <w:r>
              <w:rPr>
                <w:rFonts w:hint="eastAsia" w:ascii="宋体" w:hAnsi="宋体" w:eastAsia="宋体" w:cs="宋体"/>
                <w:i w:val="0"/>
                <w:color w:val="auto"/>
                <w:kern w:val="0"/>
                <w:sz w:val="24"/>
                <w:szCs w:val="24"/>
                <w:u w:val="none"/>
                <w:lang w:val="en-US" w:eastAsia="zh-CN" w:bidi="ar"/>
              </w:rPr>
              <w:t>人，送教上门</w:t>
            </w:r>
            <w:r>
              <w:rPr>
                <w:rFonts w:hint="eastAsia" w:ascii="宋体" w:hAnsi="宋体" w:eastAsia="宋体" w:cs="宋体"/>
                <w:i w:val="0"/>
                <w:color w:val="auto"/>
                <w:kern w:val="0"/>
                <w:sz w:val="24"/>
                <w:szCs w:val="24"/>
                <w:u w:val="single"/>
                <w:lang w:val="en-US" w:eastAsia="zh-CN" w:bidi="ar"/>
              </w:rPr>
              <w:t>11</w:t>
            </w:r>
            <w:r>
              <w:rPr>
                <w:rFonts w:hint="eastAsia" w:ascii="宋体" w:hAnsi="宋体" w:eastAsia="宋体" w:cs="宋体"/>
                <w:i w:val="0"/>
                <w:color w:val="auto"/>
                <w:kern w:val="0"/>
                <w:sz w:val="24"/>
                <w:szCs w:val="24"/>
                <w:u w:val="none"/>
                <w:lang w:val="en-US" w:eastAsia="zh-CN" w:bidi="ar"/>
              </w:rPr>
              <w:t>人，特殊教育学校生均公用经费为</w:t>
            </w:r>
            <w:r>
              <w:rPr>
                <w:rFonts w:hint="default" w:ascii="Times New Roman" w:hAnsi="Times New Roman" w:eastAsia="宋体" w:cs="Times New Roman"/>
                <w:i w:val="0"/>
                <w:color w:val="auto"/>
                <w:kern w:val="0"/>
                <w:sz w:val="24"/>
                <w:szCs w:val="24"/>
                <w:u w:val="single"/>
                <w:lang w:val="en-US" w:eastAsia="zh-CN" w:bidi="ar"/>
              </w:rPr>
              <w:t xml:space="preserve"> 7000 </w:t>
            </w:r>
            <w:r>
              <w:rPr>
                <w:rFonts w:hint="eastAsia" w:ascii="宋体" w:hAnsi="宋体" w:eastAsia="宋体" w:cs="宋体"/>
                <w:i w:val="0"/>
                <w:color w:val="auto"/>
                <w:kern w:val="0"/>
                <w:sz w:val="24"/>
                <w:szCs w:val="24"/>
                <w:u w:val="none"/>
                <w:lang w:val="en-US" w:eastAsia="zh-CN" w:bidi="ar"/>
              </w:rPr>
              <w:t>元。</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846" w:type="dxa"/>
          <w:trHeight w:val="740" w:hRule="atLeast"/>
        </w:trPr>
        <w:tc>
          <w:tcPr>
            <w:tcW w:w="6094"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 </w:t>
            </w:r>
            <w:r>
              <w:rPr>
                <w:rFonts w:hint="eastAsia" w:ascii="宋体" w:hAnsi="宋体" w:eastAsia="宋体" w:cs="宋体"/>
                <w:i w:val="0"/>
                <w:color w:val="000000"/>
                <w:kern w:val="0"/>
                <w:sz w:val="24"/>
                <w:szCs w:val="24"/>
                <w:u w:val="none"/>
                <w:lang w:val="en-US" w:eastAsia="zh-CN" w:bidi="ar"/>
              </w:rPr>
              <w:t>全县义务教育学校教师平均工资收入水平不低于当地公务员平均工资收入水平，按规定足额核定教师绩效工资总量</w:t>
            </w:r>
          </w:p>
        </w:tc>
        <w:tc>
          <w:tcPr>
            <w:tcW w:w="787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全市义务教育学校教师2025年平均工资收入为</w:t>
            </w:r>
            <w:r>
              <w:rPr>
                <w:rFonts w:hint="default" w:ascii="Times New Roman" w:hAnsi="Times New Roman" w:eastAsia="宋体" w:cs="Times New Roman"/>
                <w:i w:val="0"/>
                <w:color w:val="000000"/>
                <w:kern w:val="0"/>
                <w:sz w:val="24"/>
                <w:szCs w:val="24"/>
                <w:u w:val="single"/>
                <w:lang w:val="en-US" w:eastAsia="zh-CN" w:bidi="ar"/>
              </w:rPr>
              <w:t xml:space="preserve"> 137422 </w:t>
            </w:r>
            <w:r>
              <w:rPr>
                <w:rFonts w:hint="eastAsia" w:ascii="宋体" w:hAnsi="宋体" w:eastAsia="宋体" w:cs="宋体"/>
                <w:i w:val="0"/>
                <w:color w:val="000000"/>
                <w:kern w:val="0"/>
                <w:sz w:val="24"/>
                <w:szCs w:val="24"/>
                <w:u w:val="none"/>
                <w:lang w:val="en-US" w:eastAsia="zh-CN" w:bidi="ar"/>
              </w:rPr>
              <w:t>元，高于当地公务员年平均工资收入。</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1062" w:type="dxa"/>
          <w:trHeight w:val="610" w:hRule="atLeast"/>
        </w:trPr>
        <w:tc>
          <w:tcPr>
            <w:tcW w:w="14898" w:type="dxa"/>
            <w:gridSpan w:val="18"/>
            <w:tcBorders>
              <w:top w:val="nil"/>
              <w:left w:val="nil"/>
              <w:bottom w:val="nil"/>
              <w:right w:val="nil"/>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表Ⅳ 政府保障程度评估指标（续）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1062" w:type="dxa"/>
          <w:trHeight w:val="540" w:hRule="atLeast"/>
        </w:trPr>
        <w:tc>
          <w:tcPr>
            <w:tcW w:w="5933"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7849"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指标值或简要结论</w:t>
            </w:r>
          </w:p>
        </w:tc>
        <w:tc>
          <w:tcPr>
            <w:tcW w:w="1116"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是否达标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3"/>
          <w:wAfter w:w="1062" w:type="dxa"/>
          <w:trHeight w:val="750" w:hRule="atLeast"/>
        </w:trPr>
        <w:tc>
          <w:tcPr>
            <w:tcW w:w="5933"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 </w:t>
            </w:r>
            <w:r>
              <w:rPr>
                <w:rFonts w:hint="eastAsia" w:ascii="宋体" w:hAnsi="宋体" w:eastAsia="宋体" w:cs="宋体"/>
                <w:i w:val="0"/>
                <w:color w:val="000000"/>
                <w:kern w:val="0"/>
                <w:sz w:val="24"/>
                <w:szCs w:val="24"/>
                <w:u w:val="none"/>
                <w:lang w:val="en-US" w:eastAsia="zh-CN" w:bidi="ar"/>
              </w:rPr>
              <w:t>教师</w:t>
            </w:r>
            <w:r>
              <w:rPr>
                <w:rFonts w:hint="default" w:ascii="Times New Roman" w:hAnsi="Times New Roman" w:eastAsia="宋体" w:cs="Times New Roman"/>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年</w:t>
            </w:r>
            <w:r>
              <w:rPr>
                <w:rFonts w:hint="default" w:ascii="Times New Roman" w:hAnsi="Times New Roman" w:eastAsia="宋体" w:cs="Times New Roman"/>
                <w:i w:val="0"/>
                <w:color w:val="000000"/>
                <w:kern w:val="0"/>
                <w:sz w:val="24"/>
                <w:szCs w:val="24"/>
                <w:u w:val="none"/>
                <w:lang w:val="en-US" w:eastAsia="zh-CN" w:bidi="ar"/>
              </w:rPr>
              <w:t>360</w:t>
            </w:r>
            <w:r>
              <w:rPr>
                <w:rFonts w:hint="eastAsia" w:ascii="宋体" w:hAnsi="宋体" w:eastAsia="宋体" w:cs="宋体"/>
                <w:i w:val="0"/>
                <w:color w:val="000000"/>
                <w:kern w:val="0"/>
                <w:sz w:val="24"/>
                <w:szCs w:val="24"/>
                <w:u w:val="none"/>
                <w:lang w:val="en-US" w:eastAsia="zh-CN" w:bidi="ar"/>
              </w:rPr>
              <w:t>学时培训完成率达到</w:t>
            </w:r>
            <w:r>
              <w:rPr>
                <w:rFonts w:hint="default" w:ascii="Times New Roman" w:hAnsi="Times New Roman" w:eastAsia="宋体" w:cs="Times New Roman"/>
                <w:i w:val="0"/>
                <w:color w:val="000000"/>
                <w:kern w:val="0"/>
                <w:sz w:val="24"/>
                <w:szCs w:val="24"/>
                <w:u w:val="none"/>
                <w:lang w:val="en-US" w:eastAsia="zh-CN" w:bidi="ar"/>
              </w:rPr>
              <w:t>100%</w:t>
            </w:r>
          </w:p>
        </w:tc>
        <w:tc>
          <w:tcPr>
            <w:tcW w:w="7849"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在2019-2023年第</w:t>
            </w:r>
            <w:r>
              <w:rPr>
                <w:rFonts w:hint="eastAsia" w:ascii="宋体" w:hAnsi="宋体" w:eastAsia="宋体" w:cs="宋体"/>
                <w:i w:val="0"/>
                <w:color w:val="000000"/>
                <w:kern w:val="0"/>
                <w:sz w:val="24"/>
                <w:szCs w:val="24"/>
                <w:u w:val="single"/>
                <w:lang w:val="en-US" w:eastAsia="zh-CN" w:bidi="ar"/>
              </w:rPr>
              <w:t>六</w:t>
            </w:r>
            <w:r>
              <w:rPr>
                <w:rFonts w:hint="eastAsia" w:ascii="宋体" w:hAnsi="宋体" w:eastAsia="宋体" w:cs="宋体"/>
                <w:i w:val="0"/>
                <w:color w:val="000000"/>
                <w:kern w:val="0"/>
                <w:sz w:val="24"/>
                <w:szCs w:val="24"/>
                <w:u w:val="none"/>
                <w:lang w:val="en-US" w:eastAsia="zh-CN" w:bidi="ar"/>
              </w:rPr>
              <w:t>个五年周期，专任教师</w:t>
            </w:r>
            <w:r>
              <w:rPr>
                <w:rFonts w:hint="default" w:ascii="Times New Roman" w:hAnsi="Times New Roman" w:eastAsia="宋体" w:cs="Times New Roman"/>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年</w:t>
            </w:r>
            <w:r>
              <w:rPr>
                <w:rFonts w:hint="default" w:ascii="Times New Roman" w:hAnsi="Times New Roman" w:eastAsia="宋体" w:cs="Times New Roman"/>
                <w:i w:val="0"/>
                <w:color w:val="000000"/>
                <w:kern w:val="0"/>
                <w:sz w:val="24"/>
                <w:szCs w:val="24"/>
                <w:u w:val="none"/>
                <w:lang w:val="en-US" w:eastAsia="zh-CN" w:bidi="ar"/>
              </w:rPr>
              <w:t>360</w:t>
            </w:r>
            <w:r>
              <w:rPr>
                <w:rFonts w:hint="eastAsia" w:ascii="宋体" w:hAnsi="宋体" w:eastAsia="宋体" w:cs="宋体"/>
                <w:i w:val="0"/>
                <w:color w:val="000000"/>
                <w:kern w:val="0"/>
                <w:sz w:val="24"/>
                <w:szCs w:val="24"/>
                <w:u w:val="none"/>
                <w:lang w:val="en-US" w:eastAsia="zh-CN" w:bidi="ar"/>
              </w:rPr>
              <w:t>学时培训完成率达到</w:t>
            </w:r>
            <w:r>
              <w:rPr>
                <w:rFonts w:hint="default" w:ascii="Times New Roman" w:hAnsi="Times New Roman" w:eastAsia="宋体" w:cs="Times New Roman"/>
                <w:i w:val="0"/>
                <w:color w:val="000000"/>
                <w:kern w:val="0"/>
                <w:sz w:val="24"/>
                <w:szCs w:val="24"/>
                <w:u w:val="single"/>
                <w:lang w:val="en-US" w:eastAsia="zh-CN" w:bidi="ar"/>
              </w:rPr>
              <w:t>100</w:t>
            </w:r>
            <w:r>
              <w:rPr>
                <w:rFonts w:hint="default" w:ascii="Times New Roman" w:hAnsi="Times New Roman" w:eastAsia="宋体" w:cs="Times New Roman"/>
                <w:i w:val="0"/>
                <w:color w:val="000000"/>
                <w:kern w:val="0"/>
                <w:sz w:val="24"/>
                <w:szCs w:val="24"/>
                <w:u w:val="none"/>
                <w:lang w:val="en-US" w:eastAsia="zh-CN" w:bidi="ar"/>
              </w:rPr>
              <w:t>%</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2024-2028</w:t>
            </w:r>
            <w:r>
              <w:rPr>
                <w:rFonts w:hint="eastAsia" w:ascii="宋体" w:hAnsi="宋体" w:eastAsia="宋体" w:cs="宋体"/>
                <w:i w:val="0"/>
                <w:color w:val="000000"/>
                <w:kern w:val="0"/>
                <w:sz w:val="24"/>
                <w:szCs w:val="24"/>
                <w:u w:val="none"/>
                <w:lang w:val="en-US" w:eastAsia="zh-CN" w:bidi="ar"/>
              </w:rPr>
              <w:t>年第</w:t>
            </w:r>
            <w:r>
              <w:rPr>
                <w:rFonts w:hint="eastAsia" w:ascii="宋体" w:hAnsi="宋体" w:eastAsia="宋体" w:cs="宋体"/>
                <w:i w:val="0"/>
                <w:color w:val="000000"/>
                <w:kern w:val="0"/>
                <w:sz w:val="24"/>
                <w:szCs w:val="24"/>
                <w:u w:val="single"/>
                <w:lang w:val="en-US" w:eastAsia="zh-CN" w:bidi="ar"/>
              </w:rPr>
              <w:t>七</w:t>
            </w:r>
            <w:r>
              <w:rPr>
                <w:rFonts w:hint="eastAsia" w:ascii="宋体" w:hAnsi="宋体" w:eastAsia="宋体" w:cs="宋体"/>
                <w:i w:val="0"/>
                <w:color w:val="000000"/>
                <w:kern w:val="0"/>
                <w:sz w:val="24"/>
                <w:szCs w:val="24"/>
                <w:u w:val="none"/>
                <w:lang w:val="en-US" w:eastAsia="zh-CN" w:bidi="ar"/>
              </w:rPr>
              <w:t>个五年周期，专任教师</w:t>
            </w:r>
            <w:r>
              <w:rPr>
                <w:rFonts w:hint="default" w:ascii="Times New Roman" w:hAnsi="Times New Roman" w:eastAsia="宋体" w:cs="Times New Roman"/>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年</w:t>
            </w:r>
            <w:r>
              <w:rPr>
                <w:rFonts w:hint="default" w:ascii="Times New Roman" w:hAnsi="Times New Roman" w:eastAsia="宋体" w:cs="Times New Roman"/>
                <w:i w:val="0"/>
                <w:color w:val="000000"/>
                <w:kern w:val="0"/>
                <w:sz w:val="24"/>
                <w:szCs w:val="24"/>
                <w:u w:val="none"/>
                <w:lang w:val="en-US" w:eastAsia="zh-CN" w:bidi="ar"/>
              </w:rPr>
              <w:t>360</w:t>
            </w:r>
            <w:r>
              <w:rPr>
                <w:rFonts w:hint="eastAsia" w:ascii="宋体" w:hAnsi="宋体" w:eastAsia="宋体" w:cs="宋体"/>
                <w:i w:val="0"/>
                <w:color w:val="000000"/>
                <w:kern w:val="0"/>
                <w:sz w:val="24"/>
                <w:szCs w:val="24"/>
                <w:u w:val="none"/>
                <w:lang w:val="en-US" w:eastAsia="zh-CN" w:bidi="ar"/>
              </w:rPr>
              <w:t>学时培训，每年教师培训满</w:t>
            </w:r>
            <w:r>
              <w:rPr>
                <w:rFonts w:hint="eastAsia" w:ascii="Times New Roman" w:hAnsi="Times New Roman" w:eastAsia="宋体" w:cs="Times New Roman"/>
                <w:i w:val="0"/>
                <w:color w:val="000000"/>
                <w:kern w:val="0"/>
                <w:sz w:val="24"/>
                <w:szCs w:val="24"/>
                <w:u w:val="none"/>
                <w:lang w:val="en-US" w:eastAsia="zh-CN" w:bidi="ar"/>
              </w:rPr>
              <w:t>90</w:t>
            </w:r>
            <w:r>
              <w:rPr>
                <w:rFonts w:hint="eastAsia" w:ascii="宋体" w:hAnsi="宋体" w:eastAsia="宋体" w:cs="宋体"/>
                <w:i w:val="0"/>
                <w:color w:val="000000"/>
                <w:kern w:val="0"/>
                <w:sz w:val="24"/>
                <w:szCs w:val="24"/>
                <w:u w:val="none"/>
                <w:lang w:val="en-US" w:eastAsia="zh-CN" w:bidi="ar"/>
              </w:rPr>
              <w:t>学时完成率</w:t>
            </w:r>
            <w:r>
              <w:rPr>
                <w:rFonts w:hint="default" w:ascii="Times New Roman" w:hAnsi="Times New Roman" w:eastAsia="宋体" w:cs="Times New Roman"/>
                <w:i w:val="0"/>
                <w:color w:val="000000"/>
                <w:kern w:val="0"/>
                <w:sz w:val="24"/>
                <w:szCs w:val="24"/>
                <w:u w:val="single"/>
                <w:lang w:val="en-US" w:eastAsia="zh-CN" w:bidi="ar"/>
              </w:rPr>
              <w:t xml:space="preserve"> 100 %</w:t>
            </w:r>
            <w:r>
              <w:rPr>
                <w:rFonts w:hint="eastAsia" w:ascii="宋体" w:hAnsi="宋体" w:eastAsia="宋体" w:cs="宋体"/>
                <w:i w:val="0"/>
                <w:color w:val="000000"/>
                <w:kern w:val="0"/>
                <w:sz w:val="24"/>
                <w:szCs w:val="24"/>
                <w:u w:val="none"/>
                <w:lang w:val="en-US" w:eastAsia="zh-CN" w:bidi="ar"/>
              </w:rPr>
              <w:t>。</w:t>
            </w:r>
          </w:p>
        </w:tc>
        <w:tc>
          <w:tcPr>
            <w:tcW w:w="1116"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1062" w:type="dxa"/>
          <w:trHeight w:val="1280" w:hRule="atLeast"/>
        </w:trPr>
        <w:tc>
          <w:tcPr>
            <w:tcW w:w="5933"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r>
              <w:rPr>
                <w:rFonts w:hint="eastAsia" w:ascii="宋体" w:hAnsi="宋体" w:eastAsia="宋体" w:cs="宋体"/>
                <w:i w:val="0"/>
                <w:color w:val="000000"/>
                <w:kern w:val="0"/>
                <w:sz w:val="24"/>
                <w:szCs w:val="24"/>
                <w:u w:val="none"/>
                <w:lang w:val="en-US" w:eastAsia="zh-CN" w:bidi="ar"/>
              </w:rPr>
              <w:t>县级教育行政部门在核定的教职工编制总额和岗位总量内，统筹分配各校教职工编制和岗位数量</w:t>
            </w:r>
          </w:p>
        </w:tc>
        <w:tc>
          <w:tcPr>
            <w:tcW w:w="7849"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已印发《关于核定分配乌苏市中小学教职工编制的通知》《关于乌苏市中小学教职工编制动态调整领导职数内设机构核定的通知》，按照四统一要求，小学师生比为</w:t>
            </w:r>
            <w:r>
              <w:rPr>
                <w:rFonts w:hint="default" w:ascii="Times New Roman" w:hAnsi="Times New Roman" w:eastAsia="宋体" w:cs="Times New Roman"/>
                <w:i w:val="0"/>
                <w:color w:val="000000"/>
                <w:kern w:val="0"/>
                <w:sz w:val="24"/>
                <w:szCs w:val="24"/>
                <w:u w:val="none"/>
                <w:lang w:val="en-US" w:eastAsia="zh-CN" w:bidi="ar"/>
              </w:rPr>
              <w:t>1:19</w:t>
            </w:r>
            <w:bookmarkStart w:id="0" w:name="_GoBack"/>
            <w:bookmarkEnd w:id="0"/>
            <w:r>
              <w:rPr>
                <w:rFonts w:hint="eastAsia" w:ascii="宋体" w:hAnsi="宋体" w:eastAsia="宋体" w:cs="宋体"/>
                <w:i w:val="0"/>
                <w:color w:val="000000"/>
                <w:kern w:val="0"/>
                <w:sz w:val="24"/>
                <w:szCs w:val="24"/>
                <w:u w:val="none"/>
                <w:lang w:val="en-US" w:eastAsia="zh-CN" w:bidi="ar"/>
              </w:rPr>
              <w:t>、初中为</w:t>
            </w:r>
            <w:r>
              <w:rPr>
                <w:rFonts w:hint="default" w:ascii="Times New Roman" w:hAnsi="Times New Roman" w:eastAsia="宋体" w:cs="Times New Roman"/>
                <w:i w:val="0"/>
                <w:color w:val="000000"/>
                <w:kern w:val="0"/>
                <w:sz w:val="24"/>
                <w:szCs w:val="24"/>
                <w:u w:val="none"/>
                <w:lang w:val="en-US" w:eastAsia="zh-CN" w:bidi="ar"/>
              </w:rPr>
              <w:t>1:13.5</w:t>
            </w:r>
            <w:r>
              <w:rPr>
                <w:rFonts w:hint="eastAsia" w:ascii="宋体" w:hAnsi="宋体" w:eastAsia="宋体" w:cs="宋体"/>
                <w:i w:val="0"/>
                <w:color w:val="000000"/>
                <w:kern w:val="0"/>
                <w:sz w:val="24"/>
                <w:szCs w:val="24"/>
                <w:u w:val="none"/>
                <w:lang w:val="en-US" w:eastAsia="zh-CN" w:bidi="ar"/>
              </w:rPr>
              <w:t>核定的教职工编制总额为</w:t>
            </w:r>
            <w:r>
              <w:rPr>
                <w:rFonts w:hint="eastAsia" w:ascii="宋体" w:hAnsi="宋体" w:eastAsia="宋体" w:cs="宋体"/>
                <w:i w:val="0"/>
                <w:color w:val="000000"/>
                <w:kern w:val="0"/>
                <w:sz w:val="24"/>
                <w:szCs w:val="24"/>
                <w:u w:val="single"/>
                <w:lang w:val="en-US" w:eastAsia="zh-CN" w:bidi="ar"/>
              </w:rPr>
              <w:t>1436</w:t>
            </w:r>
            <w:r>
              <w:rPr>
                <w:rFonts w:hint="eastAsia" w:ascii="宋体" w:hAnsi="宋体" w:eastAsia="宋体" w:cs="宋体"/>
                <w:i w:val="0"/>
                <w:color w:val="000000"/>
                <w:kern w:val="0"/>
                <w:sz w:val="24"/>
                <w:szCs w:val="24"/>
                <w:u w:val="none"/>
                <w:lang w:val="en-US" w:eastAsia="zh-CN" w:bidi="ar"/>
              </w:rPr>
              <w:t>人，按照城乡统一编制标准统筹分配各校教职工编制。</w:t>
            </w:r>
          </w:p>
        </w:tc>
        <w:tc>
          <w:tcPr>
            <w:tcW w:w="1116"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1062" w:type="dxa"/>
          <w:trHeight w:val="1070" w:hRule="atLeast"/>
        </w:trPr>
        <w:tc>
          <w:tcPr>
            <w:tcW w:w="5933"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宋体" w:hAnsi="宋体" w:eastAsia="宋体" w:cs="宋体"/>
                <w:i w:val="0"/>
                <w:color w:val="000000"/>
                <w:kern w:val="0"/>
                <w:sz w:val="24"/>
                <w:szCs w:val="24"/>
                <w:u w:val="none"/>
                <w:lang w:val="en-US" w:eastAsia="zh-CN" w:bidi="ar"/>
              </w:rPr>
              <w:t>全县每年交流轮岗教师的比例不低于符合交流轮岗条件教师总数的</w:t>
            </w:r>
            <w:r>
              <w:rPr>
                <w:rFonts w:hint="default" w:ascii="Times New Roman" w:hAnsi="Times New Roman" w:eastAsia="宋体" w:cs="Times New Roman"/>
                <w:i w:val="0"/>
                <w:color w:val="000000"/>
                <w:kern w:val="0"/>
                <w:sz w:val="24"/>
                <w:szCs w:val="24"/>
                <w:u w:val="none"/>
                <w:lang w:val="en-US" w:eastAsia="zh-CN" w:bidi="ar"/>
              </w:rPr>
              <w:t>10%</w:t>
            </w:r>
            <w:r>
              <w:rPr>
                <w:rFonts w:hint="eastAsia" w:ascii="宋体" w:hAnsi="宋体" w:eastAsia="宋体" w:cs="宋体"/>
                <w:i w:val="0"/>
                <w:color w:val="000000"/>
                <w:kern w:val="0"/>
                <w:sz w:val="24"/>
                <w:szCs w:val="24"/>
                <w:u w:val="none"/>
                <w:lang w:val="en-US" w:eastAsia="zh-CN" w:bidi="ar"/>
              </w:rPr>
              <w:t>；其中，骨干教师不低于交流轮岗教师总数的</w:t>
            </w:r>
            <w:r>
              <w:rPr>
                <w:rFonts w:hint="default" w:ascii="Times New Roman" w:hAnsi="Times New Roman" w:eastAsia="宋体" w:cs="Times New Roman"/>
                <w:i w:val="0"/>
                <w:color w:val="000000"/>
                <w:kern w:val="0"/>
                <w:sz w:val="24"/>
                <w:szCs w:val="24"/>
                <w:u w:val="none"/>
                <w:lang w:val="en-US" w:eastAsia="zh-CN" w:bidi="ar"/>
              </w:rPr>
              <w:t>20%</w:t>
            </w:r>
          </w:p>
        </w:tc>
        <w:tc>
          <w:tcPr>
            <w:tcW w:w="7849"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全市符合交流轮岗条件教师总数</w:t>
            </w:r>
            <w:r>
              <w:rPr>
                <w:rFonts w:hint="default" w:ascii="Times New Roman" w:hAnsi="Times New Roman" w:eastAsia="宋体" w:cs="Times New Roman"/>
                <w:i w:val="0"/>
                <w:color w:val="000000"/>
                <w:kern w:val="0"/>
                <w:sz w:val="24"/>
                <w:szCs w:val="24"/>
                <w:u w:val="single"/>
                <w:lang w:val="en-US" w:eastAsia="zh-CN" w:bidi="ar"/>
              </w:rPr>
              <w:t>739</w:t>
            </w:r>
            <w:r>
              <w:rPr>
                <w:rFonts w:hint="eastAsia" w:ascii="宋体" w:hAnsi="宋体" w:eastAsia="宋体" w:cs="宋体"/>
                <w:i w:val="0"/>
                <w:color w:val="000000"/>
                <w:kern w:val="0"/>
                <w:sz w:val="24"/>
                <w:szCs w:val="24"/>
                <w:u w:val="none"/>
                <w:lang w:val="en-US" w:eastAsia="zh-CN" w:bidi="ar"/>
              </w:rPr>
              <w:t>名，上一年度交流轮岗教师</w:t>
            </w:r>
            <w:r>
              <w:rPr>
                <w:rFonts w:hint="default" w:ascii="Times New Roman" w:hAnsi="Times New Roman" w:eastAsia="宋体" w:cs="Times New Roman"/>
                <w:i w:val="0"/>
                <w:color w:val="000000"/>
                <w:kern w:val="0"/>
                <w:sz w:val="24"/>
                <w:szCs w:val="24"/>
                <w:u w:val="single"/>
                <w:lang w:val="en-US" w:eastAsia="zh-CN" w:bidi="ar"/>
              </w:rPr>
              <w:t>134</w:t>
            </w:r>
            <w:r>
              <w:rPr>
                <w:rFonts w:hint="eastAsia" w:ascii="宋体" w:hAnsi="宋体" w:eastAsia="宋体" w:cs="宋体"/>
                <w:i w:val="0"/>
                <w:color w:val="000000"/>
                <w:kern w:val="0"/>
                <w:sz w:val="24"/>
                <w:szCs w:val="24"/>
                <w:u w:val="none"/>
                <w:lang w:val="en-US" w:eastAsia="zh-CN" w:bidi="ar"/>
              </w:rPr>
              <w:t>名，交流轮岗教师占符合交流轮岗条件教师总数的比例</w:t>
            </w:r>
            <w:r>
              <w:rPr>
                <w:rFonts w:hint="default" w:ascii="Times New Roman" w:hAnsi="Times New Roman" w:eastAsia="宋体" w:cs="Times New Roman"/>
                <w:i w:val="0"/>
                <w:color w:val="000000"/>
                <w:kern w:val="0"/>
                <w:sz w:val="24"/>
                <w:szCs w:val="24"/>
                <w:u w:val="single"/>
                <w:lang w:val="en-US" w:eastAsia="zh-CN" w:bidi="ar"/>
              </w:rPr>
              <w:t>18.13</w:t>
            </w:r>
            <w:r>
              <w:rPr>
                <w:rFonts w:hint="default" w:ascii="Times New Roman" w:hAnsi="Times New Roman" w:eastAsia="宋体" w:cs="Times New Roman"/>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；交流轮岗的骨干教师</w:t>
            </w:r>
            <w:r>
              <w:rPr>
                <w:rFonts w:hint="default" w:ascii="Times New Roman" w:hAnsi="Times New Roman" w:eastAsia="宋体" w:cs="Times New Roman"/>
                <w:i w:val="0"/>
                <w:color w:val="000000"/>
                <w:kern w:val="0"/>
                <w:sz w:val="24"/>
                <w:szCs w:val="24"/>
                <w:u w:val="single"/>
                <w:lang w:val="en-US" w:eastAsia="zh-CN" w:bidi="ar"/>
              </w:rPr>
              <w:t>39</w:t>
            </w:r>
            <w:r>
              <w:rPr>
                <w:rFonts w:hint="eastAsia" w:ascii="宋体" w:hAnsi="宋体" w:eastAsia="宋体" w:cs="宋体"/>
                <w:i w:val="0"/>
                <w:color w:val="000000"/>
                <w:kern w:val="0"/>
                <w:sz w:val="24"/>
                <w:szCs w:val="24"/>
                <w:u w:val="none"/>
                <w:lang w:val="en-US" w:eastAsia="zh-CN" w:bidi="ar"/>
              </w:rPr>
              <w:t>名，占交流轮岗教师总数的比例</w:t>
            </w:r>
            <w:r>
              <w:rPr>
                <w:rFonts w:hint="eastAsia" w:ascii="宋体" w:hAnsi="宋体" w:eastAsia="宋体" w:cs="宋体"/>
                <w:i w:val="0"/>
                <w:color w:val="000000"/>
                <w:kern w:val="0"/>
                <w:sz w:val="24"/>
                <w:szCs w:val="24"/>
                <w:u w:val="single"/>
                <w:lang w:val="en-US" w:eastAsia="zh-CN" w:bidi="ar"/>
              </w:rPr>
              <w:t>29.10</w:t>
            </w:r>
            <w:r>
              <w:rPr>
                <w:rFonts w:hint="default" w:ascii="Times New Roman" w:hAnsi="Times New Roman" w:eastAsia="宋体" w:cs="Times New Roman"/>
                <w:i w:val="0"/>
                <w:color w:val="000000"/>
                <w:kern w:val="0"/>
                <w:sz w:val="24"/>
                <w:szCs w:val="24"/>
                <w:u w:val="none"/>
                <w:lang w:val="en-US" w:eastAsia="zh-CN" w:bidi="ar"/>
              </w:rPr>
              <w:t>%</w:t>
            </w:r>
          </w:p>
        </w:tc>
        <w:tc>
          <w:tcPr>
            <w:tcW w:w="1116"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3"/>
          <w:wAfter w:w="1062" w:type="dxa"/>
          <w:trHeight w:val="830" w:hRule="atLeast"/>
        </w:trPr>
        <w:tc>
          <w:tcPr>
            <w:tcW w:w="5933"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r>
              <w:rPr>
                <w:rFonts w:hint="eastAsia" w:ascii="宋体" w:hAnsi="宋体" w:eastAsia="宋体" w:cs="宋体"/>
                <w:i w:val="0"/>
                <w:color w:val="000000"/>
                <w:kern w:val="0"/>
                <w:sz w:val="24"/>
                <w:szCs w:val="24"/>
                <w:u w:val="none"/>
                <w:lang w:val="en-US" w:eastAsia="zh-CN" w:bidi="ar"/>
              </w:rPr>
              <w:t>专任教师持有教师资格证上岗率达到</w:t>
            </w:r>
            <w:r>
              <w:rPr>
                <w:rFonts w:hint="default" w:ascii="Times New Roman" w:hAnsi="Times New Roman" w:eastAsia="宋体" w:cs="Times New Roman"/>
                <w:i w:val="0"/>
                <w:color w:val="000000"/>
                <w:kern w:val="0"/>
                <w:sz w:val="24"/>
                <w:szCs w:val="24"/>
                <w:u w:val="none"/>
                <w:lang w:val="en-US" w:eastAsia="zh-CN" w:bidi="ar"/>
              </w:rPr>
              <w:t>100%</w:t>
            </w:r>
          </w:p>
        </w:tc>
        <w:tc>
          <w:tcPr>
            <w:tcW w:w="7849"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全市专任教师</w:t>
            </w:r>
            <w:r>
              <w:rPr>
                <w:rFonts w:hint="default" w:ascii="Times New Roman" w:hAnsi="Times New Roman" w:eastAsia="宋体" w:cs="Times New Roman"/>
                <w:i w:val="0"/>
                <w:color w:val="000000"/>
                <w:kern w:val="0"/>
                <w:sz w:val="24"/>
                <w:szCs w:val="24"/>
                <w:u w:val="single"/>
                <w:lang w:val="en-US" w:eastAsia="zh-CN" w:bidi="ar"/>
              </w:rPr>
              <w:t>1606</w:t>
            </w:r>
            <w:r>
              <w:rPr>
                <w:rFonts w:hint="eastAsia" w:ascii="宋体" w:hAnsi="宋体" w:eastAsia="宋体" w:cs="宋体"/>
                <w:i w:val="0"/>
                <w:color w:val="000000"/>
                <w:kern w:val="0"/>
                <w:sz w:val="24"/>
                <w:szCs w:val="24"/>
                <w:u w:val="none"/>
                <w:lang w:val="en-US" w:eastAsia="zh-CN" w:bidi="ar"/>
              </w:rPr>
              <w:t>人，持有教师资格证的专任教师</w:t>
            </w:r>
            <w:r>
              <w:rPr>
                <w:rFonts w:hint="default" w:ascii="Times New Roman" w:hAnsi="Times New Roman" w:eastAsia="宋体" w:cs="Times New Roman"/>
                <w:i w:val="0"/>
                <w:color w:val="000000"/>
                <w:kern w:val="0"/>
                <w:sz w:val="24"/>
                <w:szCs w:val="24"/>
                <w:u w:val="single"/>
                <w:lang w:val="en-US" w:eastAsia="zh-CN" w:bidi="ar"/>
              </w:rPr>
              <w:t>1606</w:t>
            </w:r>
            <w:r>
              <w:rPr>
                <w:rFonts w:hint="eastAsia" w:ascii="宋体" w:hAnsi="宋体" w:eastAsia="宋体" w:cs="宋体"/>
                <w:i w:val="0"/>
                <w:color w:val="000000"/>
                <w:kern w:val="0"/>
                <w:sz w:val="24"/>
                <w:szCs w:val="24"/>
                <w:u w:val="none"/>
                <w:lang w:val="en-US" w:eastAsia="zh-CN" w:bidi="ar"/>
              </w:rPr>
              <w:t>人，占比</w:t>
            </w:r>
            <w:r>
              <w:rPr>
                <w:rFonts w:hint="default" w:ascii="Times New Roman" w:hAnsi="Times New Roman" w:eastAsia="宋体" w:cs="Times New Roman"/>
                <w:i w:val="0"/>
                <w:color w:val="000000"/>
                <w:kern w:val="0"/>
                <w:sz w:val="24"/>
                <w:szCs w:val="24"/>
                <w:u w:val="none"/>
                <w:lang w:val="en-US" w:eastAsia="zh-CN" w:bidi="ar"/>
              </w:rPr>
              <w:t>_</w:t>
            </w:r>
            <w:r>
              <w:rPr>
                <w:rFonts w:hint="default" w:ascii="Times New Roman" w:hAnsi="Times New Roman" w:eastAsia="宋体" w:cs="Times New Roman"/>
                <w:i w:val="0"/>
                <w:color w:val="000000"/>
                <w:kern w:val="0"/>
                <w:sz w:val="24"/>
                <w:szCs w:val="24"/>
                <w:u w:val="single"/>
                <w:lang w:val="en-US" w:eastAsia="zh-CN" w:bidi="ar"/>
              </w:rPr>
              <w:t>100</w:t>
            </w:r>
            <w:r>
              <w:rPr>
                <w:rFonts w:hint="default" w:ascii="Times New Roman" w:hAnsi="Times New Roman" w:eastAsia="宋体" w:cs="Times New Roman"/>
                <w:i w:val="0"/>
                <w:color w:val="000000"/>
                <w:kern w:val="0"/>
                <w:sz w:val="24"/>
                <w:szCs w:val="24"/>
                <w:u w:val="none"/>
                <w:lang w:val="en-US" w:eastAsia="zh-CN" w:bidi="ar"/>
              </w:rPr>
              <w:t>_%</w:t>
            </w:r>
          </w:p>
        </w:tc>
        <w:tc>
          <w:tcPr>
            <w:tcW w:w="1116"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3"/>
          <w:wAfter w:w="1062" w:type="dxa"/>
          <w:trHeight w:val="760" w:hRule="atLeast"/>
        </w:trPr>
        <w:tc>
          <w:tcPr>
            <w:tcW w:w="5933"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r>
              <w:rPr>
                <w:rFonts w:hint="eastAsia" w:ascii="宋体" w:hAnsi="宋体" w:eastAsia="宋体" w:cs="宋体"/>
                <w:i w:val="0"/>
                <w:color w:val="000000"/>
                <w:kern w:val="0"/>
                <w:sz w:val="24"/>
                <w:szCs w:val="24"/>
                <w:u w:val="none"/>
                <w:lang w:val="en-US" w:eastAsia="zh-CN" w:bidi="ar"/>
              </w:rPr>
              <w:t>城区和镇区公办小学、初中（均不含寄宿制学校）就近划片入学比例分别达到</w:t>
            </w:r>
            <w:r>
              <w:rPr>
                <w:rFonts w:hint="default" w:ascii="Times New Roman" w:hAnsi="Times New Roman" w:eastAsia="宋体" w:cs="Times New Roman"/>
                <w:i w:val="0"/>
                <w:color w:val="000000"/>
                <w:kern w:val="0"/>
                <w:sz w:val="24"/>
                <w:szCs w:val="24"/>
                <w:u w:val="none"/>
                <w:lang w:val="en-US" w:eastAsia="zh-CN" w:bidi="ar"/>
              </w:rPr>
              <w:t>100%</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95%</w:t>
            </w:r>
            <w:r>
              <w:rPr>
                <w:rFonts w:hint="eastAsia" w:ascii="宋体" w:hAnsi="宋体" w:eastAsia="宋体" w:cs="宋体"/>
                <w:i w:val="0"/>
                <w:color w:val="000000"/>
                <w:kern w:val="0"/>
                <w:sz w:val="24"/>
                <w:szCs w:val="24"/>
                <w:u w:val="none"/>
                <w:lang w:val="en-US" w:eastAsia="zh-CN" w:bidi="ar"/>
              </w:rPr>
              <w:t>以上</w:t>
            </w:r>
          </w:p>
        </w:tc>
        <w:tc>
          <w:tcPr>
            <w:tcW w:w="7849" w:type="dxa"/>
            <w:gridSpan w:val="8"/>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城区和镇区公办小学、初中（均不含寄宿制学校）就近划片入学比例分别</w:t>
            </w:r>
            <w:r>
              <w:rPr>
                <w:rFonts w:hint="default" w:ascii="Times New Roman" w:hAnsi="Times New Roman" w:eastAsia="宋体"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single"/>
                <w:lang w:val="en-US" w:eastAsia="zh-CN" w:bidi="ar"/>
              </w:rPr>
              <w:t>100</w:t>
            </w:r>
            <w:r>
              <w:rPr>
                <w:rFonts w:hint="default" w:ascii="Times New Roman" w:hAnsi="Times New Roman" w:eastAsia="宋体" w:cs="Times New Roman"/>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single"/>
                <w:lang w:val="en-US" w:eastAsia="zh-CN" w:bidi="ar"/>
              </w:rPr>
              <w:t>100</w:t>
            </w:r>
            <w:r>
              <w:rPr>
                <w:rFonts w:hint="default" w:ascii="Times New Roman" w:hAnsi="Times New Roman" w:eastAsia="宋体" w:cs="Times New Roman"/>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w:t>
            </w:r>
          </w:p>
        </w:tc>
        <w:tc>
          <w:tcPr>
            <w:tcW w:w="1116"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3"/>
          <w:wAfter w:w="1062" w:type="dxa"/>
          <w:trHeight w:val="820" w:hRule="atLeast"/>
        </w:trPr>
        <w:tc>
          <w:tcPr>
            <w:tcW w:w="5933"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r>
              <w:rPr>
                <w:rFonts w:hint="eastAsia" w:ascii="宋体" w:hAnsi="宋体" w:eastAsia="宋体" w:cs="宋体"/>
                <w:i w:val="0"/>
                <w:color w:val="000000"/>
                <w:kern w:val="0"/>
                <w:sz w:val="24"/>
                <w:szCs w:val="24"/>
                <w:u w:val="none"/>
                <w:lang w:val="en-US" w:eastAsia="zh-CN" w:bidi="ar"/>
              </w:rPr>
              <w:t>全县优质高中招生名额分配比例不低于</w:t>
            </w:r>
            <w:r>
              <w:rPr>
                <w:rFonts w:hint="default" w:ascii="Times New Roman" w:hAnsi="Times New Roman" w:eastAsia="宋体" w:cs="Times New Roman"/>
                <w:i w:val="0"/>
                <w:color w:val="000000"/>
                <w:kern w:val="0"/>
                <w:sz w:val="24"/>
                <w:szCs w:val="24"/>
                <w:u w:val="none"/>
                <w:lang w:val="en-US" w:eastAsia="zh-CN" w:bidi="ar"/>
              </w:rPr>
              <w:t>50%</w:t>
            </w:r>
            <w:r>
              <w:rPr>
                <w:rFonts w:hint="eastAsia" w:ascii="宋体" w:hAnsi="宋体" w:eastAsia="宋体" w:cs="宋体"/>
                <w:i w:val="0"/>
                <w:color w:val="000000"/>
                <w:kern w:val="0"/>
                <w:sz w:val="24"/>
                <w:szCs w:val="24"/>
                <w:u w:val="none"/>
                <w:lang w:val="en-US" w:eastAsia="zh-CN" w:bidi="ar"/>
              </w:rPr>
              <w:t>，并向农村初中倾斜</w:t>
            </w:r>
          </w:p>
        </w:tc>
        <w:tc>
          <w:tcPr>
            <w:tcW w:w="7849" w:type="dxa"/>
            <w:gridSpan w:val="8"/>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全市优质高中招生名额总数</w:t>
            </w:r>
            <w:r>
              <w:rPr>
                <w:rFonts w:hint="default" w:ascii="Times New Roman" w:hAnsi="Times New Roman" w:eastAsia="宋体" w:cs="Times New Roman"/>
                <w:i w:val="0"/>
                <w:color w:val="000000"/>
                <w:kern w:val="0"/>
                <w:sz w:val="24"/>
                <w:szCs w:val="24"/>
                <w:u w:val="single"/>
                <w:lang w:val="en-US" w:eastAsia="zh-CN" w:bidi="ar"/>
              </w:rPr>
              <w:t>1466</w:t>
            </w:r>
            <w:r>
              <w:rPr>
                <w:rFonts w:hint="eastAsia" w:ascii="宋体" w:hAnsi="宋体" w:eastAsia="宋体" w:cs="宋体"/>
                <w:i w:val="0"/>
                <w:color w:val="000000"/>
                <w:kern w:val="0"/>
                <w:sz w:val="24"/>
                <w:szCs w:val="24"/>
                <w:u w:val="none"/>
                <w:lang w:val="en-US" w:eastAsia="zh-CN" w:bidi="ar"/>
              </w:rPr>
              <w:t>人，其中农村九年级毕业生</w:t>
            </w:r>
            <w:r>
              <w:rPr>
                <w:rFonts w:hint="eastAsia" w:ascii="宋体" w:hAnsi="宋体" w:eastAsia="宋体" w:cs="宋体"/>
                <w:i w:val="0"/>
                <w:color w:val="000000"/>
                <w:kern w:val="0"/>
                <w:sz w:val="24"/>
                <w:szCs w:val="24"/>
                <w:u w:val="single"/>
                <w:lang w:val="en-US" w:eastAsia="zh-CN" w:bidi="ar"/>
              </w:rPr>
              <w:t>355</w:t>
            </w:r>
            <w:r>
              <w:rPr>
                <w:rFonts w:hint="eastAsia" w:ascii="宋体" w:hAnsi="宋体" w:eastAsia="宋体" w:cs="宋体"/>
                <w:i w:val="0"/>
                <w:color w:val="000000"/>
                <w:kern w:val="0"/>
                <w:sz w:val="24"/>
                <w:szCs w:val="24"/>
                <w:u w:val="none"/>
                <w:lang w:val="en-US" w:eastAsia="zh-CN" w:bidi="ar"/>
              </w:rPr>
              <w:t>人，普通高中共分配农村</w:t>
            </w:r>
            <w:r>
              <w:rPr>
                <w:rFonts w:hint="eastAsia" w:ascii="宋体" w:hAnsi="宋体" w:eastAsia="宋体" w:cs="宋体"/>
                <w:i w:val="0"/>
                <w:color w:val="000000"/>
                <w:kern w:val="0"/>
                <w:sz w:val="24"/>
                <w:szCs w:val="24"/>
                <w:u w:val="single"/>
                <w:lang w:val="en-US" w:eastAsia="zh-CN" w:bidi="ar"/>
              </w:rPr>
              <w:t>241</w:t>
            </w:r>
            <w:r>
              <w:rPr>
                <w:rFonts w:hint="eastAsia" w:ascii="宋体" w:hAnsi="宋体" w:eastAsia="宋体" w:cs="宋体"/>
                <w:i w:val="0"/>
                <w:color w:val="000000"/>
                <w:kern w:val="0"/>
                <w:sz w:val="24"/>
                <w:szCs w:val="24"/>
                <w:u w:val="none"/>
                <w:lang w:val="en-US" w:eastAsia="zh-CN" w:bidi="ar"/>
              </w:rPr>
              <w:t>人，占比</w:t>
            </w:r>
            <w:r>
              <w:rPr>
                <w:rFonts w:hint="eastAsia" w:ascii="宋体" w:hAnsi="宋体" w:eastAsia="宋体" w:cs="宋体"/>
                <w:i w:val="0"/>
                <w:color w:val="000000"/>
                <w:kern w:val="0"/>
                <w:sz w:val="24"/>
                <w:szCs w:val="24"/>
                <w:u w:val="single"/>
                <w:lang w:val="en-US" w:eastAsia="zh-CN" w:bidi="ar"/>
              </w:rPr>
              <w:t>67.89%</w:t>
            </w:r>
            <w:r>
              <w:rPr>
                <w:rFonts w:hint="eastAsia" w:ascii="宋体" w:hAnsi="宋体" w:eastAsia="宋体" w:cs="宋体"/>
                <w:i w:val="0"/>
                <w:color w:val="000000"/>
                <w:kern w:val="0"/>
                <w:sz w:val="24"/>
                <w:szCs w:val="24"/>
                <w:u w:val="none"/>
                <w:lang w:val="en-US" w:eastAsia="zh-CN" w:bidi="ar"/>
              </w:rPr>
              <w:t>。</w:t>
            </w:r>
          </w:p>
        </w:tc>
        <w:tc>
          <w:tcPr>
            <w:tcW w:w="1116"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3"/>
          <w:wAfter w:w="1062" w:type="dxa"/>
          <w:trHeight w:val="1000" w:hRule="atLeast"/>
        </w:trPr>
        <w:tc>
          <w:tcPr>
            <w:tcW w:w="5933"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r>
              <w:rPr>
                <w:rFonts w:hint="eastAsia" w:ascii="宋体" w:hAnsi="宋体" w:eastAsia="宋体" w:cs="宋体"/>
                <w:i w:val="0"/>
                <w:color w:val="000000"/>
                <w:kern w:val="0"/>
                <w:sz w:val="24"/>
                <w:szCs w:val="24"/>
                <w:u w:val="none"/>
                <w:lang w:val="en-US" w:eastAsia="zh-CN" w:bidi="ar"/>
              </w:rPr>
              <w:t>留守儿童关爱体系健全，全县符合条件的随迁子女在公办学校和政府购买服务的民办学校就读的比例不低于</w:t>
            </w:r>
            <w:r>
              <w:rPr>
                <w:rFonts w:hint="default" w:ascii="Times New Roman" w:hAnsi="Times New Roman" w:eastAsia="宋体" w:cs="Times New Roman"/>
                <w:i w:val="0"/>
                <w:color w:val="000000"/>
                <w:kern w:val="0"/>
                <w:sz w:val="24"/>
                <w:szCs w:val="24"/>
                <w:u w:val="none"/>
                <w:lang w:val="en-US" w:eastAsia="zh-CN" w:bidi="ar"/>
              </w:rPr>
              <w:t>85%</w:t>
            </w:r>
          </w:p>
        </w:tc>
        <w:tc>
          <w:tcPr>
            <w:tcW w:w="7870" w:type="dxa"/>
            <w:gridSpan w:val="9"/>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全市符合条件的随迁子女数</w:t>
            </w:r>
            <w:r>
              <w:rPr>
                <w:rFonts w:hint="default" w:ascii="Times New Roman" w:hAnsi="Times New Roman" w:eastAsia="宋体" w:cs="Times New Roman"/>
                <w:i w:val="0"/>
                <w:color w:val="000000"/>
                <w:kern w:val="0"/>
                <w:sz w:val="24"/>
                <w:szCs w:val="24"/>
                <w:u w:val="single"/>
                <w:lang w:val="en-US" w:eastAsia="zh-CN" w:bidi="ar"/>
              </w:rPr>
              <w:t>2780</w:t>
            </w:r>
            <w:r>
              <w:rPr>
                <w:rFonts w:hint="eastAsia" w:ascii="宋体" w:hAnsi="宋体" w:eastAsia="宋体" w:cs="宋体"/>
                <w:i w:val="0"/>
                <w:color w:val="000000"/>
                <w:kern w:val="0"/>
                <w:sz w:val="24"/>
                <w:szCs w:val="24"/>
                <w:u w:val="none"/>
                <w:lang w:val="en-US" w:eastAsia="zh-CN" w:bidi="ar"/>
              </w:rPr>
              <w:t>人，在公办学校就读</w:t>
            </w:r>
            <w:r>
              <w:rPr>
                <w:rFonts w:hint="default" w:ascii="Times New Roman" w:hAnsi="Times New Roman" w:eastAsia="宋体" w:cs="Times New Roman"/>
                <w:i w:val="0"/>
                <w:color w:val="000000"/>
                <w:kern w:val="0"/>
                <w:sz w:val="24"/>
                <w:szCs w:val="24"/>
                <w:u w:val="single"/>
                <w:lang w:val="en-US" w:eastAsia="zh-CN" w:bidi="ar"/>
              </w:rPr>
              <w:t>2780</w:t>
            </w:r>
            <w:r>
              <w:rPr>
                <w:rFonts w:hint="eastAsia" w:ascii="宋体" w:hAnsi="宋体" w:eastAsia="宋体" w:cs="宋体"/>
                <w:i w:val="0"/>
                <w:color w:val="000000"/>
                <w:kern w:val="0"/>
                <w:sz w:val="24"/>
                <w:szCs w:val="24"/>
                <w:u w:val="none"/>
                <w:lang w:val="en-US" w:eastAsia="zh-CN" w:bidi="ar"/>
              </w:rPr>
              <w:t>人，在政府购买服务的民办学校就读</w:t>
            </w:r>
            <w:r>
              <w:rPr>
                <w:rFonts w:hint="default" w:ascii="Times New Roman" w:hAnsi="Times New Roman" w:eastAsia="宋体" w:cs="Times New Roman"/>
                <w:i w:val="0"/>
                <w:color w:val="000000"/>
                <w:kern w:val="0"/>
                <w:sz w:val="24"/>
                <w:szCs w:val="24"/>
                <w:u w:val="single"/>
                <w:lang w:val="en-US" w:eastAsia="zh-CN" w:bidi="ar"/>
              </w:rPr>
              <w:t>0</w:t>
            </w:r>
            <w:r>
              <w:rPr>
                <w:rFonts w:hint="eastAsia" w:ascii="宋体" w:hAnsi="宋体" w:eastAsia="宋体" w:cs="宋体"/>
                <w:i w:val="0"/>
                <w:color w:val="000000"/>
                <w:kern w:val="0"/>
                <w:sz w:val="24"/>
                <w:szCs w:val="24"/>
                <w:u w:val="none"/>
                <w:lang w:val="en-US" w:eastAsia="zh-CN" w:bidi="ar"/>
              </w:rPr>
              <w:t>人，合计</w:t>
            </w:r>
            <w:r>
              <w:rPr>
                <w:rFonts w:hint="default" w:ascii="Times New Roman" w:hAnsi="Times New Roman" w:eastAsia="宋体" w:cs="Times New Roman"/>
                <w:i w:val="0"/>
                <w:color w:val="000000"/>
                <w:kern w:val="0"/>
                <w:sz w:val="24"/>
                <w:szCs w:val="24"/>
                <w:u w:val="single"/>
                <w:lang w:val="en-US" w:eastAsia="zh-CN" w:bidi="ar"/>
              </w:rPr>
              <w:t>2780</w:t>
            </w:r>
            <w:r>
              <w:rPr>
                <w:rFonts w:hint="eastAsia" w:ascii="宋体" w:hAnsi="宋体" w:eastAsia="宋体" w:cs="宋体"/>
                <w:i w:val="0"/>
                <w:color w:val="000000"/>
                <w:kern w:val="0"/>
                <w:sz w:val="24"/>
                <w:szCs w:val="24"/>
                <w:u w:val="none"/>
                <w:lang w:val="en-US" w:eastAsia="zh-CN" w:bidi="ar"/>
              </w:rPr>
              <w:t>人，占比</w:t>
            </w:r>
            <w:r>
              <w:rPr>
                <w:rFonts w:hint="default" w:ascii="Times New Roman" w:hAnsi="Times New Roman" w:eastAsia="宋体" w:cs="Times New Roman"/>
                <w:i w:val="0"/>
                <w:color w:val="000000"/>
                <w:kern w:val="0"/>
                <w:sz w:val="24"/>
                <w:szCs w:val="24"/>
                <w:u w:val="single"/>
                <w:lang w:val="en-US" w:eastAsia="zh-CN" w:bidi="ar"/>
              </w:rPr>
              <w:t>100</w:t>
            </w:r>
            <w:r>
              <w:rPr>
                <w:rFonts w:hint="default" w:ascii="Times New Roman" w:hAnsi="Times New Roman" w:eastAsia="宋体" w:cs="Times New Roman"/>
                <w:i w:val="0"/>
                <w:color w:val="000000"/>
                <w:kern w:val="0"/>
                <w:sz w:val="24"/>
                <w:szCs w:val="24"/>
                <w:u w:val="none"/>
                <w:lang w:val="en-US" w:eastAsia="zh-CN" w:bidi="ar"/>
              </w:rPr>
              <w:t>%</w:t>
            </w:r>
          </w:p>
        </w:tc>
        <w:tc>
          <w:tcPr>
            <w:tcW w:w="1095"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1062" w:type="dxa"/>
          <w:trHeight w:val="360" w:hRule="atLeast"/>
        </w:trPr>
        <w:tc>
          <w:tcPr>
            <w:tcW w:w="7870" w:type="dxa"/>
            <w:gridSpan w:val="9"/>
            <w:tcBorders>
              <w:top w:val="single" w:color="000000" w:sz="4" w:space="0"/>
              <w:left w:val="nil"/>
              <w:bottom w:val="nil"/>
              <w:right w:val="nil"/>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注：表中所有比例数值保留一位小数，其余保留整数。</w:t>
            </w:r>
          </w:p>
        </w:tc>
        <w:tc>
          <w:tcPr>
            <w:tcW w:w="7028" w:type="dxa"/>
            <w:gridSpan w:val="9"/>
            <w:tcBorders>
              <w:top w:val="nil"/>
              <w:left w:val="nil"/>
              <w:bottom w:val="nil"/>
              <w:right w:val="nil"/>
            </w:tcBorders>
            <w:shd w:val="clear" w:color="auto" w:fill="auto"/>
            <w:tcMar>
              <w:top w:w="10" w:type="dxa"/>
              <w:left w:w="10" w:type="dxa"/>
              <w:right w:w="10" w:type="dxa"/>
            </w:tcMar>
            <w:vAlign w:val="center"/>
          </w:tcPr>
          <w:p>
            <w:pP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15960" w:type="dxa"/>
            <w:gridSpan w:val="21"/>
            <w:tcBorders>
              <w:top w:val="nil"/>
              <w:left w:val="nil"/>
              <w:bottom w:val="nil"/>
              <w:right w:val="nil"/>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kern w:val="0"/>
                <w:sz w:val="36"/>
                <w:szCs w:val="36"/>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表Ⅴ 教育质量评估指标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3650"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10893" w:type="dxa"/>
            <w:gridSpan w:val="1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指标值或简要结论</w:t>
            </w:r>
          </w:p>
        </w:tc>
        <w:tc>
          <w:tcPr>
            <w:tcW w:w="141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是否达标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00" w:hRule="atLeast"/>
        </w:trPr>
        <w:tc>
          <w:tcPr>
            <w:tcW w:w="3650"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r>
              <w:rPr>
                <w:rStyle w:val="19"/>
                <w:lang w:val="en-US" w:eastAsia="zh-CN" w:bidi="ar"/>
              </w:rPr>
              <w:t>全县初中三年巩固率达到</w:t>
            </w:r>
            <w:r>
              <w:rPr>
                <w:rFonts w:hint="default" w:ascii="Times New Roman" w:hAnsi="Times New Roman" w:eastAsia="宋体" w:cs="Times New Roman"/>
                <w:i w:val="0"/>
                <w:color w:val="000000"/>
                <w:kern w:val="0"/>
                <w:sz w:val="24"/>
                <w:szCs w:val="24"/>
                <w:u w:val="none"/>
                <w:lang w:val="en-US" w:eastAsia="zh-CN" w:bidi="ar"/>
              </w:rPr>
              <w:t>95%</w:t>
            </w:r>
            <w:r>
              <w:rPr>
                <w:rStyle w:val="19"/>
                <w:lang w:val="en-US" w:eastAsia="zh-CN" w:bidi="ar"/>
              </w:rPr>
              <w:t>以上</w:t>
            </w:r>
          </w:p>
        </w:tc>
        <w:tc>
          <w:tcPr>
            <w:tcW w:w="10893" w:type="dxa"/>
            <w:gridSpan w:val="14"/>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全市初中毕业生数为</w:t>
            </w:r>
            <w:r>
              <w:rPr>
                <w:rFonts w:hint="default" w:ascii="Times New Roman" w:hAnsi="Times New Roman" w:eastAsia="宋体" w:cs="Times New Roman"/>
                <w:i w:val="0"/>
                <w:color w:val="000000"/>
                <w:kern w:val="0"/>
                <w:sz w:val="24"/>
                <w:szCs w:val="24"/>
                <w:u w:val="single"/>
                <w:lang w:val="en-US" w:eastAsia="zh-CN" w:bidi="ar"/>
              </w:rPr>
              <w:t xml:space="preserve"> </w:t>
            </w:r>
            <w:r>
              <w:rPr>
                <w:rFonts w:hint="eastAsia" w:ascii="Times New Roman" w:hAnsi="Times New Roman" w:eastAsia="宋体" w:cs="Times New Roman"/>
                <w:i w:val="0"/>
                <w:color w:val="000000"/>
                <w:kern w:val="0"/>
                <w:sz w:val="24"/>
                <w:szCs w:val="24"/>
                <w:u w:val="single"/>
                <w:lang w:val="en-US" w:eastAsia="zh-CN" w:bidi="ar"/>
              </w:rPr>
              <w:t>2401</w:t>
            </w:r>
            <w:r>
              <w:rPr>
                <w:rFonts w:hint="eastAsia" w:ascii="宋体" w:hAnsi="宋体" w:eastAsia="宋体" w:cs="宋体"/>
                <w:i w:val="0"/>
                <w:color w:val="000000"/>
                <w:kern w:val="0"/>
                <w:sz w:val="24"/>
                <w:szCs w:val="24"/>
                <w:u w:val="none"/>
                <w:lang w:val="en-US" w:eastAsia="zh-CN" w:bidi="ar"/>
              </w:rPr>
              <w:t>人，三年前初中在校生人数为</w:t>
            </w:r>
            <w:r>
              <w:rPr>
                <w:rFonts w:hint="default" w:ascii="Times New Roman" w:hAnsi="Times New Roman" w:eastAsia="宋体" w:cs="Times New Roman"/>
                <w:i w:val="0"/>
                <w:color w:val="000000"/>
                <w:kern w:val="0"/>
                <w:sz w:val="24"/>
                <w:szCs w:val="24"/>
                <w:u w:val="single"/>
                <w:lang w:val="en-US" w:eastAsia="zh-CN" w:bidi="ar"/>
              </w:rPr>
              <w:t xml:space="preserve"> 2411</w:t>
            </w:r>
            <w:r>
              <w:rPr>
                <w:rFonts w:hint="eastAsia" w:ascii="宋体" w:hAnsi="宋体" w:eastAsia="宋体" w:cs="宋体"/>
                <w:i w:val="0"/>
                <w:color w:val="000000"/>
                <w:kern w:val="0"/>
                <w:sz w:val="24"/>
                <w:szCs w:val="24"/>
                <w:u w:val="none"/>
                <w:lang w:val="en-US" w:eastAsia="zh-CN" w:bidi="ar"/>
              </w:rPr>
              <w:t>人，转入学生数为</w:t>
            </w:r>
            <w:r>
              <w:rPr>
                <w:rFonts w:hint="default" w:ascii="Times New Roman" w:hAnsi="Times New Roman" w:eastAsia="宋体" w:cs="Times New Roman"/>
                <w:i w:val="0"/>
                <w:color w:val="000000"/>
                <w:kern w:val="0"/>
                <w:sz w:val="24"/>
                <w:szCs w:val="24"/>
                <w:u w:val="single"/>
                <w:lang w:val="en-US" w:eastAsia="zh-CN" w:bidi="ar"/>
              </w:rPr>
              <w:t xml:space="preserve"> 69</w:t>
            </w:r>
            <w:r>
              <w:rPr>
                <w:rFonts w:hint="eastAsia" w:ascii="宋体" w:hAnsi="宋体" w:eastAsia="宋体" w:cs="宋体"/>
                <w:i w:val="0"/>
                <w:color w:val="000000"/>
                <w:kern w:val="0"/>
                <w:sz w:val="24"/>
                <w:szCs w:val="24"/>
                <w:u w:val="none"/>
                <w:lang w:val="en-US" w:eastAsia="zh-CN" w:bidi="ar"/>
              </w:rPr>
              <w:t>人，死亡学生数为</w:t>
            </w:r>
            <w:r>
              <w:rPr>
                <w:rFonts w:hint="default" w:ascii="Times New Roman" w:hAnsi="Times New Roman" w:eastAsia="宋体" w:cs="Times New Roman"/>
                <w:i w:val="0"/>
                <w:color w:val="000000"/>
                <w:kern w:val="0"/>
                <w:sz w:val="24"/>
                <w:szCs w:val="24"/>
                <w:u w:val="single"/>
                <w:lang w:val="en-US" w:eastAsia="zh-CN" w:bidi="ar"/>
              </w:rPr>
              <w:t xml:space="preserve">  2 </w:t>
            </w:r>
            <w:r>
              <w:rPr>
                <w:rFonts w:hint="eastAsia" w:ascii="宋体" w:hAnsi="宋体" w:eastAsia="宋体" w:cs="宋体"/>
                <w:i w:val="0"/>
                <w:color w:val="000000"/>
                <w:kern w:val="0"/>
                <w:sz w:val="24"/>
                <w:szCs w:val="24"/>
                <w:u w:val="none"/>
                <w:lang w:val="en-US" w:eastAsia="zh-CN" w:bidi="ar"/>
              </w:rPr>
              <w:t>人，转出学生数为</w:t>
            </w:r>
            <w:r>
              <w:rPr>
                <w:rFonts w:hint="default" w:ascii="Times New Roman" w:hAnsi="Times New Roman" w:eastAsia="宋体" w:cs="Times New Roman"/>
                <w:i w:val="0"/>
                <w:color w:val="000000"/>
                <w:kern w:val="0"/>
                <w:sz w:val="24"/>
                <w:szCs w:val="24"/>
                <w:u w:val="single"/>
                <w:lang w:val="en-US" w:eastAsia="zh-CN" w:bidi="ar"/>
              </w:rPr>
              <w:t xml:space="preserve"> 66 </w:t>
            </w:r>
            <w:r>
              <w:rPr>
                <w:rFonts w:hint="eastAsia" w:ascii="宋体" w:hAnsi="宋体" w:eastAsia="宋体" w:cs="宋体"/>
                <w:i w:val="0"/>
                <w:color w:val="000000"/>
                <w:kern w:val="0"/>
                <w:sz w:val="24"/>
                <w:szCs w:val="24"/>
                <w:u w:val="none"/>
                <w:lang w:val="en-US" w:eastAsia="zh-CN" w:bidi="ar"/>
              </w:rPr>
              <w:t>人，休学</w:t>
            </w:r>
            <w:r>
              <w:rPr>
                <w:rFonts w:hint="eastAsia" w:ascii="宋体" w:hAnsi="宋体" w:eastAsia="宋体" w:cs="宋体"/>
                <w:i w:val="0"/>
                <w:color w:val="000000"/>
                <w:kern w:val="0"/>
                <w:sz w:val="24"/>
                <w:szCs w:val="24"/>
                <w:u w:val="single"/>
                <w:lang w:val="en-US" w:eastAsia="zh-CN" w:bidi="ar"/>
              </w:rPr>
              <w:t>36</w:t>
            </w:r>
            <w:r>
              <w:rPr>
                <w:rFonts w:hint="eastAsia" w:ascii="宋体" w:hAnsi="宋体" w:eastAsia="宋体" w:cs="宋体"/>
                <w:i w:val="0"/>
                <w:color w:val="000000"/>
                <w:kern w:val="0"/>
                <w:sz w:val="24"/>
                <w:szCs w:val="24"/>
                <w:u w:val="none"/>
                <w:lang w:val="en-US" w:eastAsia="zh-CN" w:bidi="ar"/>
              </w:rPr>
              <w:t>人，复学</w:t>
            </w:r>
            <w:r>
              <w:rPr>
                <w:rFonts w:hint="eastAsia" w:ascii="宋体" w:hAnsi="宋体" w:eastAsia="宋体" w:cs="宋体"/>
                <w:i w:val="0"/>
                <w:color w:val="000000"/>
                <w:kern w:val="0"/>
                <w:sz w:val="24"/>
                <w:szCs w:val="24"/>
                <w:u w:val="single"/>
                <w:lang w:val="en-US" w:eastAsia="zh-CN" w:bidi="ar"/>
              </w:rPr>
              <w:t>25</w:t>
            </w:r>
            <w:r>
              <w:rPr>
                <w:rFonts w:hint="eastAsia" w:ascii="宋体" w:hAnsi="宋体" w:eastAsia="宋体" w:cs="宋体"/>
                <w:i w:val="0"/>
                <w:color w:val="000000"/>
                <w:kern w:val="0"/>
                <w:sz w:val="24"/>
                <w:szCs w:val="24"/>
                <w:u w:val="none"/>
                <w:lang w:val="en-US" w:eastAsia="zh-CN" w:bidi="ar"/>
              </w:rPr>
              <w:t>人，跳级</w:t>
            </w:r>
            <w:r>
              <w:rPr>
                <w:rFonts w:hint="eastAsia" w:ascii="宋体" w:hAnsi="宋体" w:eastAsia="宋体" w:cs="宋体"/>
                <w:i w:val="0"/>
                <w:color w:val="000000"/>
                <w:kern w:val="0"/>
                <w:sz w:val="24"/>
                <w:szCs w:val="24"/>
                <w:u w:val="single"/>
                <w:lang w:val="en-US" w:eastAsia="zh-CN" w:bidi="ar"/>
              </w:rPr>
              <w:t>1</w:t>
            </w:r>
            <w:r>
              <w:rPr>
                <w:rFonts w:hint="eastAsia" w:ascii="宋体" w:hAnsi="宋体" w:eastAsia="宋体" w:cs="宋体"/>
                <w:i w:val="0"/>
                <w:color w:val="000000"/>
                <w:kern w:val="0"/>
                <w:sz w:val="24"/>
                <w:szCs w:val="24"/>
                <w:u w:val="none"/>
                <w:lang w:val="en-US" w:eastAsia="zh-CN" w:bidi="ar"/>
              </w:rPr>
              <w:t>人，全市初中三年学籍巩固率为</w:t>
            </w:r>
            <w:r>
              <w:rPr>
                <w:rFonts w:hint="default" w:ascii="Times New Roman" w:hAnsi="Times New Roman" w:eastAsia="宋体" w:cs="Times New Roman"/>
                <w:i w:val="0"/>
                <w:color w:val="000000"/>
                <w:kern w:val="0"/>
                <w:sz w:val="24"/>
                <w:szCs w:val="24"/>
                <w:u w:val="single"/>
                <w:lang w:val="en-US" w:eastAsia="zh-CN" w:bidi="ar"/>
              </w:rPr>
              <w:t xml:space="preserve"> 99.96 </w:t>
            </w:r>
            <w:r>
              <w:rPr>
                <w:rFonts w:hint="default" w:ascii="Times New Roman" w:hAnsi="Times New Roman" w:eastAsia="宋体" w:cs="Times New Roman"/>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w:t>
            </w:r>
          </w:p>
        </w:tc>
        <w:tc>
          <w:tcPr>
            <w:tcW w:w="1417" w:type="dxa"/>
            <w:gridSpan w:val="4"/>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50" w:hRule="atLeast"/>
        </w:trPr>
        <w:tc>
          <w:tcPr>
            <w:tcW w:w="3650"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 </w:t>
            </w:r>
            <w:r>
              <w:rPr>
                <w:rStyle w:val="19"/>
                <w:lang w:val="en-US" w:eastAsia="zh-CN" w:bidi="ar"/>
              </w:rPr>
              <w:t>全县残疾儿童少年入学率达到</w:t>
            </w:r>
            <w:r>
              <w:rPr>
                <w:rFonts w:hint="default" w:ascii="Times New Roman" w:hAnsi="Times New Roman" w:eastAsia="宋体" w:cs="Times New Roman"/>
                <w:i w:val="0"/>
                <w:color w:val="000000"/>
                <w:kern w:val="0"/>
                <w:sz w:val="24"/>
                <w:szCs w:val="24"/>
                <w:u w:val="none"/>
                <w:lang w:val="en-US" w:eastAsia="zh-CN" w:bidi="ar"/>
              </w:rPr>
              <w:t>95%</w:t>
            </w:r>
            <w:r>
              <w:rPr>
                <w:rStyle w:val="19"/>
                <w:lang w:val="en-US" w:eastAsia="zh-CN" w:bidi="ar"/>
              </w:rPr>
              <w:t>以上</w:t>
            </w:r>
          </w:p>
        </w:tc>
        <w:tc>
          <w:tcPr>
            <w:tcW w:w="10893" w:type="dxa"/>
            <w:gridSpan w:val="14"/>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全市6</w:t>
            </w:r>
            <w:r>
              <w:rPr>
                <w:rFonts w:hint="default" w:ascii="Times New Roman" w:hAnsi="Times New Roman" w:eastAsia="宋体" w:cs="Times New Roman"/>
                <w:i w:val="0"/>
                <w:color w:val="000000"/>
                <w:kern w:val="0"/>
                <w:sz w:val="24"/>
                <w:szCs w:val="24"/>
                <w:u w:val="none"/>
                <w:lang w:val="en-US" w:eastAsia="zh-CN" w:bidi="ar"/>
              </w:rPr>
              <w:t>-16</w:t>
            </w:r>
            <w:r>
              <w:rPr>
                <w:rFonts w:hint="eastAsia" w:ascii="宋体" w:hAnsi="宋体" w:eastAsia="宋体" w:cs="宋体"/>
                <w:i w:val="0"/>
                <w:color w:val="000000"/>
                <w:kern w:val="0"/>
                <w:sz w:val="24"/>
                <w:szCs w:val="24"/>
                <w:u w:val="none"/>
                <w:lang w:val="en-US" w:eastAsia="zh-CN" w:bidi="ar"/>
              </w:rPr>
              <w:t>周岁适龄残疾儿童少年为</w:t>
            </w:r>
            <w:r>
              <w:rPr>
                <w:rFonts w:hint="default" w:ascii="Times New Roman" w:hAnsi="Times New Roman" w:eastAsia="宋体" w:cs="Times New Roman"/>
                <w:i w:val="0"/>
                <w:color w:val="000000"/>
                <w:kern w:val="0"/>
                <w:sz w:val="24"/>
                <w:szCs w:val="24"/>
                <w:u w:val="single"/>
                <w:lang w:val="en-US" w:eastAsia="zh-CN" w:bidi="ar"/>
              </w:rPr>
              <w:t xml:space="preserve"> 179</w:t>
            </w:r>
            <w:r>
              <w:rPr>
                <w:rFonts w:hint="eastAsia" w:ascii="宋体" w:hAnsi="宋体" w:eastAsia="宋体" w:cs="宋体"/>
                <w:i w:val="0"/>
                <w:color w:val="000000"/>
                <w:kern w:val="0"/>
                <w:sz w:val="24"/>
                <w:szCs w:val="24"/>
                <w:u w:val="none"/>
                <w:lang w:val="en-US" w:eastAsia="zh-CN" w:bidi="ar"/>
              </w:rPr>
              <w:t>人，其中随班就读112人、送教上门服务13人、特殊教育学校就读27人、失去学习能力21人、延缓入学6人（康复治疗），入学率为</w:t>
            </w:r>
            <w:r>
              <w:rPr>
                <w:rFonts w:hint="default" w:ascii="Times New Roman" w:hAnsi="Times New Roman" w:eastAsia="宋体" w:cs="Times New Roman"/>
                <w:i w:val="0"/>
                <w:color w:val="000000"/>
                <w:kern w:val="0"/>
                <w:sz w:val="24"/>
                <w:szCs w:val="24"/>
                <w:u w:val="single"/>
                <w:lang w:val="en-US" w:eastAsia="zh-CN" w:bidi="ar"/>
              </w:rPr>
              <w:t xml:space="preserve"> 100 </w:t>
            </w:r>
            <w:r>
              <w:rPr>
                <w:rFonts w:hint="default" w:ascii="Times New Roman" w:hAnsi="Times New Roman" w:eastAsia="宋体" w:cs="Times New Roman"/>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w:t>
            </w:r>
          </w:p>
        </w:tc>
        <w:tc>
          <w:tcPr>
            <w:tcW w:w="1417" w:type="dxa"/>
            <w:gridSpan w:val="4"/>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80" w:hRule="atLeast"/>
        </w:trPr>
        <w:tc>
          <w:tcPr>
            <w:tcW w:w="3650"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 </w:t>
            </w:r>
            <w:r>
              <w:rPr>
                <w:rStyle w:val="19"/>
                <w:lang w:val="en-US" w:eastAsia="zh-CN" w:bidi="ar"/>
              </w:rPr>
              <w:t>所有学校建立章程，实现学校管理与教学信息化</w:t>
            </w:r>
          </w:p>
        </w:tc>
        <w:tc>
          <w:tcPr>
            <w:tcW w:w="10893" w:type="dxa"/>
            <w:gridSpan w:val="14"/>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为落实教育治理现代化要求，我市着力完善以学校章程为核心的内部治理体系。严格遵循章程修订程序，组织并指导各义务教育学校完成章程的修订、审查与备案工作。各校切实依据章程实施自主管理，健全民主监督与社会参与机制，有效规范办学行为，提升依法治校、科学管理水平。同步加强教育信息化制度建设，明确由学校制定发展规划，依托全国教师管理信息系统、自治区学籍管理平台及财政综合网等平台，深入推进信息技术与教育教学、行政管理的融合应用，为教育高质量发展提供数字化支撑。</w:t>
            </w:r>
          </w:p>
        </w:tc>
        <w:tc>
          <w:tcPr>
            <w:tcW w:w="1417" w:type="dxa"/>
            <w:gridSpan w:val="4"/>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86" w:hRule="atLeast"/>
        </w:trPr>
        <w:tc>
          <w:tcPr>
            <w:tcW w:w="3650"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 </w:t>
            </w:r>
            <w:r>
              <w:rPr>
                <w:rStyle w:val="19"/>
                <w:lang w:val="en-US" w:eastAsia="zh-CN" w:bidi="ar"/>
              </w:rPr>
              <w:t>全县所有学校按照不低于学校年度公用经费预算总额的</w:t>
            </w:r>
            <w:r>
              <w:rPr>
                <w:rFonts w:hint="default" w:ascii="Times New Roman" w:hAnsi="Times New Roman" w:eastAsia="宋体" w:cs="Times New Roman"/>
                <w:i w:val="0"/>
                <w:color w:val="000000"/>
                <w:kern w:val="0"/>
                <w:sz w:val="24"/>
                <w:szCs w:val="24"/>
                <w:u w:val="none"/>
                <w:lang w:val="en-US" w:eastAsia="zh-CN" w:bidi="ar"/>
              </w:rPr>
              <w:t>5%</w:t>
            </w:r>
            <w:r>
              <w:rPr>
                <w:rStyle w:val="19"/>
                <w:lang w:val="en-US" w:eastAsia="zh-CN" w:bidi="ar"/>
              </w:rPr>
              <w:t>安排教师培训经费</w:t>
            </w:r>
          </w:p>
        </w:tc>
        <w:tc>
          <w:tcPr>
            <w:tcW w:w="10893" w:type="dxa"/>
            <w:gridSpan w:val="1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auto"/>
                <w:kern w:val="0"/>
                <w:sz w:val="24"/>
                <w:szCs w:val="24"/>
                <w:u w:val="none"/>
                <w:lang w:val="en-US" w:eastAsia="zh-CN" w:bidi="ar"/>
              </w:rPr>
              <w:t>全市所有学校按照不低于学校年度公用经费预算总额的</w:t>
            </w:r>
            <w:r>
              <w:rPr>
                <w:rFonts w:hint="default" w:ascii="Times New Roman" w:hAnsi="Times New Roman" w:eastAsia="宋体" w:cs="Times New Roman"/>
                <w:i w:val="0"/>
                <w:color w:val="auto"/>
                <w:kern w:val="0"/>
                <w:sz w:val="24"/>
                <w:szCs w:val="24"/>
                <w:u w:val="none"/>
                <w:lang w:val="en-US" w:eastAsia="zh-CN" w:bidi="ar"/>
              </w:rPr>
              <w:t>5%</w:t>
            </w:r>
            <w:r>
              <w:rPr>
                <w:rFonts w:hint="eastAsia" w:ascii="宋体" w:hAnsi="宋体" w:eastAsia="宋体" w:cs="宋体"/>
                <w:i w:val="0"/>
                <w:color w:val="auto"/>
                <w:kern w:val="0"/>
                <w:sz w:val="24"/>
                <w:szCs w:val="24"/>
                <w:u w:val="none"/>
                <w:lang w:val="en-US" w:eastAsia="zh-CN" w:bidi="ar"/>
              </w:rPr>
              <w:t>安排教师培训经费，</w:t>
            </w:r>
            <w:r>
              <w:rPr>
                <w:rFonts w:hint="eastAsia" w:ascii="Times New Roman" w:hAnsi="Times New Roman" w:eastAsia="宋体" w:cs="Times New Roman"/>
                <w:i w:val="0"/>
                <w:color w:val="auto"/>
                <w:kern w:val="0"/>
                <w:sz w:val="24"/>
                <w:szCs w:val="24"/>
                <w:highlight w:val="none"/>
                <w:u w:val="none"/>
                <w:lang w:val="en-US" w:eastAsia="zh-CN" w:bidi="ar"/>
              </w:rPr>
              <w:t>2025</w:t>
            </w:r>
            <w:r>
              <w:rPr>
                <w:rFonts w:hint="eastAsia" w:ascii="宋体" w:hAnsi="宋体" w:eastAsia="宋体" w:cs="宋体"/>
                <w:i w:val="0"/>
                <w:color w:val="auto"/>
                <w:kern w:val="0"/>
                <w:sz w:val="24"/>
                <w:szCs w:val="24"/>
                <w:u w:val="none"/>
                <w:lang w:val="en-US" w:eastAsia="zh-CN" w:bidi="ar"/>
              </w:rPr>
              <w:t>年支出</w:t>
            </w:r>
            <w:r>
              <w:rPr>
                <w:rFonts w:hint="default" w:ascii="Times New Roman" w:hAnsi="Times New Roman" w:eastAsia="宋体" w:cs="Times New Roman"/>
                <w:i w:val="0"/>
                <w:color w:val="auto"/>
                <w:kern w:val="0"/>
                <w:sz w:val="24"/>
                <w:szCs w:val="24"/>
                <w:u w:val="single"/>
                <w:lang w:val="en-US" w:eastAsia="zh-CN" w:bidi="ar"/>
              </w:rPr>
              <w:t xml:space="preserve"> 124.</w:t>
            </w:r>
            <w:r>
              <w:rPr>
                <w:rFonts w:hint="eastAsia" w:ascii="Times New Roman" w:hAnsi="Times New Roman" w:eastAsia="宋体" w:cs="Times New Roman"/>
                <w:i w:val="0"/>
                <w:color w:val="auto"/>
                <w:kern w:val="0"/>
                <w:sz w:val="24"/>
                <w:szCs w:val="24"/>
                <w:u w:val="single"/>
                <w:lang w:val="en-US" w:eastAsia="zh-CN" w:bidi="ar"/>
              </w:rPr>
              <w:t>98</w:t>
            </w:r>
            <w:r>
              <w:rPr>
                <w:rFonts w:hint="default" w:ascii="Times New Roman" w:hAnsi="Times New Roman" w:eastAsia="宋体" w:cs="Times New Roman"/>
                <w:i w:val="0"/>
                <w:color w:val="auto"/>
                <w:kern w:val="0"/>
                <w:sz w:val="24"/>
                <w:szCs w:val="24"/>
                <w:u w:val="single"/>
                <w:lang w:val="en-US" w:eastAsia="zh-CN" w:bidi="ar"/>
              </w:rPr>
              <w:t xml:space="preserve"> </w:t>
            </w:r>
            <w:r>
              <w:rPr>
                <w:rFonts w:hint="eastAsia" w:ascii="宋体" w:hAnsi="宋体" w:eastAsia="宋体" w:cs="宋体"/>
                <w:i w:val="0"/>
                <w:color w:val="auto"/>
                <w:kern w:val="0"/>
                <w:sz w:val="24"/>
                <w:szCs w:val="24"/>
                <w:u w:val="none"/>
                <w:lang w:val="en-US" w:eastAsia="zh-CN" w:bidi="ar"/>
              </w:rPr>
              <w:t>万元，占公用经费的</w:t>
            </w:r>
            <w:r>
              <w:rPr>
                <w:rFonts w:hint="default" w:ascii="Times New Roman" w:hAnsi="Times New Roman" w:eastAsia="宋体" w:cs="Times New Roman"/>
                <w:i w:val="0"/>
                <w:color w:val="auto"/>
                <w:kern w:val="0"/>
                <w:sz w:val="24"/>
                <w:szCs w:val="24"/>
                <w:u w:val="single"/>
                <w:lang w:val="en-US" w:eastAsia="zh-CN" w:bidi="ar"/>
              </w:rPr>
              <w:t xml:space="preserve"> </w:t>
            </w:r>
            <w:r>
              <w:rPr>
                <w:rFonts w:hint="eastAsia" w:ascii="Times New Roman" w:hAnsi="Times New Roman" w:eastAsia="宋体" w:cs="Times New Roman"/>
                <w:i w:val="0"/>
                <w:color w:val="auto"/>
                <w:kern w:val="0"/>
                <w:sz w:val="24"/>
                <w:szCs w:val="24"/>
                <w:u w:val="single"/>
                <w:lang w:val="en-US" w:eastAsia="zh-CN" w:bidi="ar"/>
              </w:rPr>
              <w:t>7.22</w:t>
            </w:r>
            <w:r>
              <w:rPr>
                <w:rFonts w:hint="default" w:ascii="Times New Roman" w:hAnsi="Times New Roman" w:eastAsia="宋体" w:cs="Times New Roman"/>
                <w:i w:val="0"/>
                <w:color w:val="auto"/>
                <w:kern w:val="0"/>
                <w:sz w:val="24"/>
                <w:szCs w:val="24"/>
                <w:u w:val="single"/>
                <w:lang w:val="en-US" w:eastAsia="zh-CN" w:bidi="ar"/>
              </w:rPr>
              <w:t xml:space="preserve"> </w:t>
            </w:r>
            <w:r>
              <w:rPr>
                <w:rFonts w:hint="default" w:ascii="Times New Roman" w:hAnsi="Times New Roman" w:eastAsia="宋体" w:cs="Times New Roman"/>
                <w:i w:val="0"/>
                <w:color w:val="auto"/>
                <w:kern w:val="0"/>
                <w:sz w:val="24"/>
                <w:szCs w:val="24"/>
                <w:u w:val="none"/>
                <w:lang w:val="en-US" w:eastAsia="zh-CN" w:bidi="ar"/>
              </w:rPr>
              <w:t>%</w:t>
            </w:r>
            <w:r>
              <w:rPr>
                <w:rFonts w:hint="eastAsia" w:ascii="宋体" w:hAnsi="宋体" w:eastAsia="宋体" w:cs="宋体"/>
                <w:i w:val="0"/>
                <w:color w:val="0070C0"/>
                <w:kern w:val="0"/>
                <w:sz w:val="24"/>
                <w:szCs w:val="24"/>
                <w:u w:val="none"/>
                <w:lang w:val="en-US" w:eastAsia="zh-CN" w:bidi="ar"/>
              </w:rPr>
              <w:t>。</w:t>
            </w:r>
          </w:p>
        </w:tc>
        <w:tc>
          <w:tcPr>
            <w:tcW w:w="1417" w:type="dxa"/>
            <w:gridSpan w:val="4"/>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30" w:hRule="atLeast"/>
        </w:trPr>
        <w:tc>
          <w:tcPr>
            <w:tcW w:w="3650"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 </w:t>
            </w:r>
            <w:r>
              <w:rPr>
                <w:rStyle w:val="19"/>
                <w:lang w:val="en-US" w:eastAsia="zh-CN" w:bidi="ar"/>
              </w:rPr>
              <w:t>教师能熟练运用信息化手段组织教学，设施设备利用率达到较高水平</w:t>
            </w:r>
          </w:p>
        </w:tc>
        <w:tc>
          <w:tcPr>
            <w:tcW w:w="10893" w:type="dxa"/>
            <w:gridSpan w:val="14"/>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已印发《乌苏市信息技术助推教育教学发展建设工作实施方案》，扎实推进教师信息技术应用能力提升工程，实现中小学教师全员培训，有效提升信息化教学水平。持续改善硬件环境，集中配备智慧黑板、办公电脑，升级计算机教室，新建录播教室和创客空间。全面推广国家智慧教育平台和新疆基础教育资源平台应用。目前，全市1606名专任教师均能熟练运用智能教学设备开展教学，并能自主开发数字化教学资源辅助教育教学。</w:t>
            </w:r>
          </w:p>
        </w:tc>
        <w:tc>
          <w:tcPr>
            <w:tcW w:w="1417" w:type="dxa"/>
            <w:gridSpan w:val="4"/>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70" w:hRule="atLeast"/>
        </w:trPr>
        <w:tc>
          <w:tcPr>
            <w:tcW w:w="3650"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 </w:t>
            </w:r>
            <w:r>
              <w:rPr>
                <w:rStyle w:val="19"/>
                <w:lang w:val="en-US" w:eastAsia="zh-CN" w:bidi="ar"/>
              </w:rPr>
              <w:t>所有学校德育工作、校园文化建设达到良好以上</w:t>
            </w:r>
          </w:p>
        </w:tc>
        <w:tc>
          <w:tcPr>
            <w:tcW w:w="10893" w:type="dxa"/>
            <w:gridSpan w:val="14"/>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我市紧紧围绕立德树人根本任务，以铸牢中华民族共同体意识为主线，制定并实施《乌苏市教科系统贯彻落实〈中小学德育工作指南〉实施方案》，推动德育工作专业化、规范化、实效化。目前，全市义务教育阶段24所中小学已全面完成市级德育达标（示范）校创建，其中5所学校获评自治区级德育达标（示范）校。各校立足办学实际，系统开展“一校一品”校园文化品牌建设，形成一批特色鲜明、育人导向突出的文化主题，切实增强校园文化的感染力与引领力，为促进学生德智体美劳全面提供有力支撑。</w:t>
            </w:r>
          </w:p>
        </w:tc>
        <w:tc>
          <w:tcPr>
            <w:tcW w:w="1417" w:type="dxa"/>
            <w:gridSpan w:val="4"/>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00" w:hRule="atLeast"/>
        </w:trPr>
        <w:tc>
          <w:tcPr>
            <w:tcW w:w="3650"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 </w:t>
            </w:r>
            <w:r>
              <w:rPr>
                <w:rStyle w:val="19"/>
                <w:lang w:val="en-US" w:eastAsia="zh-CN" w:bidi="ar"/>
              </w:rPr>
              <w:t>课程开齐开足，教学秩序规范，综合实践活动有效开展</w:t>
            </w:r>
          </w:p>
        </w:tc>
        <w:tc>
          <w:tcPr>
            <w:tcW w:w="10893" w:type="dxa"/>
            <w:gridSpan w:val="14"/>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按照《教育部义务教育课程方案（2022版</w:t>
            </w:r>
            <w:r>
              <w:rPr>
                <w:rFonts w:hint="default" w:ascii="Times New Roman" w:hAnsi="Times New Roman" w:eastAsia="宋体" w:cs="Times New Roman"/>
                <w:i w:val="0"/>
                <w:color w:val="000000"/>
                <w:kern w:val="0"/>
                <w:sz w:val="24"/>
                <w:szCs w:val="24"/>
                <w:u w:val="none"/>
                <w:lang w:val="en-US" w:eastAsia="zh-CN" w:bidi="ar"/>
              </w:rPr>
              <w:t>202</w:t>
            </w:r>
            <w:r>
              <w:rPr>
                <w:rFonts w:hint="eastAsia" w:ascii="Times New Roman" w:hAnsi="Times New Roman" w:eastAsia="宋体" w:cs="Times New Roman"/>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年修订）》和《自治区义务教育课程实施办法》要求开齐开足国家课程、地方课程和校本课程；按照《新疆维吾尔自治区中小学教学常规管理基本要求》，市教科局定期对学校教学常规工作进行指导和规范，确保各中小学教学秩序规范，综合实践活动有效开展。</w:t>
            </w:r>
          </w:p>
        </w:tc>
        <w:tc>
          <w:tcPr>
            <w:tcW w:w="1417" w:type="dxa"/>
            <w:gridSpan w:val="4"/>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00" w:hRule="atLeast"/>
        </w:trPr>
        <w:tc>
          <w:tcPr>
            <w:tcW w:w="3650"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 </w:t>
            </w:r>
            <w:r>
              <w:rPr>
                <w:rStyle w:val="19"/>
                <w:lang w:val="en-US" w:eastAsia="zh-CN" w:bidi="ar"/>
              </w:rPr>
              <w:t>无过重课业负担</w:t>
            </w:r>
          </w:p>
        </w:tc>
        <w:tc>
          <w:tcPr>
            <w:tcW w:w="10893" w:type="dxa"/>
            <w:gridSpan w:val="14"/>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制定《乌苏市关于进一步做好中小学</w:t>
            </w:r>
            <w:r>
              <w:rPr>
                <w:rFonts w:hint="default" w:ascii="Times New Roman" w:hAnsi="Times New Roman" w:eastAsia="宋体" w:cs="Times New Roman"/>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五项管理</w:t>
            </w:r>
            <w:r>
              <w:rPr>
                <w:rFonts w:hint="default" w:ascii="Times New Roman" w:hAnsi="Times New Roman" w:eastAsia="宋体" w:cs="Times New Roman"/>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工作的实施方案》《乌苏市中小学开展课后托管服务工作实施方案》，全面落实</w:t>
            </w:r>
            <w:r>
              <w:rPr>
                <w:rFonts w:hint="default" w:ascii="Times New Roman" w:hAnsi="Times New Roman" w:eastAsia="宋体" w:cs="Times New Roman"/>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双减</w:t>
            </w:r>
            <w:r>
              <w:rPr>
                <w:rFonts w:hint="default" w:ascii="Times New Roman" w:hAnsi="Times New Roman" w:eastAsia="宋体" w:cs="Times New Roman"/>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政策，积极开展课后服务，有效减轻学生校内作业负担；制定《乌苏市关于进一步减轻义务教育阶段学生作业负担的实施细则》《乌苏市中小学作业总量监督检查制度》《乌苏市中小学作业批改的统一要求》，督促学校制定减轻作业负担管理办法、作业公示制度及作业审核制度并在教育局备案，确保学生减负落到实处。</w:t>
            </w:r>
          </w:p>
        </w:tc>
        <w:tc>
          <w:tcPr>
            <w:tcW w:w="1417" w:type="dxa"/>
            <w:gridSpan w:val="4"/>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365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 </w:t>
            </w:r>
            <w:r>
              <w:rPr>
                <w:rStyle w:val="19"/>
                <w:lang w:val="en-US" w:eastAsia="zh-CN" w:bidi="ar"/>
              </w:rPr>
              <w:t>在国家义务教育质量监测中，相关科目学生学业水平达到</w:t>
            </w:r>
            <w:r>
              <w:rPr>
                <w:rFonts w:hint="default" w:ascii="Times New Roman" w:hAnsi="Times New Roman" w:eastAsia="宋体" w:cs="Times New Roman"/>
                <w:i w:val="0"/>
                <w:color w:val="000000"/>
                <w:kern w:val="0"/>
                <w:sz w:val="24"/>
                <w:szCs w:val="24"/>
                <w:u w:val="none"/>
                <w:lang w:val="en-US" w:eastAsia="zh-CN" w:bidi="ar"/>
              </w:rPr>
              <w:t>Ⅲ</w:t>
            </w:r>
            <w:r>
              <w:rPr>
                <w:rStyle w:val="19"/>
                <w:lang w:val="en-US" w:eastAsia="zh-CN" w:bidi="ar"/>
              </w:rPr>
              <w:t>级以上，且校际差异率低于</w:t>
            </w:r>
            <w:r>
              <w:rPr>
                <w:rFonts w:hint="default" w:ascii="Times New Roman" w:hAnsi="Times New Roman" w:eastAsia="宋体" w:cs="Times New Roman"/>
                <w:i w:val="0"/>
                <w:color w:val="000000"/>
                <w:kern w:val="0"/>
                <w:sz w:val="24"/>
                <w:szCs w:val="24"/>
                <w:u w:val="none"/>
                <w:lang w:val="en-US" w:eastAsia="zh-CN" w:bidi="ar"/>
              </w:rPr>
              <w:t>0.15</w:t>
            </w:r>
          </w:p>
        </w:tc>
        <w:tc>
          <w:tcPr>
            <w:tcW w:w="10893" w:type="dxa"/>
            <w:gridSpan w:val="1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19"/>
                <w:lang w:val="en-US" w:eastAsia="zh-CN" w:bidi="ar"/>
              </w:rPr>
              <w:t>语文＿＿级、校际差异率＿＿；数学＿＿级、校际差异率＿＿；</w:t>
            </w:r>
          </w:p>
        </w:tc>
        <w:tc>
          <w:tcPr>
            <w:tcW w:w="141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待国家监测数据公布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80" w:hRule="atLeast"/>
        </w:trPr>
        <w:tc>
          <w:tcPr>
            <w:tcW w:w="36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default" w:ascii="Times New Roman" w:hAnsi="Times New Roman" w:eastAsia="宋体" w:cs="Times New Roman"/>
                <w:i w:val="0"/>
                <w:color w:val="000000"/>
                <w:sz w:val="24"/>
                <w:szCs w:val="24"/>
                <w:u w:val="none"/>
              </w:rPr>
            </w:pPr>
          </w:p>
        </w:tc>
        <w:tc>
          <w:tcPr>
            <w:tcW w:w="10893" w:type="dxa"/>
            <w:gridSpan w:val="1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19"/>
                <w:lang w:val="en-US" w:eastAsia="zh-CN" w:bidi="ar"/>
              </w:rPr>
              <w:t>科学＿＿级、校际差异率＿＿；体育＿＿级、校际差异率＿＿；</w:t>
            </w:r>
          </w:p>
        </w:tc>
        <w:tc>
          <w:tcPr>
            <w:tcW w:w="141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36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default" w:ascii="Times New Roman" w:hAnsi="Times New Roman" w:eastAsia="宋体" w:cs="Times New Roman"/>
                <w:i w:val="0"/>
                <w:color w:val="000000"/>
                <w:sz w:val="24"/>
                <w:szCs w:val="24"/>
                <w:u w:val="none"/>
              </w:rPr>
            </w:pPr>
          </w:p>
        </w:tc>
        <w:tc>
          <w:tcPr>
            <w:tcW w:w="10893" w:type="dxa"/>
            <w:gridSpan w:val="1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19"/>
                <w:lang w:val="en-US" w:eastAsia="zh-CN" w:bidi="ar"/>
              </w:rPr>
              <w:t>艺术＿＿级、校际差异率＿＿；德育＿＿级、校际差异率＿＿。</w:t>
            </w:r>
          </w:p>
        </w:tc>
        <w:tc>
          <w:tcPr>
            <w:tcW w:w="141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4"/>
                <w:szCs w:val="24"/>
                <w:u w:val="none"/>
              </w:rPr>
            </w:pPr>
          </w:p>
        </w:tc>
      </w:tr>
    </w:tbl>
    <w:p/>
    <w:sectPr>
      <w:pgSz w:w="16838" w:h="11906" w:orient="landscape"/>
      <w:pgMar w:top="1293" w:right="1440" w:bottom="1230" w:left="6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677D78"/>
    <w:rsid w:val="04401387"/>
    <w:rsid w:val="06594F1A"/>
    <w:rsid w:val="084C2554"/>
    <w:rsid w:val="08EE2C1C"/>
    <w:rsid w:val="0A60541B"/>
    <w:rsid w:val="0B4647A8"/>
    <w:rsid w:val="0C012383"/>
    <w:rsid w:val="0C1274FE"/>
    <w:rsid w:val="0C800916"/>
    <w:rsid w:val="0D656B41"/>
    <w:rsid w:val="0F4D267A"/>
    <w:rsid w:val="120874C0"/>
    <w:rsid w:val="134A6C68"/>
    <w:rsid w:val="13A83FC7"/>
    <w:rsid w:val="13BB36C2"/>
    <w:rsid w:val="147B4A13"/>
    <w:rsid w:val="15B31626"/>
    <w:rsid w:val="15F83B85"/>
    <w:rsid w:val="17255B64"/>
    <w:rsid w:val="17B70C1C"/>
    <w:rsid w:val="1C550ACA"/>
    <w:rsid w:val="1CAC44F0"/>
    <w:rsid w:val="20097292"/>
    <w:rsid w:val="20577CD5"/>
    <w:rsid w:val="21290495"/>
    <w:rsid w:val="21984CC5"/>
    <w:rsid w:val="23F30C56"/>
    <w:rsid w:val="25873D4C"/>
    <w:rsid w:val="25B82C94"/>
    <w:rsid w:val="271531DE"/>
    <w:rsid w:val="2A6963FF"/>
    <w:rsid w:val="2B073965"/>
    <w:rsid w:val="2BD650E5"/>
    <w:rsid w:val="2C7D7FEF"/>
    <w:rsid w:val="2CBF15B7"/>
    <w:rsid w:val="2CCA5A59"/>
    <w:rsid w:val="2CE43832"/>
    <w:rsid w:val="2E7122AC"/>
    <w:rsid w:val="2F2B20F2"/>
    <w:rsid w:val="306B4E7D"/>
    <w:rsid w:val="30977539"/>
    <w:rsid w:val="318B3DFD"/>
    <w:rsid w:val="323E6642"/>
    <w:rsid w:val="33C778BF"/>
    <w:rsid w:val="33DA3DDE"/>
    <w:rsid w:val="356B4AF0"/>
    <w:rsid w:val="359A7956"/>
    <w:rsid w:val="36220497"/>
    <w:rsid w:val="39BC740B"/>
    <w:rsid w:val="3A1409C3"/>
    <w:rsid w:val="3D6F464A"/>
    <w:rsid w:val="3F23643C"/>
    <w:rsid w:val="40491ED2"/>
    <w:rsid w:val="410026DF"/>
    <w:rsid w:val="43CE600F"/>
    <w:rsid w:val="45022C51"/>
    <w:rsid w:val="461976C3"/>
    <w:rsid w:val="464440C7"/>
    <w:rsid w:val="49936439"/>
    <w:rsid w:val="507C59AC"/>
    <w:rsid w:val="51677D78"/>
    <w:rsid w:val="552C5A1D"/>
    <w:rsid w:val="555F62CD"/>
    <w:rsid w:val="57451AED"/>
    <w:rsid w:val="577B7DD2"/>
    <w:rsid w:val="5A1E6E06"/>
    <w:rsid w:val="5B1729DD"/>
    <w:rsid w:val="5B220103"/>
    <w:rsid w:val="5C2F50E1"/>
    <w:rsid w:val="5E376AC3"/>
    <w:rsid w:val="5F2E61A5"/>
    <w:rsid w:val="60850015"/>
    <w:rsid w:val="60A12BC1"/>
    <w:rsid w:val="610505F2"/>
    <w:rsid w:val="61903ACD"/>
    <w:rsid w:val="6199439E"/>
    <w:rsid w:val="61BA151A"/>
    <w:rsid w:val="6299319D"/>
    <w:rsid w:val="639C6AE3"/>
    <w:rsid w:val="63E11A65"/>
    <w:rsid w:val="651675E3"/>
    <w:rsid w:val="65C1710D"/>
    <w:rsid w:val="66B63AAF"/>
    <w:rsid w:val="679D502F"/>
    <w:rsid w:val="684E3CAA"/>
    <w:rsid w:val="690938D6"/>
    <w:rsid w:val="6A415844"/>
    <w:rsid w:val="6B0D36D1"/>
    <w:rsid w:val="6CC90198"/>
    <w:rsid w:val="6FA96591"/>
    <w:rsid w:val="72D149DF"/>
    <w:rsid w:val="72DA4A88"/>
    <w:rsid w:val="732B1D27"/>
    <w:rsid w:val="73C31078"/>
    <w:rsid w:val="74143FCA"/>
    <w:rsid w:val="743E22A9"/>
    <w:rsid w:val="76424E1E"/>
    <w:rsid w:val="78245DBC"/>
    <w:rsid w:val="78DB17FD"/>
    <w:rsid w:val="790E57E1"/>
    <w:rsid w:val="7A121263"/>
    <w:rsid w:val="7A7D3BD3"/>
    <w:rsid w:val="7B56157C"/>
    <w:rsid w:val="7D4A321C"/>
    <w:rsid w:val="7D60371B"/>
    <w:rsid w:val="7E117CBB"/>
    <w:rsid w:val="7F281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customStyle="1" w:styleId="4">
    <w:name w:val="font21"/>
    <w:basedOn w:val="3"/>
    <w:uiPriority w:val="0"/>
    <w:rPr>
      <w:rFonts w:hint="eastAsia" w:ascii="楷体_GB2312" w:eastAsia="楷体_GB2312" w:cs="楷体_GB2312"/>
      <w:color w:val="000000"/>
      <w:sz w:val="36"/>
      <w:szCs w:val="36"/>
      <w:u w:val="none"/>
    </w:rPr>
  </w:style>
  <w:style w:type="character" w:customStyle="1" w:styleId="5">
    <w:name w:val="font61"/>
    <w:basedOn w:val="3"/>
    <w:uiPriority w:val="0"/>
    <w:rPr>
      <w:rFonts w:hint="eastAsia" w:ascii="楷体_GB2312" w:eastAsia="楷体_GB2312" w:cs="楷体_GB2312"/>
      <w:color w:val="000000"/>
      <w:sz w:val="36"/>
      <w:szCs w:val="36"/>
      <w:u w:val="none"/>
    </w:rPr>
  </w:style>
  <w:style w:type="character" w:customStyle="1" w:styleId="6">
    <w:name w:val="font31"/>
    <w:basedOn w:val="3"/>
    <w:uiPriority w:val="0"/>
    <w:rPr>
      <w:rFonts w:hint="eastAsia" w:ascii="宋体" w:hAnsi="宋体" w:eastAsia="宋体" w:cs="宋体"/>
      <w:color w:val="000000"/>
      <w:sz w:val="28"/>
      <w:szCs w:val="28"/>
      <w:u w:val="none"/>
    </w:rPr>
  </w:style>
  <w:style w:type="character" w:customStyle="1" w:styleId="7">
    <w:name w:val="font81"/>
    <w:basedOn w:val="3"/>
    <w:qFormat/>
    <w:uiPriority w:val="0"/>
    <w:rPr>
      <w:rFonts w:hint="eastAsia" w:ascii="黑体" w:hAnsi="宋体" w:eastAsia="黑体" w:cs="黑体"/>
      <w:color w:val="000000"/>
      <w:sz w:val="20"/>
      <w:szCs w:val="20"/>
      <w:u w:val="none"/>
    </w:rPr>
  </w:style>
  <w:style w:type="character" w:customStyle="1" w:styleId="8">
    <w:name w:val="font41"/>
    <w:basedOn w:val="3"/>
    <w:uiPriority w:val="0"/>
    <w:rPr>
      <w:rFonts w:hint="eastAsia" w:ascii="宋体" w:hAnsi="宋体" w:eastAsia="宋体" w:cs="宋体"/>
      <w:color w:val="000000"/>
      <w:sz w:val="20"/>
      <w:szCs w:val="20"/>
      <w:u w:val="none"/>
    </w:rPr>
  </w:style>
  <w:style w:type="character" w:customStyle="1" w:styleId="9">
    <w:name w:val="font71"/>
    <w:basedOn w:val="3"/>
    <w:qFormat/>
    <w:uiPriority w:val="0"/>
    <w:rPr>
      <w:rFonts w:hint="default" w:ascii="Times New Roman" w:hAnsi="Times New Roman" w:cs="Times New Roman"/>
      <w:color w:val="000000"/>
      <w:sz w:val="20"/>
      <w:szCs w:val="20"/>
      <w:u w:val="none"/>
    </w:rPr>
  </w:style>
  <w:style w:type="character" w:customStyle="1" w:styleId="10">
    <w:name w:val="font121"/>
    <w:basedOn w:val="3"/>
    <w:qFormat/>
    <w:uiPriority w:val="0"/>
    <w:rPr>
      <w:rFonts w:hint="default" w:ascii="Times New Roman" w:hAnsi="Times New Roman" w:cs="Times New Roman"/>
      <w:color w:val="000000"/>
      <w:sz w:val="22"/>
      <w:szCs w:val="22"/>
      <w:u w:val="none"/>
    </w:rPr>
  </w:style>
  <w:style w:type="character" w:customStyle="1" w:styleId="11">
    <w:name w:val="font161"/>
    <w:basedOn w:val="3"/>
    <w:uiPriority w:val="0"/>
    <w:rPr>
      <w:rFonts w:hint="eastAsia" w:ascii="黑体" w:hAnsi="宋体" w:eastAsia="黑体" w:cs="黑体"/>
      <w:color w:val="000000"/>
      <w:sz w:val="22"/>
      <w:szCs w:val="22"/>
      <w:u w:val="none"/>
    </w:rPr>
  </w:style>
  <w:style w:type="character" w:customStyle="1" w:styleId="12">
    <w:name w:val="font112"/>
    <w:basedOn w:val="3"/>
    <w:uiPriority w:val="0"/>
    <w:rPr>
      <w:rFonts w:hint="default" w:ascii="Times New Roman" w:hAnsi="Times New Roman" w:cs="Times New Roman"/>
      <w:color w:val="000000"/>
      <w:sz w:val="18"/>
      <w:szCs w:val="18"/>
      <w:u w:val="none"/>
    </w:rPr>
  </w:style>
  <w:style w:type="character" w:customStyle="1" w:styleId="13">
    <w:name w:val="font91"/>
    <w:basedOn w:val="3"/>
    <w:qFormat/>
    <w:uiPriority w:val="0"/>
    <w:rPr>
      <w:rFonts w:hint="eastAsia" w:ascii="黑体" w:hAnsi="宋体" w:eastAsia="黑体" w:cs="黑体"/>
      <w:color w:val="000000"/>
      <w:sz w:val="18"/>
      <w:szCs w:val="18"/>
      <w:u w:val="none"/>
    </w:rPr>
  </w:style>
  <w:style w:type="character" w:customStyle="1" w:styleId="14">
    <w:name w:val="font101"/>
    <w:basedOn w:val="3"/>
    <w:qFormat/>
    <w:uiPriority w:val="0"/>
    <w:rPr>
      <w:rFonts w:hint="default" w:ascii="Times New Roman" w:hAnsi="Times New Roman" w:cs="Times New Roman"/>
      <w:color w:val="000000"/>
      <w:sz w:val="16"/>
      <w:szCs w:val="16"/>
      <w:u w:val="none"/>
    </w:rPr>
  </w:style>
  <w:style w:type="character" w:customStyle="1" w:styleId="15">
    <w:name w:val="font01"/>
    <w:basedOn w:val="3"/>
    <w:uiPriority w:val="0"/>
    <w:rPr>
      <w:rFonts w:hint="eastAsia" w:ascii="黑体" w:hAnsi="宋体" w:eastAsia="黑体" w:cs="黑体"/>
      <w:color w:val="000000"/>
      <w:sz w:val="16"/>
      <w:szCs w:val="16"/>
      <w:u w:val="none"/>
    </w:rPr>
  </w:style>
  <w:style w:type="character" w:customStyle="1" w:styleId="16">
    <w:name w:val="font151"/>
    <w:basedOn w:val="3"/>
    <w:qFormat/>
    <w:uiPriority w:val="0"/>
    <w:rPr>
      <w:rFonts w:hint="eastAsia" w:ascii="黑体" w:hAnsi="宋体" w:eastAsia="黑体" w:cs="黑体"/>
      <w:color w:val="000000"/>
      <w:sz w:val="24"/>
      <w:szCs w:val="24"/>
      <w:u w:val="none"/>
    </w:rPr>
  </w:style>
  <w:style w:type="character" w:customStyle="1" w:styleId="17">
    <w:name w:val="font141"/>
    <w:basedOn w:val="3"/>
    <w:qFormat/>
    <w:uiPriority w:val="0"/>
    <w:rPr>
      <w:rFonts w:hint="default" w:ascii="Times New Roman" w:hAnsi="Times New Roman" w:cs="Times New Roman"/>
      <w:color w:val="000000"/>
      <w:sz w:val="20"/>
      <w:szCs w:val="20"/>
      <w:u w:val="none"/>
    </w:rPr>
  </w:style>
  <w:style w:type="character" w:customStyle="1" w:styleId="18">
    <w:name w:val="font131"/>
    <w:basedOn w:val="3"/>
    <w:qFormat/>
    <w:uiPriority w:val="0"/>
    <w:rPr>
      <w:rFonts w:hint="eastAsia" w:ascii="宋体" w:hAnsi="宋体" w:eastAsia="宋体" w:cs="宋体"/>
      <w:color w:val="000000"/>
      <w:sz w:val="20"/>
      <w:szCs w:val="20"/>
      <w:u w:val="single"/>
    </w:rPr>
  </w:style>
  <w:style w:type="character" w:customStyle="1" w:styleId="19">
    <w:name w:val="font11"/>
    <w:basedOn w:val="3"/>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1772</Words>
  <Characters>2896</Characters>
  <Lines>0</Lines>
  <Paragraphs>0</Paragraphs>
  <TotalTime>27</TotalTime>
  <ScaleCrop>false</ScaleCrop>
  <LinksUpToDate>false</LinksUpToDate>
  <CharactersWithSpaces>3184</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2026-01-08T04:43:00Z</dcterms:created>
  <dc:creator>Administrator</dc:creator>
  <cp:lastModifiedBy>Administrator</cp:lastModifiedBy>
  <dcterms:modified xsi:type="dcterms:W3CDTF">2026-01-09T08:44:17Z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KSOTemplateDocerSaveRecord">
    <vt:lpwstr>eyJoZGlkIjoiMzYyNzQ2NmI1YWI3ZTczOTY0NDQzMzk2NWYyNWU1MzgifQ==</vt:lpwstr>
  </property>
  <property fmtid="{D5CDD505-2E9C-101B-9397-08002B2CF9AE}" pid="4" name="ICV">
    <vt:lpwstr>63E9E02974544516AF9A157AEECFFBA2_12</vt:lpwstr>
  </property>
</Properties>
</file>