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076C3C" w:rsidP="00D621C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076C3C" w:rsidP="00D621C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D621C6" w:rsidRPr="00915A0B" w:rsidP="00D621C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915A0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乌苏市自然资源局</w:t>
      </w:r>
      <w:r w:rsidR="00915A0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</w:t>
      </w:r>
      <w:r w:rsidR="00D349F5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</w:t>
      </w:r>
      <w:r w:rsidR="00915A0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年</w:t>
      </w:r>
      <w:r w:rsidRPr="00915A0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信息公开工作年度报告</w:t>
      </w:r>
    </w:p>
    <w:p w:rsidR="00D621C6" w:rsidP="00D621C6"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</w:p>
    <w:p w:rsidR="00D621C6" w:rsidP="00915A0B">
      <w:p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:rsidR="00D621C6" w:rsidP="00915A0B">
      <w:pPr>
        <w:spacing w:line="560" w:lineRule="exact"/>
        <w:ind w:firstLine="707" w:firstLineChars="221"/>
        <w:rPr>
          <w:rFonts w:ascii="仿宋_GB2312" w:eastAsia="仿宋_GB2312" w:hAnsi="宋体"/>
          <w:sz w:val="32"/>
          <w:szCs w:val="32"/>
        </w:rPr>
      </w:pPr>
      <w:r w:rsidRPr="00C276B5">
        <w:rPr>
          <w:rFonts w:ascii="仿宋_GB2312" w:eastAsia="仿宋_GB2312" w:hAnsi="宋体" w:hint="eastAsia"/>
          <w:sz w:val="32"/>
          <w:szCs w:val="32"/>
        </w:rPr>
        <w:t>为了切实加强党务政务公开工作，我</w:t>
      </w:r>
      <w:r>
        <w:rPr>
          <w:rFonts w:ascii="仿宋_GB2312" w:eastAsia="仿宋_GB2312" w:hAnsi="宋体" w:hint="eastAsia"/>
          <w:sz w:val="32"/>
          <w:szCs w:val="32"/>
        </w:rPr>
        <w:t>局党组</w:t>
      </w:r>
      <w:r w:rsidRPr="00C276B5">
        <w:rPr>
          <w:rFonts w:ascii="仿宋_GB2312" w:eastAsia="仿宋_GB2312" w:hAnsi="宋体" w:hint="eastAsia"/>
          <w:sz w:val="32"/>
          <w:szCs w:val="32"/>
        </w:rPr>
        <w:t>把党务政务公开工作纳入全局重要工作议事日程，成立了党务政务公开工作领导小组，研究我局的党务政务公开工作，制定党务政务公开工作方案，落实《方案》确定的各项工作任务。一是建立健全党务政务公开制度。为实现规范化、程序化、制度化的工作机制，达到高效、快捷、透明、群众满意的服务质量，我们将办事制度、办事条件、办事标准、办理程序、办事时限、办事结果、收费标准依据</w:t>
      </w:r>
      <w:r>
        <w:rPr>
          <w:rFonts w:ascii="仿宋_GB2312" w:eastAsia="仿宋_GB2312" w:hAnsi="宋体" w:hint="eastAsia"/>
          <w:sz w:val="32"/>
          <w:szCs w:val="32"/>
        </w:rPr>
        <w:t>进行了公开</w:t>
      </w:r>
      <w:r w:rsidRPr="00C276B5">
        <w:rPr>
          <w:rFonts w:ascii="仿宋_GB2312" w:eastAsia="仿宋_GB2312" w:hAnsi="宋体" w:hint="eastAsia"/>
          <w:sz w:val="32"/>
          <w:szCs w:val="32"/>
        </w:rPr>
        <w:t>，实施阳光行政，增加办事透明度；二是</w:t>
      </w:r>
      <w:r>
        <w:rPr>
          <w:rFonts w:ascii="仿宋_GB2312" w:eastAsia="仿宋_GB2312" w:hAnsi="宋体" w:hint="eastAsia"/>
          <w:sz w:val="32"/>
          <w:szCs w:val="32"/>
        </w:rPr>
        <w:t>严格执行</w:t>
      </w:r>
      <w:r w:rsidRPr="00C276B5">
        <w:rPr>
          <w:rFonts w:ascii="仿宋_GB2312" w:eastAsia="仿宋_GB2312" w:hAnsi="宋体" w:hint="eastAsia"/>
          <w:sz w:val="32"/>
          <w:szCs w:val="32"/>
        </w:rPr>
        <w:t>重大事项内部会审制度。凡涉及土地利用规划审批、供地项目审批、规费减免、土地价格、资产处置、重大违法案件查处、重大土地纠纷、大宗财务支出、固定资产采购等重大事项的决策，全部实行集体内部会审；</w:t>
      </w:r>
      <w:r>
        <w:rPr>
          <w:rFonts w:ascii="仿宋_GB2312" w:eastAsia="仿宋_GB2312" w:hAnsi="宋体" w:hint="eastAsia"/>
          <w:sz w:val="32"/>
          <w:szCs w:val="32"/>
        </w:rPr>
        <w:t>三</w:t>
      </w:r>
      <w:r w:rsidRPr="00C276B5">
        <w:rPr>
          <w:rFonts w:ascii="仿宋_GB2312" w:eastAsia="仿宋_GB2312" w:hAnsi="宋体" w:hint="eastAsia"/>
          <w:sz w:val="32"/>
          <w:szCs w:val="32"/>
        </w:rPr>
        <w:t>是</w:t>
      </w:r>
      <w:r>
        <w:rPr>
          <w:rFonts w:ascii="仿宋_GB2312" w:eastAsia="仿宋_GB2312" w:hAnsi="宋体" w:hint="eastAsia"/>
          <w:sz w:val="32"/>
          <w:szCs w:val="32"/>
        </w:rPr>
        <w:t>严格</w:t>
      </w:r>
      <w:r w:rsidRPr="00C276B5">
        <w:rPr>
          <w:rFonts w:ascii="仿宋_GB2312" w:eastAsia="仿宋_GB2312" w:hAnsi="宋体" w:hint="eastAsia"/>
          <w:sz w:val="32"/>
          <w:szCs w:val="32"/>
        </w:rPr>
        <w:t>国有土地使用权招标拍卖制度，我</w:t>
      </w:r>
      <w:r>
        <w:rPr>
          <w:rFonts w:ascii="仿宋_GB2312" w:eastAsia="仿宋_GB2312" w:hAnsi="宋体" w:hint="eastAsia"/>
          <w:sz w:val="32"/>
          <w:szCs w:val="32"/>
        </w:rPr>
        <w:t>局</w:t>
      </w:r>
      <w:r w:rsidRPr="00C276B5">
        <w:rPr>
          <w:rFonts w:ascii="仿宋_GB2312" w:eastAsia="仿宋_GB2312" w:hAnsi="宋体" w:hint="eastAsia"/>
          <w:sz w:val="32"/>
          <w:szCs w:val="32"/>
        </w:rPr>
        <w:t>严格按照《招标拍卖挂牌出让国有土地使用权规定》和《新疆维吾尔自治区招标拍卖挂牌出让国有土地使用权实施细则》的规定，遵循依法、公开、公平、公正和诚信的原则，根据土地招拍挂出让年度计划和市场需求情况，制定招拍挂出让方案，由局会审领导小组成员集体会审确定协议价格后，上报政府并向社会公开。在土地资产处置过程中，严格执行办</w:t>
      </w:r>
      <w:r w:rsidRPr="00C276B5">
        <w:rPr>
          <w:rFonts w:ascii="仿宋_GB2312" w:eastAsia="仿宋_GB2312" w:hAnsi="宋体" w:hint="eastAsia"/>
          <w:sz w:val="32"/>
          <w:szCs w:val="32"/>
        </w:rPr>
        <w:t>文制度，所有报价和批文均按照规定程序操作，并建立建设用地信息发布、地价和土地登记资料查询制度，确定价格一实行内部会审，集体决策。同时，在资金管理上，各项收费全部按自治区新计房价［2001］500号文和市计委颁发的《收费许可证》规定的收费项目和标准执行，做到亮证收费，没有发生自立收费项目、擅自提高或收费标准、擅自减免收费的现象，各项收费均严格按“收支两条线”的管理规定进行管理，所收费用全额上缴财政专户。</w:t>
      </w:r>
    </w:p>
    <w:p w:rsidR="00647095" w:rsidRPr="00C276B5" w:rsidP="00D621C6">
      <w:pPr>
        <w:spacing w:line="560" w:lineRule="exact"/>
        <w:ind w:firstLine="720" w:firstLineChars="22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2020</w:t>
      </w:r>
      <w:r>
        <w:rPr>
          <w:rFonts w:ascii="仿宋_GB2312" w:eastAsia="仿宋_GB2312" w:hAnsi="宋体" w:hint="eastAsia"/>
          <w:sz w:val="32"/>
          <w:szCs w:val="32"/>
        </w:rPr>
        <w:t>年，公开内部管理制度</w:t>
      </w:r>
      <w:r w:rsidR="00076C3C">
        <w:rPr>
          <w:rFonts w:ascii="仿宋_GB2312" w:eastAsia="仿宋_GB2312" w:hAnsi="宋体" w:hint="eastAsia"/>
          <w:sz w:val="32"/>
          <w:szCs w:val="32"/>
        </w:rPr>
        <w:t>32</w:t>
      </w:r>
      <w:r>
        <w:rPr>
          <w:rFonts w:ascii="仿宋_GB2312" w:eastAsia="仿宋_GB2312" w:hAnsi="宋体" w:hint="eastAsia"/>
          <w:sz w:val="32"/>
          <w:szCs w:val="32"/>
        </w:rPr>
        <w:t>个，</w:t>
      </w:r>
      <w:r w:rsidR="00915A0B">
        <w:rPr>
          <w:rFonts w:ascii="仿宋_GB2312" w:eastAsia="仿宋_GB2312" w:hAnsi="宋体" w:hint="eastAsia"/>
          <w:sz w:val="32"/>
          <w:szCs w:val="32"/>
        </w:rPr>
        <w:t>行政许可事项11个，对外服务事项16个，财务收支事项4次，</w:t>
      </w:r>
      <w:r w:rsidRPr="002C2F21" w:rsidR="00915A0B">
        <w:rPr>
          <w:rFonts w:ascii="仿宋_GB2312" w:eastAsia="仿宋_GB2312" w:hAnsi="仿宋_GB2312" w:cs="仿宋_GB2312" w:hint="eastAsia"/>
          <w:bCs/>
          <w:sz w:val="32"/>
          <w:szCs w:val="32"/>
        </w:rPr>
        <w:t>土地使用权招标拍卖挂牌</w:t>
      </w:r>
      <w:r w:rsidR="00915A0B">
        <w:rPr>
          <w:rFonts w:ascii="仿宋_GB2312" w:eastAsia="仿宋_GB2312" w:hAnsi="仿宋_GB2312" w:cs="仿宋_GB2312" w:hint="eastAsia"/>
          <w:bCs/>
          <w:sz w:val="32"/>
          <w:szCs w:val="32"/>
        </w:rPr>
        <w:t>出让项目</w:t>
      </w:r>
      <w:r w:rsidR="00076C3C">
        <w:rPr>
          <w:rFonts w:ascii="仿宋_GB2312" w:eastAsia="仿宋_GB2312" w:hAnsi="仿宋_GB2312" w:cs="仿宋_GB2312" w:hint="eastAsia"/>
          <w:bCs/>
          <w:sz w:val="32"/>
          <w:szCs w:val="32"/>
        </w:rPr>
        <w:t>32</w:t>
      </w:r>
      <w:r w:rsidR="00915A0B">
        <w:rPr>
          <w:rFonts w:ascii="仿宋_GB2312" w:eastAsia="仿宋_GB2312" w:hAnsi="仿宋_GB2312" w:cs="仿宋_GB2312" w:hint="eastAsia"/>
          <w:bCs/>
          <w:sz w:val="32"/>
          <w:szCs w:val="32"/>
        </w:rPr>
        <w:t>宗，党务公开信息12条。</w:t>
      </w:r>
    </w:p>
    <w:p w:rsidR="00D621C6" w:rsidP="00915A0B">
      <w:p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0"/>
        <w:gridCol w:w="2180"/>
        <w:gridCol w:w="2180"/>
        <w:gridCol w:w="2180"/>
      </w:tblGrid>
      <w:tr w:rsidTr="00915A0B">
        <w:tblPrEx>
          <w:tblW w:w="8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第二十条第（一）项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</w:t>
            </w:r>
          </w:p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新制作数量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</w:t>
            </w:r>
          </w:p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新公开数量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对外公开</w:t>
            </w:r>
          </w:p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总数量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规章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32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32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32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规范性文件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第二十条第（五）项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本年增/减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处理决定数量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行政许可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11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其他对外管理服务事项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16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第二十条第（六）项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65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本年增/减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处理决定数量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行政处罚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10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+13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23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行政强制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第二十条第（八）项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上一年项目数量</w:t>
            </w:r>
          </w:p>
        </w:tc>
        <w:tc>
          <w:tcPr>
            <w:tcW w:w="4360" w:type="dxa"/>
            <w:gridSpan w:val="2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本年增/减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行政事业性收费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14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8720" w:type="dxa"/>
            <w:gridSpan w:val="4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第二十条第（九）项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信息内容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采购项目数量</w:t>
            </w:r>
          </w:p>
        </w:tc>
        <w:tc>
          <w:tcPr>
            <w:tcW w:w="4360" w:type="dxa"/>
            <w:gridSpan w:val="2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采购总金额</w:t>
            </w:r>
          </w:p>
        </w:tc>
      </w:tr>
      <w:tr w:rsidTr="00915A0B">
        <w:tblPrEx>
          <w:tblW w:w="8720" w:type="dxa"/>
          <w:tblLayout w:type="fixed"/>
          <w:tblLook w:val="0000"/>
        </w:tblPrEx>
        <w:trPr>
          <w:trHeight w:val="448"/>
        </w:trPr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政府集中采购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541万元</w:t>
            </w:r>
          </w:p>
        </w:tc>
        <w:tc>
          <w:tcPr>
            <w:tcW w:w="2180" w:type="dxa"/>
            <w:vAlign w:val="center"/>
          </w:tcPr>
          <w:p w:rsidR="00D621C6" w:rsidP="005067F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915A0B" w:rsidP="00915A0B">
      <w:pPr>
        <w:numPr>
          <w:ilvl w:val="0"/>
          <w:numId w:val="1"/>
        </w:num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0"/>
        <w:gridCol w:w="846"/>
        <w:gridCol w:w="2943"/>
        <w:gridCol w:w="405"/>
        <w:gridCol w:w="570"/>
        <w:gridCol w:w="510"/>
        <w:gridCol w:w="840"/>
        <w:gridCol w:w="825"/>
        <w:gridCol w:w="416"/>
        <w:gridCol w:w="535"/>
      </w:tblGrid>
      <w:tr w:rsidTr="005067F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10"/>
        </w:trPr>
        <w:tc>
          <w:tcPr>
            <w:tcW w:w="4519" w:type="dxa"/>
            <w:gridSpan w:val="3"/>
            <w:vMerge w:val="restart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（本列数据的勾稽关系为：第一项加第二项之和，等于第三项加第四项之和）</w:t>
            </w:r>
          </w:p>
        </w:tc>
        <w:tc>
          <w:tcPr>
            <w:tcW w:w="4101" w:type="dxa"/>
            <w:gridSpan w:val="7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申请人情况</w:t>
            </w: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410"/>
        </w:trPr>
        <w:tc>
          <w:tcPr>
            <w:tcW w:w="4519" w:type="dxa"/>
            <w:gridSpan w:val="3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自</w:t>
            </w:r>
          </w:p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然</w:t>
            </w:r>
          </w:p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  <w:tc>
          <w:tcPr>
            <w:tcW w:w="3161" w:type="dxa"/>
            <w:gridSpan w:val="5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法人或其他组织</w:t>
            </w:r>
          </w:p>
        </w:tc>
        <w:tc>
          <w:tcPr>
            <w:tcW w:w="535" w:type="dxa"/>
            <w:vMerge w:val="restart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</w:t>
            </w:r>
          </w:p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计</w:t>
            </w: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1649"/>
        </w:trPr>
        <w:tc>
          <w:tcPr>
            <w:tcW w:w="4519" w:type="dxa"/>
            <w:gridSpan w:val="3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05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商业企业</w:t>
            </w: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科研机构</w:t>
            </w: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社会公益组织</w:t>
            </w: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法律服务机构</w:t>
            </w: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</w:t>
            </w:r>
          </w:p>
        </w:tc>
        <w:tc>
          <w:tcPr>
            <w:tcW w:w="535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545"/>
        </w:trPr>
        <w:tc>
          <w:tcPr>
            <w:tcW w:w="4519" w:type="dxa"/>
            <w:gridSpan w:val="3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一、本年新收政府信息公开申请数量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575"/>
        </w:trPr>
        <w:tc>
          <w:tcPr>
            <w:tcW w:w="4519" w:type="dxa"/>
            <w:gridSpan w:val="3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二、上年结转政府信息公开申请数量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410"/>
        </w:trPr>
        <w:tc>
          <w:tcPr>
            <w:tcW w:w="730" w:type="dxa"/>
            <w:vMerge w:val="restart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三、本年度办理结果</w:t>
            </w:r>
          </w:p>
        </w:tc>
        <w:tc>
          <w:tcPr>
            <w:tcW w:w="3789" w:type="dxa"/>
            <w:gridSpan w:val="2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（一）予以公开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1210"/>
        </w:trPr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（二）部分公开（区分处理的，只计这一情形，不计其他情形）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（三）不予公开</w:t>
            </w: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1、属于国家秘密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2、其他法律行政法规禁止公开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3、危及“三安全一稳定”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w w:val="9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4、保护第三方合法权益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5、属于三类内部事务信息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6、属于四类过程性信息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7、属于行政执法案卷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8、属于行政查询事项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（四）无法提供</w:t>
            </w: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1、本机关不掌握相关政府信息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2、没有现成信息需要另行制作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3、补正后申请内容仍不明确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（五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）不予处理</w:t>
            </w: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1、信访举报投诉类申请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2、重复申请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3、要求提供公开出版物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4、无正当理由大量反复申请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6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943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30"/>
                <w:szCs w:val="30"/>
              </w:rPr>
              <w:t>5、要求行政机关确认或重新出具已获取信息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410"/>
        </w:trPr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（六）其他处理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c>
          <w:tcPr>
            <w:tcW w:w="730" w:type="dxa"/>
            <w:vMerge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（七）总计</w:t>
            </w:r>
          </w:p>
        </w:tc>
        <w:tc>
          <w:tcPr>
            <w:tcW w:w="40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1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416" w:type="dxa"/>
            <w:vAlign w:val="center"/>
          </w:tcPr>
          <w:p w:rsidR="00915A0B" w:rsidP="005067F3">
            <w:pPr>
              <w:spacing w:line="36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35" w:type="dxa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422"/>
        </w:trPr>
        <w:tc>
          <w:tcPr>
            <w:tcW w:w="8620" w:type="dxa"/>
            <w:gridSpan w:val="10"/>
            <w:vAlign w:val="center"/>
          </w:tcPr>
          <w:p w:rsidR="00915A0B" w:rsidP="00506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四、结转下年度继续办理</w:t>
            </w:r>
          </w:p>
        </w:tc>
      </w:tr>
    </w:tbl>
    <w:p w:rsidR="00915A0B" w:rsidP="00915A0B">
      <w:p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4"/>
        <w:gridCol w:w="588"/>
        <w:gridCol w:w="586"/>
        <w:gridCol w:w="587"/>
        <w:gridCol w:w="586"/>
        <w:gridCol w:w="585"/>
        <w:gridCol w:w="587"/>
        <w:gridCol w:w="587"/>
        <w:gridCol w:w="587"/>
        <w:gridCol w:w="584"/>
        <w:gridCol w:w="581"/>
        <w:gridCol w:w="581"/>
        <w:gridCol w:w="581"/>
        <w:gridCol w:w="578"/>
        <w:gridCol w:w="578"/>
      </w:tblGrid>
      <w:tr w:rsidTr="005067F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8"/>
        </w:trPr>
        <w:tc>
          <w:tcPr>
            <w:tcW w:w="2931" w:type="dxa"/>
            <w:gridSpan w:val="5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行政复议</w:t>
            </w:r>
          </w:p>
        </w:tc>
        <w:tc>
          <w:tcPr>
            <w:tcW w:w="5829" w:type="dxa"/>
            <w:gridSpan w:val="10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行政诉讼</w:t>
            </w: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633"/>
        </w:trPr>
        <w:tc>
          <w:tcPr>
            <w:tcW w:w="584" w:type="dxa"/>
            <w:vMerge w:val="restart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8" w:type="dxa"/>
            <w:vMerge w:val="restart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6" w:type="dxa"/>
            <w:vMerge w:val="restart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vMerge w:val="restart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86" w:type="dxa"/>
            <w:vMerge w:val="restart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  <w:tc>
          <w:tcPr>
            <w:tcW w:w="2930" w:type="dxa"/>
            <w:gridSpan w:val="5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未经复议直接起诉</w:t>
            </w:r>
          </w:p>
        </w:tc>
        <w:tc>
          <w:tcPr>
            <w:tcW w:w="2899" w:type="dxa"/>
            <w:gridSpan w:val="5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复议后起诉</w:t>
            </w: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2282"/>
        </w:trPr>
        <w:tc>
          <w:tcPr>
            <w:tcW w:w="584" w:type="dxa"/>
            <w:vMerge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8" w:type="dxa"/>
            <w:vMerge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7" w:type="dxa"/>
            <w:vMerge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6" w:type="dxa"/>
            <w:vMerge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85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7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7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87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84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  <w:tc>
          <w:tcPr>
            <w:tcW w:w="581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结果维持</w:t>
            </w:r>
          </w:p>
        </w:tc>
        <w:tc>
          <w:tcPr>
            <w:tcW w:w="581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结果纠正</w:t>
            </w:r>
          </w:p>
        </w:tc>
        <w:tc>
          <w:tcPr>
            <w:tcW w:w="581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其他结果</w:t>
            </w:r>
          </w:p>
        </w:tc>
        <w:tc>
          <w:tcPr>
            <w:tcW w:w="578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尚未审结</w:t>
            </w:r>
          </w:p>
        </w:tc>
        <w:tc>
          <w:tcPr>
            <w:tcW w:w="578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总计</w:t>
            </w:r>
          </w:p>
        </w:tc>
      </w:tr>
      <w:tr w:rsidTr="005067F3">
        <w:tblPrEx>
          <w:tblW w:w="0" w:type="auto"/>
          <w:tblLayout w:type="fixed"/>
          <w:tblLook w:val="0000"/>
        </w:tblPrEx>
        <w:trPr>
          <w:trHeight w:val="833"/>
        </w:trPr>
        <w:tc>
          <w:tcPr>
            <w:tcW w:w="584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8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6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6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5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7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4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81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8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  <w:tc>
          <w:tcPr>
            <w:tcW w:w="578" w:type="dxa"/>
            <w:vAlign w:val="center"/>
          </w:tcPr>
          <w:p w:rsidR="00915A0B" w:rsidP="005067F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</w:t>
            </w:r>
          </w:p>
        </w:tc>
      </w:tr>
    </w:tbl>
    <w:p w:rsidR="00FD5DF7" w:rsidP="00FD5DF7">
      <w:pPr>
        <w:spacing w:line="560" w:lineRule="exact"/>
        <w:ind w:firstLine="707" w:firstLineChars="22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>
        <w:rPr>
          <w:rFonts w:ascii="黑体" w:eastAsia="黑体" w:hAnsi="黑体" w:cs="黑体" w:hint="eastAsia"/>
          <w:sz w:val="32"/>
          <w:szCs w:val="32"/>
        </w:rPr>
        <w:t>、存在的主要问题及改进情况</w:t>
      </w:r>
    </w:p>
    <w:p w:rsidR="00647095" w:rsidRPr="0029194C" w:rsidP="00915A0B">
      <w:pPr>
        <w:pStyle w:val="PlainText"/>
        <w:ind w:firstLine="707" w:firstLineChars="221"/>
        <w:rPr>
          <w:rFonts w:ascii="仿宋_GB2312" w:eastAsia="仿宋_GB2312" w:hAnsi="楷体" w:cs="宋体"/>
          <w:sz w:val="32"/>
          <w:szCs w:val="32"/>
        </w:rPr>
      </w:pPr>
      <w:r w:rsidRPr="0029194C"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Pr="0029194C" w:rsidR="009348EA"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Pr="0029194C">
        <w:rPr>
          <w:rFonts w:ascii="仿宋_GB2312" w:eastAsia="仿宋_GB2312" w:hAnsi="楷体" w:cs="宋体" w:hint="eastAsia"/>
          <w:sz w:val="32"/>
          <w:szCs w:val="32"/>
        </w:rPr>
        <w:t>年自然资源局积极推进政务公开工作，取得了一定成效，但是与社会公众的需求还有差距。例如，公开的载体和形式上较为单一；在门户网站建设仍需进一步调整优化；在政民互动交流上仍需进一步改进和加强。</w:t>
      </w:r>
    </w:p>
    <w:p w:rsidR="00647095" w:rsidRPr="0029194C" w:rsidP="00647095">
      <w:pPr>
        <w:ind w:firstLine="709"/>
        <w:rPr>
          <w:rFonts w:ascii="仿宋_GB2312" w:eastAsia="仿宋_GB2312"/>
          <w:sz w:val="32"/>
          <w:szCs w:val="32"/>
        </w:rPr>
      </w:pPr>
      <w:r w:rsidRPr="0029194C">
        <w:rPr>
          <w:rFonts w:ascii="仿宋_GB2312" w:eastAsia="仿宋_GB2312" w:hint="eastAsia"/>
          <w:sz w:val="32"/>
          <w:szCs w:val="32"/>
        </w:rPr>
        <w:t>2021</w:t>
      </w:r>
      <w:r w:rsidRPr="0029194C">
        <w:rPr>
          <w:rFonts w:ascii="仿宋_GB2312" w:eastAsia="仿宋_GB2312" w:hAnsi="楷体" w:cs="宋体" w:hint="eastAsia"/>
          <w:sz w:val="32"/>
          <w:szCs w:val="32"/>
        </w:rPr>
        <w:t>年自然资源局在信息公开方面将重点做好以下工作：</w:t>
      </w:r>
      <w:r w:rsidRPr="0029194C">
        <w:rPr>
          <w:rFonts w:ascii="仿宋_GB2312" w:eastAsia="仿宋_GB2312" w:hint="eastAsia"/>
          <w:sz w:val="32"/>
          <w:szCs w:val="32"/>
        </w:rPr>
        <w:t xml:space="preserve">       </w:t>
      </w:r>
    </w:p>
    <w:p w:rsidR="00647095" w:rsidRPr="0029194C" w:rsidP="00915A0B">
      <w:pPr>
        <w:pStyle w:val="PlainText"/>
        <w:ind w:firstLine="704" w:firstLineChars="22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29194C">
        <w:rPr>
          <w:rFonts w:ascii="仿宋_GB2312" w:eastAsia="仿宋_GB2312" w:hAnsi="楷体" w:cs="Times New Roman" w:hint="eastAsia"/>
          <w:b/>
          <w:sz w:val="32"/>
          <w:szCs w:val="32"/>
        </w:rPr>
        <w:t>（一）加大重点领域信息公开力度。</w:t>
      </w:r>
      <w:r w:rsidRPr="0029194C">
        <w:rPr>
          <w:rFonts w:ascii="仿宋_GB2312" w:eastAsia="仿宋_GB2312" w:hAnsi="Times New Roman" w:cs="Times New Roman" w:hint="eastAsia"/>
          <w:sz w:val="32"/>
          <w:szCs w:val="32"/>
        </w:rPr>
        <w:t>继续推进</w:t>
      </w:r>
      <w:r w:rsidRPr="0029194C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征</w:t>
      </w:r>
      <w:r w:rsidRPr="0029194C">
        <w:rPr>
          <w:rFonts w:ascii="仿宋_GB2312" w:eastAsia="仿宋_GB2312" w:hAnsi="仿宋" w:cs="Times New Roman" w:hint="eastAsia"/>
          <w:kern w:val="0"/>
          <w:sz w:val="32"/>
          <w:szCs w:val="32"/>
        </w:rPr>
        <w:t>地信息公开，推动以土地市场和矿业权市场信息为重点的自然资源</w:t>
      </w:r>
      <w:r w:rsidRPr="0029194C">
        <w:rPr>
          <w:rFonts w:ascii="仿宋_GB2312" w:eastAsia="仿宋_GB2312" w:hAnsi="仿宋" w:cs="Times New Roman" w:hint="eastAsia"/>
          <w:kern w:val="0"/>
          <w:sz w:val="32"/>
          <w:szCs w:val="32"/>
        </w:rPr>
        <w:t>领域公共资源配置更加透明；积极推进交易公告、资格审查结果、交易过程信息、成交信息、履约信息以及有关变更信息的公开；积极促进信息发布手段多样化，及时发布地质灾害信息、海洋灾害警报和公报。</w:t>
      </w:r>
    </w:p>
    <w:p w:rsidR="00647095" w:rsidRPr="0029194C" w:rsidP="00647095">
      <w:pPr>
        <w:pStyle w:val="PlainText"/>
        <w:ind w:firstLine="709"/>
        <w:rPr>
          <w:rFonts w:ascii="仿宋_GB2312" w:eastAsia="仿宋_GB2312" w:hAnsi="仿宋" w:cs="仿宋_GB2312"/>
          <w:kern w:val="0"/>
          <w:sz w:val="32"/>
          <w:szCs w:val="32"/>
        </w:rPr>
      </w:pPr>
      <w:r w:rsidRPr="0029194C">
        <w:rPr>
          <w:rFonts w:ascii="仿宋_GB2312" w:eastAsia="仿宋_GB2312" w:hAnsi="楷体" w:cs="Times New Roman" w:hint="eastAsia"/>
          <w:sz w:val="32"/>
          <w:szCs w:val="32"/>
        </w:rPr>
        <w:t>（</w:t>
      </w:r>
      <w:r w:rsidRPr="0029194C">
        <w:rPr>
          <w:rFonts w:ascii="仿宋_GB2312" w:eastAsia="仿宋_GB2312" w:hAnsi="楷体" w:cs="Times New Roman" w:hint="eastAsia"/>
          <w:b/>
          <w:sz w:val="32"/>
          <w:szCs w:val="32"/>
        </w:rPr>
        <w:t>二）</w:t>
      </w:r>
      <w:r w:rsidRPr="0029194C">
        <w:rPr>
          <w:rFonts w:ascii="仿宋_GB2312" w:eastAsia="仿宋_GB2312" w:hAnsi="宋体" w:cs="宋体" w:hint="eastAsia"/>
          <w:b/>
          <w:sz w:val="32"/>
          <w:szCs w:val="32"/>
        </w:rPr>
        <w:t>加强网站平台建设和管理。</w:t>
      </w:r>
      <w:r w:rsidRPr="0029194C">
        <w:rPr>
          <w:rFonts w:ascii="仿宋_GB2312" w:eastAsia="仿宋_GB2312" w:hAnsi="仿宋" w:cs="仿宋_GB2312" w:hint="eastAsia"/>
          <w:kern w:val="0"/>
          <w:sz w:val="32"/>
          <w:szCs w:val="32"/>
        </w:rPr>
        <w:t>加强网站内容建设,完善网站功能，把部门户网站建设成为政务公开和政务服务的第一平台。推进政务新媒体健康有序发展。</w:t>
      </w:r>
    </w:p>
    <w:p w:rsidR="00FD5DF7" w:rsidRPr="00915A0B" w:rsidP="00915A0B"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 w:rsidRPr="00915A0B">
        <w:rPr>
          <w:rFonts w:ascii="黑体" w:eastAsia="黑体" w:hAnsi="黑体" w:cs="黑体" w:hint="eastAsia"/>
          <w:sz w:val="32"/>
          <w:szCs w:val="32"/>
        </w:rPr>
        <w:t>六</w:t>
      </w:r>
      <w:r w:rsidRPr="00915A0B">
        <w:rPr>
          <w:rFonts w:ascii="黑体" w:eastAsia="黑体" w:hAnsi="黑体" w:cs="黑体" w:hint="eastAsia"/>
          <w:sz w:val="32"/>
          <w:szCs w:val="32"/>
        </w:rPr>
        <w:t>、其他需要报告的事项</w:t>
      </w:r>
    </w:p>
    <w:p w:rsidR="00FD5DF7" w:rsidRPr="00915A0B" w:rsidP="0029194C">
      <w:pPr>
        <w:tabs>
          <w:tab w:val="left" w:pos="5835"/>
        </w:tabs>
        <w:spacing w:line="560" w:lineRule="exact"/>
        <w:ind w:left="-142" w:firstLine="848" w:firstLineChars="265"/>
        <w:rPr>
          <w:rFonts w:ascii="仿宋_GB2312" w:eastAsia="仿宋_GB2312" w:hAnsi="仿宋_GB2312" w:cs="仿宋_GB2312"/>
          <w:sz w:val="32"/>
          <w:szCs w:val="32"/>
        </w:rPr>
      </w:pPr>
      <w:r w:rsidRPr="00915A0B">
        <w:rPr>
          <w:rFonts w:ascii="仿宋_GB2312" w:eastAsia="仿宋_GB2312" w:hAnsi="仿宋_GB2312" w:cs="仿宋_GB2312" w:hint="eastAsia"/>
          <w:sz w:val="32"/>
          <w:szCs w:val="32"/>
        </w:rPr>
        <w:t>无</w:t>
      </w:r>
      <w:r w:rsidR="0029194C">
        <w:rPr>
          <w:rFonts w:ascii="仿宋_GB2312" w:eastAsia="仿宋_GB2312" w:hAnsi="仿宋_GB2312" w:cs="仿宋_GB2312"/>
          <w:sz w:val="32"/>
          <w:szCs w:val="32"/>
        </w:rPr>
        <w:tab/>
      </w:r>
    </w:p>
    <w:p w:rsidR="00647095" w:rsidRPr="00915A0B" w:rsidP="00915A0B">
      <w:pPr>
        <w:spacing w:line="560" w:lineRule="exact"/>
        <w:ind w:left="-142" w:firstLine="848" w:firstLineChars="265"/>
        <w:rPr>
          <w:rFonts w:ascii="仿宋_GB2312" w:eastAsia="仿宋_GB2312" w:hAnsi="仿宋_GB2312" w:cs="仿宋_GB2312"/>
          <w:sz w:val="32"/>
          <w:szCs w:val="32"/>
        </w:rPr>
      </w:pPr>
    </w:p>
    <w:p w:rsidR="00647095" w:rsidRPr="00915A0B" w:rsidP="00915A0B">
      <w:pPr>
        <w:spacing w:line="560" w:lineRule="exact"/>
        <w:ind w:left="-142" w:firstLine="848" w:firstLineChars="26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联系人：黎葭，联系电话：15022894333</w:t>
      </w:r>
    </w:p>
    <w:p w:rsidR="00647095" w:rsidP="00915A0B">
      <w:pPr>
        <w:spacing w:line="560" w:lineRule="exact"/>
        <w:ind w:left="-142" w:firstLine="848" w:firstLineChars="265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F2608" w:rsidP="00915A0B">
      <w:pPr>
        <w:spacing w:line="560" w:lineRule="exact"/>
        <w:ind w:left="-142" w:firstLine="848" w:firstLineChars="265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F2608" w:rsidRPr="00915A0B" w:rsidP="00915A0B">
      <w:pPr>
        <w:spacing w:line="560" w:lineRule="exact"/>
        <w:ind w:left="-142" w:firstLine="848" w:firstLineChars="265"/>
        <w:rPr>
          <w:rFonts w:ascii="仿宋_GB2312" w:eastAsia="仿宋_GB2312" w:hAnsi="仿宋_GB2312" w:cs="仿宋_GB2312"/>
          <w:sz w:val="32"/>
          <w:szCs w:val="32"/>
        </w:rPr>
      </w:pPr>
    </w:p>
    <w:p w:rsidR="00647095" w:rsidRPr="00915A0B" w:rsidP="00915A0B">
      <w:pPr>
        <w:spacing w:line="560" w:lineRule="exact"/>
        <w:ind w:left="-142" w:firstLine="848" w:firstLineChars="265"/>
        <w:rPr>
          <w:rFonts w:ascii="仿宋_GB2312" w:eastAsia="仿宋_GB2312" w:hAnsi="仿宋_GB2312" w:cs="仿宋_GB2312"/>
          <w:sz w:val="32"/>
          <w:szCs w:val="32"/>
        </w:rPr>
      </w:pPr>
      <w:r w:rsidRPr="00915A0B">
        <w:rPr>
          <w:rFonts w:ascii="仿宋_GB2312" w:eastAsia="仿宋_GB2312" w:hAnsi="仿宋_GB2312" w:cs="仿宋_GB2312" w:hint="eastAsia"/>
          <w:sz w:val="32"/>
          <w:szCs w:val="32"/>
        </w:rPr>
        <w:t>　　　　　　　　　　　　　乌苏市自然资源局</w:t>
      </w:r>
    </w:p>
    <w:p w:rsidR="00647095" w:rsidP="00647095">
      <w:pPr>
        <w:spacing w:line="560" w:lineRule="exact"/>
        <w:ind w:left="-142" w:firstLine="848" w:firstLineChars="26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　　　　　　　　　　　　　</w:t>
      </w:r>
      <w:r w:rsidR="007739B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348EA">
        <w:rPr>
          <w:rFonts w:ascii="仿宋_GB2312" w:eastAsia="仿宋_GB2312" w:hAnsi="仿宋_GB2312" w:cs="仿宋_GB2312"/>
          <w:sz w:val="32"/>
          <w:szCs w:val="32"/>
        </w:rPr>
        <w:t>2021年1月16日</w:t>
      </w:r>
    </w:p>
    <w:p w:rsidR="00B63097"/>
    <w:sectPr w:rsidSect="00B63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76735"/>
    <w:multiLevelType w:val="singleLevel"/>
    <w:tmpl w:val="4B67673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21C6"/>
    <w:rsid w:val="000603AD"/>
    <w:rsid w:val="00076C3C"/>
    <w:rsid w:val="000D662A"/>
    <w:rsid w:val="0029194C"/>
    <w:rsid w:val="002C2F21"/>
    <w:rsid w:val="005067F3"/>
    <w:rsid w:val="00511D0B"/>
    <w:rsid w:val="0059025B"/>
    <w:rsid w:val="00647095"/>
    <w:rsid w:val="006D4DC3"/>
    <w:rsid w:val="007739B3"/>
    <w:rsid w:val="00915A0B"/>
    <w:rsid w:val="009348EA"/>
    <w:rsid w:val="00AF54E9"/>
    <w:rsid w:val="00B63097"/>
    <w:rsid w:val="00C276B5"/>
    <w:rsid w:val="00CF2608"/>
    <w:rsid w:val="00D349F5"/>
    <w:rsid w:val="00D621C6"/>
    <w:rsid w:val="00D62403"/>
    <w:rsid w:val="00DC14E5"/>
    <w:rsid w:val="00E33F2A"/>
    <w:rsid w:val="00FD5D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"/>
    <w:rsid w:val="00647095"/>
    <w:rPr>
      <w:rFonts w:ascii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rsid w:val="00647095"/>
    <w:rPr>
      <w:rFonts w:ascii="宋体" w:eastAsia="宋体" w:hAnsi="Courier New" w:cs="Courier New"/>
      <w:szCs w:val="21"/>
    </w:rPr>
  </w:style>
  <w:style w:type="paragraph" w:styleId="Header">
    <w:name w:val="header"/>
    <w:basedOn w:val="Normal"/>
    <w:link w:val="Char0"/>
    <w:uiPriority w:val="99"/>
    <w:semiHidden/>
    <w:unhideWhenUsed/>
    <w:rsid w:val="00D34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semiHidden/>
    <w:rsid w:val="00D349F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1"/>
    <w:uiPriority w:val="99"/>
    <w:semiHidden/>
    <w:unhideWhenUsed/>
    <w:rsid w:val="00D34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rsid w:val="00D349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B2A5A5-A78C-443C-8F26-582C283F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2021-01-16T08:29:00Z</dcterms:created>
  <dcterms:modified xsi:type="dcterms:W3CDTF">2021-01-18T05:14:00Z</dcterms:modified>
</cp:coreProperties>
</file>