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4.0 -->
  <w:body>
    <w:p w:rsidR="00690734">
      <w:pPr>
        <w:spacing w:line="56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乌苏市</w:t>
      </w:r>
      <w:r>
        <w:rPr>
          <w:rFonts w:ascii="方正小标宋简体" w:eastAsia="方正小标宋简体" w:hAnsi="方正小标宋简体" w:cs="方正小标宋简体" w:hint="eastAsia"/>
          <w:b/>
          <w:sz w:val="36"/>
          <w:szCs w:val="36"/>
        </w:rPr>
        <w:t>农业农村局政府信息公开工作2020年度报告</w:t>
      </w:r>
    </w:p>
    <w:p w:rsidR="00690734">
      <w:pPr>
        <w:spacing w:line="560" w:lineRule="exact"/>
        <w:ind w:firstLine="640" w:firstLineChars="200"/>
        <w:rPr>
          <w:rFonts w:ascii="黑体" w:eastAsia="黑体" w:hAnsi="黑体" w:cs="黑体"/>
          <w:sz w:val="32"/>
          <w:szCs w:val="32"/>
        </w:rPr>
      </w:pPr>
    </w:p>
    <w:p w:rsidR="00690734">
      <w:pPr>
        <w:spacing w:line="560" w:lineRule="exact"/>
        <w:ind w:firstLine="707" w:firstLineChars="221"/>
        <w:rPr>
          <w:rFonts w:ascii="黑体" w:eastAsia="黑体" w:hAnsi="黑体" w:cs="黑体"/>
          <w:sz w:val="32"/>
          <w:szCs w:val="32"/>
        </w:rPr>
      </w:pPr>
      <w:r>
        <w:rPr>
          <w:rFonts w:ascii="黑体" w:eastAsia="黑体" w:hAnsi="黑体" w:cs="黑体" w:hint="eastAsia"/>
          <w:sz w:val="32"/>
          <w:szCs w:val="32"/>
        </w:rPr>
        <w:t>一、总体情况</w:t>
      </w:r>
    </w:p>
    <w:p w:rsidR="00690734">
      <w:pPr>
        <w:pStyle w:val="NormalWeb"/>
        <w:widowControl/>
        <w:shd w:val="clear" w:color="auto" w:fill="FFFFFF"/>
        <w:spacing w:beforeAutospacing="0" w:afterAutospacing="0" w:line="579" w:lineRule="atLeast"/>
        <w:ind w:firstLine="640"/>
        <w:textAlignment w:val="baseline"/>
        <w:rPr>
          <w:rFonts w:ascii="Calibri" w:hAnsi="Calibri" w:cs="Calibri"/>
          <w:color w:val="000000"/>
        </w:rPr>
      </w:pPr>
      <w:r>
        <w:rPr>
          <w:rFonts w:ascii="仿宋" w:eastAsia="仿宋" w:hAnsi="仿宋" w:cs="仿宋"/>
          <w:color w:val="000000"/>
          <w:sz w:val="32"/>
          <w:szCs w:val="32"/>
          <w:shd w:val="clear" w:color="auto" w:fill="FFFFFF"/>
        </w:rPr>
        <w:t>20</w:t>
      </w:r>
      <w:r>
        <w:rPr>
          <w:rFonts w:ascii="仿宋" w:eastAsia="仿宋" w:hAnsi="仿宋" w:cs="仿宋" w:hint="eastAsia"/>
          <w:color w:val="000000"/>
          <w:sz w:val="32"/>
          <w:szCs w:val="32"/>
          <w:shd w:val="clear" w:color="auto" w:fill="FFFFFF"/>
        </w:rPr>
        <w:t>20</w:t>
      </w:r>
      <w:r>
        <w:rPr>
          <w:rFonts w:ascii="仿宋" w:eastAsia="仿宋" w:hAnsi="仿宋" w:cs="仿宋"/>
          <w:color w:val="000000"/>
          <w:sz w:val="32"/>
          <w:szCs w:val="32"/>
          <w:shd w:val="clear" w:color="auto" w:fill="FFFFFF"/>
        </w:rPr>
        <w:t>年，</w:t>
      </w:r>
      <w:r w:rsidR="006D338C">
        <w:rPr>
          <w:rFonts w:ascii="仿宋" w:eastAsia="仿宋" w:hAnsi="仿宋" w:cs="仿宋"/>
          <w:color w:val="000000"/>
          <w:sz w:val="32"/>
          <w:szCs w:val="32"/>
          <w:shd w:val="clear" w:color="auto" w:fill="FFFFFF"/>
        </w:rPr>
        <w:t>我局</w:t>
      </w:r>
      <w:r>
        <w:rPr>
          <w:rFonts w:ascii="仿宋" w:eastAsia="仿宋" w:hAnsi="仿宋" w:cs="仿宋" w:hint="eastAsia"/>
          <w:color w:val="000000"/>
          <w:sz w:val="32"/>
          <w:szCs w:val="32"/>
          <w:shd w:val="clear" w:color="auto" w:fill="FFFFFF"/>
        </w:rPr>
        <w:t>围绕人民群众最关心、最关注、最需要的问题，本着服务大局、服务百姓的理念，开展政务公开工作。进一步强化公开载体、扩展公开内容、创新公开形式、完善公开机制，有力地推动了我局政务公开工作向纵深方向延伸，促进了阳光办公、透明办公建设的向前发展。</w:t>
      </w:r>
    </w:p>
    <w:p w:rsidR="00690734">
      <w:pPr>
        <w:pStyle w:val="NormalWeb"/>
        <w:widowControl/>
        <w:shd w:val="clear" w:color="auto" w:fill="FFFFFF"/>
        <w:spacing w:beforeAutospacing="0" w:afterAutospacing="0" w:line="579" w:lineRule="atLeast"/>
        <w:ind w:firstLine="640"/>
        <w:textAlignment w:val="baseline"/>
        <w:rPr>
          <w:rFonts w:ascii="Calibri" w:hAnsi="Calibri" w:cs="Calibri"/>
          <w:color w:val="000000"/>
        </w:rPr>
      </w:pPr>
      <w:r>
        <w:rPr>
          <w:rFonts w:ascii="楷体" w:eastAsia="楷体" w:hAnsi="楷体" w:cs="楷体"/>
          <w:color w:val="000000"/>
          <w:sz w:val="32"/>
          <w:szCs w:val="32"/>
          <w:shd w:val="clear" w:color="auto" w:fill="FFFFFF"/>
        </w:rPr>
        <w:t>（一）强化组织领导</w:t>
      </w:r>
      <w:r>
        <w:rPr>
          <w:rFonts w:ascii="楷体" w:eastAsia="楷体" w:hAnsi="楷体" w:cs="楷体" w:hint="eastAsia"/>
          <w:color w:val="000000"/>
          <w:sz w:val="32"/>
          <w:szCs w:val="32"/>
          <w:shd w:val="clear" w:color="auto" w:fill="FFFFFF"/>
        </w:rPr>
        <w:t>。</w:t>
      </w:r>
      <w:r>
        <w:rPr>
          <w:rFonts w:ascii="仿宋" w:eastAsia="仿宋" w:hAnsi="仿宋" w:cs="仿宋" w:hint="eastAsia"/>
          <w:color w:val="000000"/>
          <w:sz w:val="32"/>
          <w:szCs w:val="32"/>
          <w:shd w:val="clear" w:color="auto" w:fill="FFFFFF"/>
        </w:rPr>
        <w:t>成立了由局党组书记任组长，分管领</w:t>
      </w:r>
      <w:r>
        <w:rPr>
          <w:rFonts w:ascii="仿宋" w:eastAsia="仿宋" w:hAnsi="仿宋" w:cs="仿宋" w:hint="eastAsia"/>
          <w:color w:val="000000"/>
          <w:sz w:val="32"/>
          <w:szCs w:val="32"/>
          <w:shd w:val="clear" w:color="auto" w:fill="FFFFFF"/>
        </w:rPr>
        <w:t>导任副组长</w:t>
      </w:r>
      <w:r>
        <w:rPr>
          <w:rFonts w:ascii="仿宋" w:eastAsia="仿宋" w:hAnsi="仿宋" w:cs="仿宋" w:hint="eastAsia"/>
          <w:color w:val="000000"/>
          <w:sz w:val="32"/>
          <w:szCs w:val="32"/>
          <w:shd w:val="clear" w:color="auto" w:fill="FFFFFF"/>
        </w:rPr>
        <w:t>的局政务信息公开工作领导小组，领导小组下设办公室，负责政务信息公开具体工作。同时，我局把政务公开工作分解到单位内部的相关科室和人员，强化“一把手挂帅、副职领导具体抓、责任到科室、落实到人头”的工作机制，确保了政务公开各项工作落到</w:t>
      </w:r>
      <w:r>
        <w:rPr>
          <w:rFonts w:ascii="仿宋" w:eastAsia="仿宋" w:hAnsi="仿宋" w:cs="仿宋" w:hint="eastAsia"/>
          <w:color w:val="000000"/>
          <w:sz w:val="32"/>
          <w:szCs w:val="32"/>
          <w:shd w:val="clear" w:color="auto" w:fill="FFFFFF"/>
        </w:rPr>
        <w:t>实处和</w:t>
      </w:r>
      <w:r>
        <w:rPr>
          <w:rFonts w:ascii="仿宋" w:eastAsia="仿宋" w:hAnsi="仿宋" w:cs="仿宋" w:hint="eastAsia"/>
          <w:color w:val="000000"/>
          <w:sz w:val="32"/>
          <w:szCs w:val="32"/>
          <w:shd w:val="clear" w:color="auto" w:fill="FFFFFF"/>
        </w:rPr>
        <w:t>全面推行。</w:t>
      </w:r>
    </w:p>
    <w:p w:rsidR="00690734">
      <w:pPr>
        <w:pStyle w:val="NormalWeb"/>
        <w:widowControl/>
        <w:shd w:val="clear" w:color="auto" w:fill="FFFFFF"/>
        <w:spacing w:beforeAutospacing="0" w:afterAutospacing="0" w:line="579" w:lineRule="atLeast"/>
        <w:ind w:firstLine="640"/>
        <w:textAlignment w:val="baseline"/>
        <w:rPr>
          <w:rFonts w:ascii="Calibri" w:hAnsi="Calibri" w:cs="Calibri"/>
          <w:color w:val="000000"/>
        </w:rPr>
      </w:pPr>
      <w:r>
        <w:rPr>
          <w:rFonts w:ascii="楷体" w:eastAsia="楷体" w:hAnsi="楷体" w:cs="楷体" w:hint="eastAsia"/>
          <w:color w:val="000000"/>
          <w:sz w:val="32"/>
          <w:szCs w:val="32"/>
          <w:shd w:val="clear" w:color="auto" w:fill="FFFFFF"/>
        </w:rPr>
        <w:t>（二）建立健全工作制度。</w:t>
      </w:r>
      <w:r>
        <w:rPr>
          <w:rFonts w:ascii="仿宋" w:eastAsia="仿宋" w:hAnsi="仿宋" w:cs="仿宋" w:hint="eastAsia"/>
          <w:color w:val="000000"/>
          <w:sz w:val="32"/>
          <w:szCs w:val="32"/>
          <w:shd w:val="clear" w:color="auto" w:fill="FFFFFF"/>
        </w:rPr>
        <w:t>根据信息公开工作的要求，我局狠抓信息公开工作各项制度建设，建立长效机制。一是制定了《农业农村局信息公开工作制度》，明确了主动公开信息的工作程序、工作重点和工作要求等内容，从根本上保障了主动公开信息工作有章可循。二是制定了《信息公开保密审查制度》，在日常的信息公开工作中严格执行政务信息公开保密审查规定，所有公开的信息必须经过专门的保密审查才能对外发布。三是制定了《信息公开监督保障制度》，把监督作为信息公开的关键环节，在坚持</w:t>
      </w:r>
      <w:r>
        <w:rPr>
          <w:rFonts w:ascii="仿宋" w:eastAsia="仿宋" w:hAnsi="仿宋" w:cs="仿宋" w:hint="eastAsia"/>
          <w:color w:val="000000"/>
          <w:sz w:val="32"/>
          <w:szCs w:val="32"/>
          <w:shd w:val="clear" w:color="auto" w:fill="FFFFFF"/>
        </w:rPr>
        <w:t>对信息公开工作的实施情况进行监督检查的同时，切实保障公民、法人和其他组织对信息公开工作的监督权。四是制定了《违反信息公开规定行为责任追究制度》，明确了对各种违反信息公开规定行为的惩处措施，保证了信息公开工作依法依规进行。</w:t>
      </w:r>
    </w:p>
    <w:p w:rsidR="00690734">
      <w:pPr>
        <w:pStyle w:val="NormalWeb"/>
        <w:widowControl/>
        <w:shd w:val="clear" w:color="auto" w:fill="FFFFFF"/>
        <w:spacing w:beforeAutospacing="0" w:afterAutospacing="0" w:line="579" w:lineRule="atLeast"/>
        <w:ind w:firstLine="640"/>
        <w:textAlignment w:val="baseline"/>
        <w:rPr>
          <w:rFonts w:ascii="Calibri" w:hAnsi="Calibri" w:cs="Calibri"/>
          <w:color w:val="000000"/>
        </w:rPr>
      </w:pPr>
      <w:r>
        <w:rPr>
          <w:rFonts w:ascii="楷体" w:eastAsia="楷体" w:hAnsi="楷体" w:cs="楷体" w:hint="eastAsia"/>
          <w:color w:val="000000"/>
          <w:sz w:val="32"/>
          <w:szCs w:val="32"/>
          <w:shd w:val="clear" w:color="auto" w:fill="FFFFFF"/>
        </w:rPr>
        <w:t>（三）抓载体建设，政务信息公开形式不断丰富。</w:t>
      </w:r>
      <w:r>
        <w:rPr>
          <w:rFonts w:ascii="仿宋" w:eastAsia="仿宋" w:hAnsi="仿宋" w:cs="仿宋" w:hint="eastAsia"/>
          <w:color w:val="000000"/>
          <w:sz w:val="32"/>
          <w:szCs w:val="32"/>
          <w:shd w:val="clear" w:color="auto" w:fill="FFFFFF"/>
        </w:rPr>
        <w:t>按照便利、实用、有效的原则，不断创新政务信息公开载体，使政务信息公开的形式丰富多样，内容全面详实，重点鲜明突出。依托政府门户网站，推进政务信息公开常态化。利用政府网站将我局的职能、办事程序等应公开的内容全部上网公开；推行行政权力清单公开，对我局行政权力事项进行整理规范，将权力事项、法律依据、基本流程、工作时限等规范成清单形式汇总上报市编办统一在政务网站上向社会公开，以增加行政权力工作的透明度，方便基层和服务对象；推行重大项目建设信息公开，</w:t>
      </w:r>
      <w:bookmarkStart w:id="0" w:name="_GoBack"/>
      <w:bookmarkEnd w:id="0"/>
      <w:r>
        <w:rPr>
          <w:rFonts w:ascii="仿宋" w:eastAsia="仿宋" w:hAnsi="仿宋" w:cs="仿宋" w:hint="eastAsia"/>
          <w:color w:val="000000"/>
          <w:sz w:val="32"/>
          <w:szCs w:val="32"/>
          <w:shd w:val="clear" w:color="auto" w:fill="FFFFFF"/>
        </w:rPr>
        <w:t>充分利用机关办公场所政务公开栏、公示板、服务热线等方式公开了我局机构情况、工作职责、办事流程图、受理项目办理所需材料及告知事项、惠农补贴申报流程以及我局对农业补贴的情况等信息，方便了公众对我局工作程序的深入了解和工作监督。</w:t>
      </w:r>
    </w:p>
    <w:p w:rsidR="00690734">
      <w:pPr>
        <w:pStyle w:val="NormalWeb"/>
        <w:widowControl/>
        <w:shd w:val="clear" w:color="auto" w:fill="FFFFFF"/>
        <w:spacing w:beforeAutospacing="0" w:afterAutospacing="0" w:line="579" w:lineRule="atLeast"/>
        <w:ind w:firstLine="640"/>
        <w:textAlignment w:val="baseline"/>
        <w:rPr>
          <w:rFonts w:ascii="Calibri" w:hAnsi="Calibri" w:cs="Calibri"/>
          <w:color w:val="000000"/>
        </w:rPr>
      </w:pPr>
      <w:r>
        <w:rPr>
          <w:rFonts w:ascii="楷体" w:eastAsia="楷体" w:hAnsi="楷体" w:cs="楷体" w:hint="eastAsia"/>
          <w:color w:val="000000"/>
          <w:sz w:val="32"/>
          <w:szCs w:val="32"/>
          <w:shd w:val="clear" w:color="auto" w:fill="FFFFFF"/>
        </w:rPr>
        <w:t>（四）抓督查落实，政务信息公开措施贯彻有力。</w:t>
      </w:r>
      <w:r>
        <w:rPr>
          <w:rFonts w:ascii="仿宋" w:eastAsia="仿宋" w:hAnsi="仿宋" w:cs="仿宋" w:hint="eastAsia"/>
          <w:color w:val="000000"/>
          <w:sz w:val="32"/>
          <w:szCs w:val="32"/>
          <w:shd w:val="clear" w:color="auto" w:fill="FFFFFF"/>
        </w:rPr>
        <w:t>按照自治区和市上的一系列重要部署，结合我局的具体工作安排，局政务信息公开工作领导小组办公室采取多种形式，强化督检落实工作，确保按时高效地向公众提供各种政务信息。同时，鼓励广大干部、</w:t>
      </w:r>
      <w:r>
        <w:rPr>
          <w:rFonts w:ascii="仿宋" w:eastAsia="仿宋" w:hAnsi="仿宋" w:cs="仿宋" w:hint="eastAsia"/>
          <w:color w:val="000000"/>
          <w:sz w:val="32"/>
          <w:szCs w:val="32"/>
          <w:shd w:val="clear" w:color="auto" w:fill="FFFFFF"/>
        </w:rPr>
        <w:t>群众积极参与监督，积极反映公开过程中存在的突出问题，提出一些好的意见建议，使公开工作更加扎实、有序开展。</w:t>
      </w:r>
    </w:p>
    <w:p w:rsidR="00690734">
      <w:pPr>
        <w:spacing w:line="560" w:lineRule="exact"/>
        <w:ind w:firstLine="707" w:firstLineChars="221"/>
        <w:rPr>
          <w:rFonts w:ascii="黑体" w:eastAsia="黑体" w:hAnsi="黑体" w:cs="黑体"/>
          <w:sz w:val="32"/>
          <w:szCs w:val="32"/>
        </w:rPr>
      </w:pPr>
      <w:r>
        <w:rPr>
          <w:rFonts w:ascii="黑体" w:eastAsia="黑体" w:hAnsi="黑体" w:cs="黑体" w:hint="eastAsia"/>
          <w:sz w:val="32"/>
          <w:szCs w:val="32"/>
        </w:rPr>
        <w:t>二、主动公开政府信息情况</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0"/>
        <w:gridCol w:w="2180"/>
        <w:gridCol w:w="2180"/>
        <w:gridCol w:w="2180"/>
      </w:tblGrid>
      <w:tr>
        <w:tblPrEx>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8"/>
        </w:trPr>
        <w:tc>
          <w:tcPr>
            <w:tcW w:w="8720" w:type="dxa"/>
            <w:gridSpan w:val="4"/>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第二十条第（一）项</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w:t>
            </w:r>
          </w:p>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新制作数量</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w:t>
            </w:r>
          </w:p>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新公开数量</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对外公开</w:t>
            </w:r>
          </w:p>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总数量</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规章</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规范性文件</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720" w:type="dxa"/>
          <w:tblLayout w:type="fixed"/>
          <w:tblLook w:val="04A0"/>
        </w:tblPrEx>
        <w:trPr>
          <w:trHeight w:val="448"/>
        </w:trPr>
        <w:tc>
          <w:tcPr>
            <w:tcW w:w="8720" w:type="dxa"/>
            <w:gridSpan w:val="4"/>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第二十条第（五）项</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上一年项目数量</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本年增/减</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处理决定数量</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行政许可</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28</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1782</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其他对外管理服务事项</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720" w:type="dxa"/>
          <w:tblLayout w:type="fixed"/>
          <w:tblLook w:val="04A0"/>
        </w:tblPrEx>
        <w:trPr>
          <w:trHeight w:val="448"/>
        </w:trPr>
        <w:tc>
          <w:tcPr>
            <w:tcW w:w="8720" w:type="dxa"/>
            <w:gridSpan w:val="4"/>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第二十条第（六）项</w:t>
            </w:r>
          </w:p>
        </w:tc>
      </w:tr>
      <w:tr>
        <w:tblPrEx>
          <w:tblW w:w="8720" w:type="dxa"/>
          <w:tblLayout w:type="fixed"/>
          <w:tblLook w:val="04A0"/>
        </w:tblPrEx>
        <w:trPr>
          <w:trHeight w:val="465"/>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上一年项目数量</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本年增/减</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处理决定数量</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行政处罚</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118</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14</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行政强制</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18</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720" w:type="dxa"/>
          <w:tblLayout w:type="fixed"/>
          <w:tblLook w:val="04A0"/>
        </w:tblPrEx>
        <w:trPr>
          <w:trHeight w:val="448"/>
        </w:trPr>
        <w:tc>
          <w:tcPr>
            <w:tcW w:w="8720" w:type="dxa"/>
            <w:gridSpan w:val="4"/>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第二十条第（八）项</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上一年项目数量</w:t>
            </w:r>
          </w:p>
        </w:tc>
        <w:tc>
          <w:tcPr>
            <w:tcW w:w="4360" w:type="dxa"/>
            <w:gridSpan w:val="2"/>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本年增/减</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行政事业性收费</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720" w:type="dxa"/>
          <w:tblLayout w:type="fixed"/>
          <w:tblLook w:val="04A0"/>
        </w:tblPrEx>
        <w:trPr>
          <w:trHeight w:val="448"/>
        </w:trPr>
        <w:tc>
          <w:tcPr>
            <w:tcW w:w="8720" w:type="dxa"/>
            <w:gridSpan w:val="4"/>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第二十条第（九）项</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信息内容</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采购项目数量</w:t>
            </w:r>
          </w:p>
        </w:tc>
        <w:tc>
          <w:tcPr>
            <w:tcW w:w="4360" w:type="dxa"/>
            <w:gridSpan w:val="2"/>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采购总</w:t>
            </w:r>
            <w:r>
              <w:rPr>
                <w:rFonts w:ascii="仿宋_GB2312" w:eastAsia="仿宋_GB2312" w:hAnsi="仿宋_GB2312" w:cs="仿宋_GB2312" w:hint="eastAsia"/>
                <w:sz w:val="30"/>
                <w:szCs w:val="30"/>
              </w:rPr>
              <w:t>金额</w:t>
            </w:r>
          </w:p>
        </w:tc>
      </w:tr>
      <w:tr>
        <w:tblPrEx>
          <w:tblW w:w="8720" w:type="dxa"/>
          <w:tblLayout w:type="fixed"/>
          <w:tblLook w:val="04A0"/>
        </w:tblPrEx>
        <w:trPr>
          <w:trHeight w:val="448"/>
        </w:trPr>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政府集中采购</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2180" w:type="dxa"/>
            <w:vAlign w:val="center"/>
          </w:tcPr>
          <w:p w:rsidR="00690734">
            <w:pPr>
              <w:spacing w:line="3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bl>
    <w:p w:rsidR="00690734">
      <w:pPr>
        <w:numPr>
          <w:ilvl w:val="0"/>
          <w:numId w:val="1"/>
        </w:numPr>
        <w:spacing w:line="560" w:lineRule="exact"/>
        <w:ind w:firstLine="707" w:firstLineChars="221"/>
        <w:rPr>
          <w:rFonts w:ascii="黑体" w:eastAsia="黑体" w:hAnsi="黑体" w:cs="黑体"/>
          <w:sz w:val="32"/>
          <w:szCs w:val="32"/>
        </w:rPr>
      </w:pPr>
      <w:r>
        <w:rPr>
          <w:rFonts w:ascii="黑体" w:eastAsia="黑体" w:hAnsi="黑体" w:cs="黑体" w:hint="eastAsia"/>
          <w:sz w:val="32"/>
          <w:szCs w:val="32"/>
        </w:rPr>
        <w:t>收到和处理政府信息公开申请情况</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846"/>
        <w:gridCol w:w="2943"/>
        <w:gridCol w:w="405"/>
        <w:gridCol w:w="570"/>
        <w:gridCol w:w="510"/>
        <w:gridCol w:w="840"/>
        <w:gridCol w:w="825"/>
        <w:gridCol w:w="416"/>
        <w:gridCol w:w="535"/>
      </w:tblGrid>
      <w:tr>
        <w:tblPrEx>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4519" w:type="dxa"/>
            <w:gridSpan w:val="3"/>
            <w:vMerge w:val="restart"/>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（本列数据的勾</w:t>
            </w:r>
            <w:r>
              <w:rPr>
                <w:rFonts w:ascii="仿宋_GB2312" w:eastAsia="仿宋_GB2312" w:hAnsi="仿宋_GB2312" w:cs="仿宋_GB2312" w:hint="eastAsia"/>
                <w:sz w:val="30"/>
                <w:szCs w:val="30"/>
              </w:rPr>
              <w:t>稽</w:t>
            </w:r>
            <w:r>
              <w:rPr>
                <w:rFonts w:ascii="仿宋_GB2312" w:eastAsia="仿宋_GB2312" w:hAnsi="仿宋_GB2312" w:cs="仿宋_GB2312" w:hint="eastAsia"/>
                <w:sz w:val="30"/>
                <w:szCs w:val="30"/>
              </w:rPr>
              <w:t>关系为：第一项加第二项之和，等于第三项加第四项之和）</w:t>
            </w:r>
          </w:p>
        </w:tc>
        <w:tc>
          <w:tcPr>
            <w:tcW w:w="4101" w:type="dxa"/>
            <w:gridSpan w:val="7"/>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申请人情况</w:t>
            </w:r>
          </w:p>
        </w:tc>
      </w:tr>
      <w:tr>
        <w:tblPrEx>
          <w:tblW w:w="8620" w:type="dxa"/>
          <w:tblLayout w:type="fixed"/>
          <w:tblLook w:val="04A0"/>
        </w:tblPrEx>
        <w:trPr>
          <w:trHeight w:val="410"/>
        </w:trPr>
        <w:tc>
          <w:tcPr>
            <w:tcW w:w="4519" w:type="dxa"/>
            <w:gridSpan w:val="3"/>
            <w:vMerge/>
            <w:vAlign w:val="center"/>
          </w:tcPr>
          <w:p w:rsidR="00690734">
            <w:pPr>
              <w:spacing w:line="360" w:lineRule="exact"/>
              <w:jc w:val="center"/>
              <w:rPr>
                <w:rFonts w:ascii="仿宋_GB2312" w:eastAsia="仿宋_GB2312" w:hAnsi="仿宋_GB2312" w:cs="仿宋_GB2312"/>
                <w:sz w:val="30"/>
                <w:szCs w:val="30"/>
              </w:rPr>
            </w:pPr>
          </w:p>
        </w:tc>
        <w:tc>
          <w:tcPr>
            <w:tcW w:w="405" w:type="dxa"/>
            <w:vMerge w:val="restart"/>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自</w:t>
            </w:r>
          </w:p>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然</w:t>
            </w:r>
          </w:p>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人</w:t>
            </w:r>
          </w:p>
        </w:tc>
        <w:tc>
          <w:tcPr>
            <w:tcW w:w="3161" w:type="dxa"/>
            <w:gridSpan w:val="5"/>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法人或其他组织</w:t>
            </w:r>
          </w:p>
        </w:tc>
        <w:tc>
          <w:tcPr>
            <w:tcW w:w="535" w:type="dxa"/>
            <w:vMerge w:val="restart"/>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w:t>
            </w:r>
          </w:p>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计</w:t>
            </w:r>
          </w:p>
        </w:tc>
      </w:tr>
      <w:tr>
        <w:tblPrEx>
          <w:tblW w:w="8620" w:type="dxa"/>
          <w:tblLayout w:type="fixed"/>
          <w:tblLook w:val="04A0"/>
        </w:tblPrEx>
        <w:trPr>
          <w:trHeight w:val="1649"/>
        </w:trPr>
        <w:tc>
          <w:tcPr>
            <w:tcW w:w="4519" w:type="dxa"/>
            <w:gridSpan w:val="3"/>
            <w:vMerge/>
            <w:vAlign w:val="center"/>
          </w:tcPr>
          <w:p w:rsidR="00690734">
            <w:pPr>
              <w:spacing w:line="360" w:lineRule="exact"/>
              <w:jc w:val="center"/>
              <w:rPr>
                <w:rFonts w:ascii="仿宋_GB2312" w:eastAsia="仿宋_GB2312" w:hAnsi="仿宋_GB2312" w:cs="仿宋_GB2312"/>
                <w:sz w:val="30"/>
                <w:szCs w:val="30"/>
              </w:rPr>
            </w:pPr>
          </w:p>
        </w:tc>
        <w:tc>
          <w:tcPr>
            <w:tcW w:w="405" w:type="dxa"/>
            <w:vMerge/>
            <w:vAlign w:val="center"/>
          </w:tcPr>
          <w:p w:rsidR="00690734">
            <w:pPr>
              <w:spacing w:line="360" w:lineRule="exact"/>
              <w:jc w:val="center"/>
              <w:rPr>
                <w:rFonts w:ascii="仿宋_GB2312" w:eastAsia="仿宋_GB2312" w:hAnsi="仿宋_GB2312" w:cs="仿宋_GB2312"/>
                <w:sz w:val="30"/>
                <w:szCs w:val="30"/>
              </w:rPr>
            </w:pP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商业企业</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科研机构</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社会公益组织</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法律服务机构</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其他</w:t>
            </w:r>
          </w:p>
        </w:tc>
        <w:tc>
          <w:tcPr>
            <w:tcW w:w="535" w:type="dxa"/>
            <w:vMerge/>
            <w:vAlign w:val="center"/>
          </w:tcPr>
          <w:p w:rsidR="00690734">
            <w:pPr>
              <w:spacing w:line="360" w:lineRule="exact"/>
              <w:jc w:val="center"/>
              <w:rPr>
                <w:rFonts w:ascii="仿宋_GB2312" w:eastAsia="仿宋_GB2312" w:hAnsi="仿宋_GB2312" w:cs="仿宋_GB2312"/>
                <w:sz w:val="30"/>
                <w:szCs w:val="30"/>
              </w:rPr>
            </w:pPr>
          </w:p>
        </w:tc>
      </w:tr>
      <w:tr>
        <w:tblPrEx>
          <w:tblW w:w="8620" w:type="dxa"/>
          <w:tblLayout w:type="fixed"/>
          <w:tblLook w:val="04A0"/>
        </w:tblPrEx>
        <w:trPr>
          <w:trHeight w:val="545"/>
        </w:trPr>
        <w:tc>
          <w:tcPr>
            <w:tcW w:w="4519" w:type="dxa"/>
            <w:gridSpan w:val="3"/>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一、本年新收政府信息公开申请数量</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rPr>
          <w:trHeight w:val="575"/>
        </w:trPr>
        <w:tc>
          <w:tcPr>
            <w:tcW w:w="4519" w:type="dxa"/>
            <w:gridSpan w:val="3"/>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二、上年结转政府信息公开申请数量</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rPr>
          <w:trHeight w:val="410"/>
        </w:trPr>
        <w:tc>
          <w:tcPr>
            <w:tcW w:w="730" w:type="dxa"/>
            <w:vMerge w:val="restart"/>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三、本年度办理结果</w:t>
            </w:r>
          </w:p>
        </w:tc>
        <w:tc>
          <w:tcPr>
            <w:tcW w:w="3789" w:type="dxa"/>
            <w:gridSpan w:val="2"/>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（一）予以公开</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rPr>
          <w:trHeight w:val="1210"/>
        </w:trPr>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3789" w:type="dxa"/>
            <w:gridSpan w:val="2"/>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（二）部分公开（区分处理的，只计这一情形，不计其他情形）</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restart"/>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（三）不予公开</w:t>
            </w: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w w:val="90"/>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w w:val="90"/>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restart"/>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（四）无法提供</w:t>
            </w: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restart"/>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（五）</w:t>
            </w:r>
            <w:r>
              <w:rPr>
                <w:rFonts w:ascii="仿宋_GB2312" w:eastAsia="仿宋_GB2312" w:hAnsi="仿宋_GB2312" w:cs="仿宋_GB2312" w:hint="eastAsia"/>
                <w:sz w:val="30"/>
                <w:szCs w:val="30"/>
              </w:rPr>
              <w:t>不予处理</w:t>
            </w: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4、无正当理由大量反复申请</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846" w:type="dxa"/>
            <w:vMerge/>
            <w:vAlign w:val="center"/>
          </w:tcPr>
          <w:p w:rsidR="00690734">
            <w:pPr>
              <w:spacing w:line="360" w:lineRule="exact"/>
              <w:jc w:val="center"/>
              <w:rPr>
                <w:rFonts w:ascii="仿宋_GB2312" w:eastAsia="仿宋_GB2312" w:hAnsi="仿宋_GB2312" w:cs="仿宋_GB2312"/>
                <w:sz w:val="30"/>
                <w:szCs w:val="30"/>
              </w:rPr>
            </w:pPr>
          </w:p>
        </w:tc>
        <w:tc>
          <w:tcPr>
            <w:tcW w:w="2943"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w w:val="90"/>
                <w:sz w:val="30"/>
                <w:szCs w:val="30"/>
              </w:rPr>
              <w:t>5、要求行政机关确认或重新出具已获取信息</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rPr>
          <w:trHeight w:val="410"/>
        </w:trPr>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3789" w:type="dxa"/>
            <w:gridSpan w:val="2"/>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（六）其他处理</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c>
          <w:tcPr>
            <w:tcW w:w="730" w:type="dxa"/>
            <w:vMerge/>
            <w:vAlign w:val="center"/>
          </w:tcPr>
          <w:p w:rsidR="00690734">
            <w:pPr>
              <w:spacing w:line="360" w:lineRule="exact"/>
              <w:jc w:val="center"/>
              <w:rPr>
                <w:rFonts w:ascii="仿宋_GB2312" w:eastAsia="仿宋_GB2312" w:hAnsi="仿宋_GB2312" w:cs="仿宋_GB2312"/>
                <w:sz w:val="30"/>
                <w:szCs w:val="30"/>
              </w:rPr>
            </w:pPr>
          </w:p>
        </w:tc>
        <w:tc>
          <w:tcPr>
            <w:tcW w:w="3789" w:type="dxa"/>
            <w:gridSpan w:val="2"/>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（七）总计</w:t>
            </w:r>
          </w:p>
        </w:tc>
        <w:tc>
          <w:tcPr>
            <w:tcW w:w="40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1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40"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825"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416" w:type="dxa"/>
            <w:vAlign w:val="center"/>
          </w:tcPr>
          <w:p w:rsidR="00690734">
            <w:pPr>
              <w:spacing w:line="3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35" w:type="dxa"/>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r>
        <w:tblPrEx>
          <w:tblW w:w="8620" w:type="dxa"/>
          <w:tblLayout w:type="fixed"/>
          <w:tblLook w:val="04A0"/>
        </w:tblPrEx>
        <w:trPr>
          <w:trHeight w:val="422"/>
        </w:trPr>
        <w:tc>
          <w:tcPr>
            <w:tcW w:w="8620" w:type="dxa"/>
            <w:gridSpan w:val="10"/>
            <w:vAlign w:val="center"/>
          </w:tcPr>
          <w:p w:rsidR="00690734">
            <w:pPr>
              <w:spacing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四、结转下年度继续办理</w:t>
            </w:r>
          </w:p>
        </w:tc>
      </w:tr>
    </w:tbl>
    <w:p w:rsidR="00690734">
      <w:pPr>
        <w:spacing w:line="560" w:lineRule="exact"/>
        <w:ind w:firstLine="707" w:firstLineChars="221"/>
        <w:rPr>
          <w:rFonts w:ascii="黑体" w:eastAsia="黑体" w:hAnsi="黑体" w:cs="黑体"/>
          <w:sz w:val="32"/>
          <w:szCs w:val="32"/>
        </w:rPr>
      </w:pPr>
      <w:r>
        <w:rPr>
          <w:rFonts w:ascii="黑体" w:eastAsia="黑体" w:hAnsi="黑体" w:cs="黑体" w:hint="eastAsia"/>
          <w:sz w:val="32"/>
          <w:szCs w:val="32"/>
        </w:rPr>
        <w:t>四、政府信息公开行政复议、行政诉讼情况</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588"/>
        <w:gridCol w:w="586"/>
        <w:gridCol w:w="587"/>
        <w:gridCol w:w="586"/>
        <w:gridCol w:w="585"/>
        <w:gridCol w:w="587"/>
        <w:gridCol w:w="587"/>
        <w:gridCol w:w="587"/>
        <w:gridCol w:w="584"/>
        <w:gridCol w:w="581"/>
        <w:gridCol w:w="581"/>
        <w:gridCol w:w="581"/>
        <w:gridCol w:w="578"/>
        <w:gridCol w:w="578"/>
      </w:tblGrid>
      <w:tr>
        <w:tblPrEx>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trPr>
        <w:tc>
          <w:tcPr>
            <w:tcW w:w="2931" w:type="dxa"/>
            <w:gridSpan w:val="5"/>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行政复议</w:t>
            </w:r>
          </w:p>
        </w:tc>
        <w:tc>
          <w:tcPr>
            <w:tcW w:w="5829" w:type="dxa"/>
            <w:gridSpan w:val="10"/>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行政诉讼</w:t>
            </w:r>
          </w:p>
        </w:tc>
      </w:tr>
      <w:tr>
        <w:tblPrEx>
          <w:tblW w:w="8760" w:type="dxa"/>
          <w:tblLayout w:type="fixed"/>
          <w:tblLook w:val="04A0"/>
        </w:tblPrEx>
        <w:trPr>
          <w:trHeight w:val="633"/>
        </w:trPr>
        <w:tc>
          <w:tcPr>
            <w:tcW w:w="584" w:type="dxa"/>
            <w:vMerge w:val="restart"/>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w:t>
            </w:r>
            <w:r>
              <w:rPr>
                <w:rFonts w:ascii="仿宋_GB2312" w:eastAsia="仿宋_GB2312" w:hAnsi="仿宋_GB2312" w:cs="仿宋_GB2312" w:hint="eastAsia"/>
                <w:sz w:val="30"/>
                <w:szCs w:val="30"/>
              </w:rPr>
              <w:t>果维持</w:t>
            </w:r>
          </w:p>
        </w:tc>
        <w:tc>
          <w:tcPr>
            <w:tcW w:w="588" w:type="dxa"/>
            <w:vMerge w:val="restart"/>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w:t>
            </w:r>
            <w:r>
              <w:rPr>
                <w:rFonts w:ascii="仿宋_GB2312" w:eastAsia="仿宋_GB2312" w:hAnsi="仿宋_GB2312" w:cs="仿宋_GB2312" w:hint="eastAsia"/>
                <w:sz w:val="30"/>
                <w:szCs w:val="30"/>
              </w:rPr>
              <w:t>果纠正</w:t>
            </w:r>
          </w:p>
        </w:tc>
        <w:tc>
          <w:tcPr>
            <w:tcW w:w="586" w:type="dxa"/>
            <w:vMerge w:val="restart"/>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w:t>
            </w:r>
            <w:r>
              <w:rPr>
                <w:rFonts w:ascii="仿宋_GB2312" w:eastAsia="仿宋_GB2312" w:hAnsi="仿宋_GB2312" w:cs="仿宋_GB2312" w:hint="eastAsia"/>
                <w:sz w:val="30"/>
                <w:szCs w:val="30"/>
              </w:rPr>
              <w:t>他结果</w:t>
            </w:r>
          </w:p>
        </w:tc>
        <w:tc>
          <w:tcPr>
            <w:tcW w:w="587" w:type="dxa"/>
            <w:vMerge w:val="restart"/>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尚</w:t>
            </w:r>
            <w:r>
              <w:rPr>
                <w:rFonts w:ascii="仿宋_GB2312" w:eastAsia="仿宋_GB2312" w:hAnsi="仿宋_GB2312" w:cs="仿宋_GB2312" w:hint="eastAsia"/>
                <w:sz w:val="30"/>
                <w:szCs w:val="30"/>
              </w:rPr>
              <w:t>未审结</w:t>
            </w:r>
          </w:p>
        </w:tc>
        <w:tc>
          <w:tcPr>
            <w:tcW w:w="586" w:type="dxa"/>
            <w:vMerge w:val="restart"/>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w:t>
            </w:r>
            <w:r>
              <w:rPr>
                <w:rFonts w:ascii="仿宋_GB2312" w:eastAsia="仿宋_GB2312" w:hAnsi="仿宋_GB2312" w:cs="仿宋_GB2312" w:hint="eastAsia"/>
                <w:sz w:val="30"/>
                <w:szCs w:val="30"/>
              </w:rPr>
              <w:t>计</w:t>
            </w:r>
          </w:p>
        </w:tc>
        <w:tc>
          <w:tcPr>
            <w:tcW w:w="2930" w:type="dxa"/>
            <w:gridSpan w:val="5"/>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未经复议直接起诉</w:t>
            </w:r>
          </w:p>
        </w:tc>
        <w:tc>
          <w:tcPr>
            <w:tcW w:w="2899" w:type="dxa"/>
            <w:gridSpan w:val="5"/>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复议后起诉</w:t>
            </w:r>
          </w:p>
        </w:tc>
      </w:tr>
      <w:tr>
        <w:tblPrEx>
          <w:tblW w:w="8760" w:type="dxa"/>
          <w:tblLayout w:type="fixed"/>
          <w:tblLook w:val="04A0"/>
        </w:tblPrEx>
        <w:trPr>
          <w:trHeight w:val="2282"/>
        </w:trPr>
        <w:tc>
          <w:tcPr>
            <w:tcW w:w="584" w:type="dxa"/>
            <w:vMerge/>
            <w:vAlign w:val="center"/>
          </w:tcPr>
          <w:p w:rsidR="00690734">
            <w:pPr>
              <w:spacing w:line="560" w:lineRule="exact"/>
              <w:jc w:val="center"/>
              <w:rPr>
                <w:rFonts w:ascii="仿宋_GB2312" w:eastAsia="仿宋_GB2312" w:hAnsi="仿宋_GB2312" w:cs="仿宋_GB2312"/>
                <w:sz w:val="30"/>
                <w:szCs w:val="30"/>
              </w:rPr>
            </w:pPr>
          </w:p>
        </w:tc>
        <w:tc>
          <w:tcPr>
            <w:tcW w:w="588" w:type="dxa"/>
            <w:vMerge/>
            <w:vAlign w:val="center"/>
          </w:tcPr>
          <w:p w:rsidR="00690734">
            <w:pPr>
              <w:spacing w:line="560" w:lineRule="exact"/>
              <w:jc w:val="center"/>
              <w:rPr>
                <w:rFonts w:ascii="仿宋_GB2312" w:eastAsia="仿宋_GB2312" w:hAnsi="仿宋_GB2312" w:cs="仿宋_GB2312"/>
                <w:sz w:val="30"/>
                <w:szCs w:val="30"/>
              </w:rPr>
            </w:pPr>
          </w:p>
        </w:tc>
        <w:tc>
          <w:tcPr>
            <w:tcW w:w="586" w:type="dxa"/>
            <w:vMerge/>
            <w:vAlign w:val="center"/>
          </w:tcPr>
          <w:p w:rsidR="00690734">
            <w:pPr>
              <w:spacing w:line="560" w:lineRule="exact"/>
              <w:jc w:val="center"/>
              <w:rPr>
                <w:rFonts w:ascii="仿宋_GB2312" w:eastAsia="仿宋_GB2312" w:hAnsi="仿宋_GB2312" w:cs="仿宋_GB2312"/>
                <w:sz w:val="30"/>
                <w:szCs w:val="30"/>
              </w:rPr>
            </w:pPr>
          </w:p>
        </w:tc>
        <w:tc>
          <w:tcPr>
            <w:tcW w:w="587" w:type="dxa"/>
            <w:vMerge/>
            <w:vAlign w:val="center"/>
          </w:tcPr>
          <w:p w:rsidR="00690734">
            <w:pPr>
              <w:spacing w:line="560" w:lineRule="exact"/>
              <w:jc w:val="center"/>
              <w:rPr>
                <w:rFonts w:ascii="仿宋_GB2312" w:eastAsia="仿宋_GB2312" w:hAnsi="仿宋_GB2312" w:cs="仿宋_GB2312"/>
                <w:sz w:val="30"/>
                <w:szCs w:val="30"/>
              </w:rPr>
            </w:pPr>
          </w:p>
        </w:tc>
        <w:tc>
          <w:tcPr>
            <w:tcW w:w="586" w:type="dxa"/>
            <w:vMerge/>
            <w:vAlign w:val="center"/>
          </w:tcPr>
          <w:p w:rsidR="00690734">
            <w:pPr>
              <w:spacing w:line="560" w:lineRule="exact"/>
              <w:jc w:val="center"/>
              <w:rPr>
                <w:rFonts w:ascii="仿宋_GB2312" w:eastAsia="仿宋_GB2312" w:hAnsi="仿宋_GB2312" w:cs="仿宋_GB2312"/>
                <w:sz w:val="30"/>
                <w:szCs w:val="30"/>
              </w:rPr>
            </w:pPr>
          </w:p>
        </w:tc>
        <w:tc>
          <w:tcPr>
            <w:tcW w:w="585"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结果维持</w:t>
            </w:r>
          </w:p>
        </w:tc>
        <w:tc>
          <w:tcPr>
            <w:tcW w:w="587"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结果纠正</w:t>
            </w:r>
          </w:p>
        </w:tc>
        <w:tc>
          <w:tcPr>
            <w:tcW w:w="587"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其他结果</w:t>
            </w:r>
          </w:p>
        </w:tc>
        <w:tc>
          <w:tcPr>
            <w:tcW w:w="587"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尚未审结</w:t>
            </w:r>
          </w:p>
        </w:tc>
        <w:tc>
          <w:tcPr>
            <w:tcW w:w="584"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总计</w:t>
            </w:r>
          </w:p>
        </w:tc>
        <w:tc>
          <w:tcPr>
            <w:tcW w:w="581"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结果维持</w:t>
            </w:r>
          </w:p>
        </w:tc>
        <w:tc>
          <w:tcPr>
            <w:tcW w:w="581"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结果纠正</w:t>
            </w:r>
          </w:p>
        </w:tc>
        <w:tc>
          <w:tcPr>
            <w:tcW w:w="581"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其他结果</w:t>
            </w:r>
          </w:p>
        </w:tc>
        <w:tc>
          <w:tcPr>
            <w:tcW w:w="578"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尚未审结</w:t>
            </w:r>
          </w:p>
        </w:tc>
        <w:tc>
          <w:tcPr>
            <w:tcW w:w="578"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总计</w:t>
            </w:r>
          </w:p>
        </w:tc>
      </w:tr>
      <w:tr>
        <w:tblPrEx>
          <w:tblW w:w="8760" w:type="dxa"/>
          <w:tblLayout w:type="fixed"/>
          <w:tblLook w:val="04A0"/>
        </w:tblPrEx>
        <w:trPr>
          <w:trHeight w:val="833"/>
        </w:trPr>
        <w:tc>
          <w:tcPr>
            <w:tcW w:w="584"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8"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6"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7"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6"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5"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7"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7"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7"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4"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1"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1"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81"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8"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c>
          <w:tcPr>
            <w:tcW w:w="578" w:type="dxa"/>
            <w:vAlign w:val="center"/>
          </w:tcPr>
          <w:p w:rsidR="00690734">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p>
        </w:tc>
      </w:tr>
    </w:tbl>
    <w:p w:rsidR="00690734">
      <w:pPr>
        <w:spacing w:line="560" w:lineRule="exact"/>
        <w:ind w:firstLine="707" w:firstLineChars="221"/>
        <w:rPr>
          <w:rFonts w:ascii="黑体" w:eastAsia="黑体" w:hAnsi="黑体" w:cs="黑体"/>
          <w:sz w:val="32"/>
          <w:szCs w:val="32"/>
        </w:rPr>
      </w:pPr>
      <w:r>
        <w:rPr>
          <w:rFonts w:ascii="黑体" w:eastAsia="黑体" w:hAnsi="黑体" w:cs="黑体" w:hint="eastAsia"/>
          <w:sz w:val="32"/>
          <w:szCs w:val="32"/>
        </w:rPr>
        <w:t>五、存在的主要问题及改进情况</w:t>
      </w:r>
    </w:p>
    <w:p w:rsidR="00690734">
      <w:pPr>
        <w:pStyle w:val="NormalWeb"/>
        <w:widowControl/>
        <w:shd w:val="clear" w:color="auto" w:fill="FFFFFF"/>
        <w:spacing w:beforeAutospacing="0" w:afterAutospacing="0" w:line="579" w:lineRule="atLeast"/>
        <w:ind w:firstLine="640"/>
        <w:textAlignment w:val="baseline"/>
        <w:rPr>
          <w:rFonts w:ascii="Calibri" w:hAnsi="Calibri" w:cs="Calibri"/>
          <w:color w:val="000000"/>
          <w:sz w:val="21"/>
          <w:szCs w:val="21"/>
        </w:rPr>
      </w:pPr>
      <w:r>
        <w:rPr>
          <w:rFonts w:ascii="楷体" w:eastAsia="楷体" w:hAnsi="楷体" w:cs="楷体"/>
          <w:color w:val="000000"/>
          <w:sz w:val="32"/>
          <w:szCs w:val="32"/>
          <w:shd w:val="clear" w:color="auto" w:fill="FFFFFF"/>
        </w:rPr>
        <w:t>（一）存在的问题。</w:t>
      </w:r>
      <w:r>
        <w:rPr>
          <w:rFonts w:ascii="仿宋" w:eastAsia="仿宋" w:hAnsi="仿宋" w:cs="仿宋"/>
          <w:color w:val="000000"/>
          <w:sz w:val="32"/>
          <w:szCs w:val="32"/>
          <w:shd w:val="clear" w:color="auto" w:fill="FFFFFF"/>
        </w:rPr>
        <w:t>政</w:t>
      </w:r>
      <w:r>
        <w:rPr>
          <w:rFonts w:ascii="仿宋" w:eastAsia="仿宋" w:hAnsi="仿宋" w:cs="仿宋" w:hint="eastAsia"/>
          <w:color w:val="000000"/>
          <w:sz w:val="32"/>
          <w:szCs w:val="32"/>
          <w:shd w:val="clear" w:color="auto" w:fill="FFFFFF"/>
        </w:rPr>
        <w:t>务</w:t>
      </w:r>
      <w:r>
        <w:rPr>
          <w:rFonts w:ascii="仿宋" w:eastAsia="仿宋" w:hAnsi="仿宋" w:cs="仿宋"/>
          <w:color w:val="000000"/>
          <w:sz w:val="32"/>
          <w:szCs w:val="32"/>
          <w:shd w:val="clear" w:color="auto" w:fill="FFFFFF"/>
        </w:rPr>
        <w:t>信息公开的形式</w:t>
      </w:r>
      <w:r>
        <w:rPr>
          <w:rFonts w:ascii="仿宋" w:eastAsia="仿宋" w:hAnsi="仿宋" w:cs="仿宋" w:hint="eastAsia"/>
          <w:color w:val="000000"/>
          <w:sz w:val="32"/>
          <w:szCs w:val="32"/>
          <w:shd w:val="clear" w:color="auto" w:fill="FFFFFF"/>
        </w:rPr>
        <w:t>仍</w:t>
      </w:r>
      <w:r>
        <w:rPr>
          <w:rFonts w:ascii="仿宋" w:eastAsia="仿宋" w:hAnsi="仿宋" w:cs="仿宋"/>
          <w:color w:val="000000"/>
          <w:sz w:val="32"/>
          <w:szCs w:val="32"/>
          <w:shd w:val="clear" w:color="auto" w:fill="FFFFFF"/>
        </w:rPr>
        <w:t>不够丰富，内容有待进一步</w:t>
      </w:r>
      <w:r>
        <w:rPr>
          <w:rFonts w:ascii="仿宋" w:eastAsia="仿宋" w:hAnsi="仿宋" w:cs="仿宋" w:hint="eastAsia"/>
          <w:color w:val="000000"/>
          <w:sz w:val="32"/>
          <w:szCs w:val="32"/>
          <w:shd w:val="clear" w:color="auto" w:fill="FFFFFF"/>
        </w:rPr>
        <w:t>充实完善</w:t>
      </w:r>
      <w:r>
        <w:rPr>
          <w:rFonts w:ascii="仿宋" w:eastAsia="仿宋" w:hAnsi="仿宋" w:cs="仿宋"/>
          <w:color w:val="000000"/>
          <w:sz w:val="32"/>
          <w:szCs w:val="32"/>
          <w:shd w:val="clear" w:color="auto" w:fill="FFFFFF"/>
        </w:rPr>
        <w:t>。对政策解读、重点工作的系统性宣传有待进一步加强，信息公开内容有待于进一步规范。</w:t>
      </w:r>
    </w:p>
    <w:p w:rsidR="00690734">
      <w:pPr>
        <w:pStyle w:val="NormalWeb"/>
        <w:widowControl/>
        <w:shd w:val="clear" w:color="auto" w:fill="FFFFFF"/>
        <w:spacing w:beforeAutospacing="0" w:afterAutospacing="0" w:line="579" w:lineRule="atLeast"/>
        <w:ind w:firstLine="640"/>
        <w:jc w:val="both"/>
        <w:textAlignment w:val="baseline"/>
        <w:rPr>
          <w:rFonts w:ascii="Calibri" w:hAnsi="Calibri" w:cs="Calibri"/>
          <w:color w:val="000000"/>
          <w:sz w:val="21"/>
          <w:szCs w:val="21"/>
        </w:rPr>
      </w:pPr>
      <w:r>
        <w:rPr>
          <w:rFonts w:ascii="楷体" w:eastAsia="楷体" w:hAnsi="楷体" w:cs="楷体" w:hint="eastAsia"/>
          <w:color w:val="000000"/>
          <w:sz w:val="32"/>
          <w:szCs w:val="32"/>
          <w:shd w:val="clear" w:color="auto" w:fill="FFFFFF"/>
        </w:rPr>
        <w:t>（二）改进措施。</w:t>
      </w:r>
      <w:r>
        <w:rPr>
          <w:rFonts w:ascii="仿宋" w:eastAsia="仿宋" w:hAnsi="仿宋" w:cs="仿宋" w:hint="eastAsia"/>
          <w:color w:val="000000"/>
          <w:sz w:val="32"/>
          <w:szCs w:val="32"/>
          <w:shd w:val="clear" w:color="auto" w:fill="FFFFFF"/>
        </w:rPr>
        <w:t>一是进一步扩大政务信息公开范围、规范政务信息公开措施、严格执行政务信息公开制度、丰富政府信息公开形式，全力提升政务公开水平，积极服务广大人民群众；二是进一步加大政务信息主动公开力度，全面贯彻落实上级部门的要求，对需要社会公众广泛知晓或者参与的，采取适当的形式，及时主动予以公开。</w:t>
      </w:r>
    </w:p>
    <w:p w:rsidR="00690734">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六、其他需要报告的事项</w:t>
      </w:r>
    </w:p>
    <w:p w:rsidR="00690734">
      <w:pPr>
        <w:tabs>
          <w:tab w:val="left" w:pos="5835"/>
        </w:tabs>
        <w:spacing w:line="560" w:lineRule="exact"/>
        <w:ind w:left="-142" w:firstLine="848" w:firstLineChars="265"/>
        <w:rPr>
          <w:rFonts w:ascii="仿宋_GB2312" w:eastAsia="仿宋_GB2312" w:hAnsi="仿宋_GB2312" w:cs="仿宋_GB2312"/>
          <w:sz w:val="32"/>
          <w:szCs w:val="32"/>
        </w:rPr>
      </w:pPr>
      <w:r>
        <w:rPr>
          <w:rFonts w:ascii="仿宋" w:eastAsia="仿宋" w:hAnsi="仿宋" w:cs="仿宋"/>
          <w:color w:val="000000"/>
          <w:sz w:val="32"/>
          <w:szCs w:val="32"/>
          <w:shd w:val="clear" w:color="auto" w:fill="FFFFFF"/>
        </w:rPr>
        <w:t>无</w:t>
      </w:r>
      <w:r>
        <w:rPr>
          <w:rFonts w:ascii="仿宋_GB2312" w:eastAsia="仿宋_GB2312" w:hAnsi="仿宋_GB2312" w:cs="仿宋_GB2312"/>
          <w:sz w:val="32"/>
          <w:szCs w:val="32"/>
        </w:rPr>
        <w:tab/>
      </w:r>
    </w:p>
    <w:p w:rsidR="00690734">
      <w:pPr>
        <w:spacing w:line="560" w:lineRule="exact"/>
        <w:ind w:left="-142" w:firstLine="848" w:firstLineChars="265"/>
        <w:rPr>
          <w:rFonts w:ascii="仿宋_GB2312" w:eastAsia="仿宋_GB2312" w:hAnsi="仿宋_GB2312" w:cs="仿宋_GB2312"/>
          <w:sz w:val="32"/>
          <w:szCs w:val="32"/>
        </w:rPr>
      </w:pPr>
    </w:p>
    <w:p w:rsidR="00690734">
      <w:pPr>
        <w:spacing w:line="560" w:lineRule="exact"/>
        <w:ind w:left="-142" w:firstLine="848" w:firstLineChars="265"/>
        <w:rPr>
          <w:rFonts w:ascii="仿宋_GB2312" w:eastAsia="仿宋_GB2312" w:hAnsi="仿宋_GB2312" w:cs="仿宋_GB2312"/>
          <w:sz w:val="32"/>
          <w:szCs w:val="32"/>
        </w:rPr>
      </w:pPr>
    </w:p>
    <w:p w:rsidR="00690734">
      <w:pPr>
        <w:spacing w:line="560" w:lineRule="exact"/>
        <w:ind w:left="-142" w:firstLine="848" w:firstLineChars="265"/>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90734"/>
    <w:sectPr w:rsidSect="00690734">
      <w:pgSz w:w="11906" w:h="16838"/>
      <w:pgMar w:top="1417" w:right="1417" w:bottom="1417" w:left="141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76735"/>
    <w:multiLevelType w:val="singleLevel"/>
    <w:tmpl w:val="4B676735"/>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21C6"/>
    <w:rsid w:val="000603AD"/>
    <w:rsid w:val="00076C3C"/>
    <w:rsid w:val="000D662A"/>
    <w:rsid w:val="0029194C"/>
    <w:rsid w:val="00511D0B"/>
    <w:rsid w:val="0059025B"/>
    <w:rsid w:val="00647095"/>
    <w:rsid w:val="00690734"/>
    <w:rsid w:val="006C2B75"/>
    <w:rsid w:val="006D338C"/>
    <w:rsid w:val="006D4DC3"/>
    <w:rsid w:val="007739B3"/>
    <w:rsid w:val="008A3999"/>
    <w:rsid w:val="00915A0B"/>
    <w:rsid w:val="009348EA"/>
    <w:rsid w:val="00AF54E9"/>
    <w:rsid w:val="00B63097"/>
    <w:rsid w:val="00CF2608"/>
    <w:rsid w:val="00D349F5"/>
    <w:rsid w:val="00D621C6"/>
    <w:rsid w:val="00D62403"/>
    <w:rsid w:val="00DC14E5"/>
    <w:rsid w:val="00E33F2A"/>
    <w:rsid w:val="00FD5DF7"/>
    <w:rsid w:val="02895699"/>
    <w:rsid w:val="156B3977"/>
    <w:rsid w:val="5006543F"/>
    <w:rsid w:val="68F93179"/>
    <w:rsid w:val="78B63C9F"/>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34"/>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Char"/>
    <w:qFormat/>
    <w:rsid w:val="00690734"/>
    <w:rPr>
      <w:rFonts w:ascii="宋体" w:hAnsi="Courier New" w:cs="Courier New"/>
      <w:szCs w:val="21"/>
    </w:rPr>
  </w:style>
  <w:style w:type="paragraph" w:styleId="Footer">
    <w:name w:val="footer"/>
    <w:basedOn w:val="Normal"/>
    <w:link w:val="Char1"/>
    <w:uiPriority w:val="99"/>
    <w:semiHidden/>
    <w:unhideWhenUsed/>
    <w:qFormat/>
    <w:rsid w:val="00690734"/>
    <w:pPr>
      <w:tabs>
        <w:tab w:val="center" w:pos="4153"/>
        <w:tab w:val="right" w:pos="8306"/>
      </w:tabs>
      <w:snapToGrid w:val="0"/>
      <w:jc w:val="left"/>
    </w:pPr>
    <w:rPr>
      <w:sz w:val="18"/>
      <w:szCs w:val="18"/>
    </w:rPr>
  </w:style>
  <w:style w:type="paragraph" w:styleId="Header">
    <w:name w:val="header"/>
    <w:basedOn w:val="Normal"/>
    <w:link w:val="Char0"/>
    <w:uiPriority w:val="99"/>
    <w:semiHidden/>
    <w:unhideWhenUsed/>
    <w:rsid w:val="00690734"/>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690734"/>
    <w:pPr>
      <w:spacing w:beforeAutospacing="1" w:afterAutospacing="1"/>
      <w:jc w:val="left"/>
    </w:pPr>
    <w:rPr>
      <w:kern w:val="0"/>
      <w:sz w:val="24"/>
    </w:rPr>
  </w:style>
  <w:style w:type="character" w:customStyle="1" w:styleId="Char">
    <w:name w:val="纯文本 Char"/>
    <w:basedOn w:val="DefaultParagraphFont"/>
    <w:link w:val="PlainText"/>
    <w:qFormat/>
    <w:rsid w:val="00690734"/>
    <w:rPr>
      <w:rFonts w:ascii="宋体" w:eastAsia="宋体" w:hAnsi="Courier New" w:cs="Courier New"/>
      <w:szCs w:val="21"/>
    </w:rPr>
  </w:style>
  <w:style w:type="character" w:customStyle="1" w:styleId="Char0">
    <w:name w:val="页眉 Char"/>
    <w:basedOn w:val="DefaultParagraphFont"/>
    <w:link w:val="Header"/>
    <w:uiPriority w:val="99"/>
    <w:semiHidden/>
    <w:rsid w:val="00690734"/>
    <w:rPr>
      <w:rFonts w:ascii="Times New Roman" w:eastAsia="宋体" w:hAnsi="Times New Roman" w:cs="Times New Roman"/>
      <w:sz w:val="18"/>
      <w:szCs w:val="18"/>
    </w:rPr>
  </w:style>
  <w:style w:type="character" w:customStyle="1" w:styleId="Char1">
    <w:name w:val="页脚 Char"/>
    <w:basedOn w:val="DefaultParagraphFont"/>
    <w:link w:val="Footer"/>
    <w:uiPriority w:val="99"/>
    <w:semiHidden/>
    <w:qFormat/>
    <w:rsid w:val="0069073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2A5A5-A78C-443C-8F26-582C283F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zhangzudong</cp:lastModifiedBy>
  <cp:revision>9</cp:revision>
  <cp:lastPrinted>2021-01-27T10:18:00Z</cp:lastPrinted>
  <dcterms:created xsi:type="dcterms:W3CDTF">2021-01-16T08:29:00Z</dcterms:created>
  <dcterms:modified xsi:type="dcterms:W3CDTF">2021-01-27T11:17:00Z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