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0B0C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乌苏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交通运输局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0B0CCE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</w:p>
    <w:p w:rsidR="000B0CCE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:rsidR="000B0CCE">
      <w:pPr>
        <w:spacing w:line="56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（一）加强组织领导，落实具体责任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乌苏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交通运输部门承担着全市农村公路项目建设重要任务，</w:t>
      </w:r>
      <w:r>
        <w:rPr>
          <w:rFonts w:ascii="仿宋_GB2312" w:eastAsia="仿宋_GB2312" w:hint="eastAsia"/>
          <w:color w:val="000000"/>
          <w:sz w:val="32"/>
          <w:szCs w:val="32"/>
        </w:rPr>
        <w:t>承担</w:t>
      </w:r>
      <w:r>
        <w:rPr>
          <w:rFonts w:ascii="仿宋_GB2312" w:eastAsia="仿宋_GB2312" w:hint="eastAsia"/>
          <w:color w:val="000000"/>
          <w:sz w:val="32"/>
          <w:szCs w:val="32"/>
        </w:rPr>
        <w:t>全市</w:t>
      </w:r>
      <w:r>
        <w:rPr>
          <w:rFonts w:ascii="仿宋_GB2312" w:eastAsia="仿宋_GB2312" w:hint="eastAsia"/>
          <w:color w:val="000000"/>
          <w:sz w:val="32"/>
          <w:szCs w:val="32"/>
        </w:rPr>
        <w:t>农村公路建设市场监管职责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致力解决阻碍人民群众在“行”方面存在的问题，交通运输的现状和发展备受各界关注。因此，开展好政务服务和政务信息公开工作显得尤为重要。为了确保政务服务和信息工作落实落地，我局加强组织领导，并指派专人负责信息公开日常工作，使具体任务落实到具体责任人，借助信息化手段有效整合政务公开任务体系和公开渠道，确保政务信息公开工作扎实稳进。</w:t>
      </w:r>
    </w:p>
    <w:p w:rsidR="000B0CCE">
      <w:pPr>
        <w:spacing w:line="56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（二）完善规章制度，健全工作机制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增强政务公开的深度和广度，确保政务信息公开工作取得实效，我局遵循“全面、及时、准确、规范”的要求，在原有的工作基础上，进一步完善规章制度。一是由局办公室牵头，对局属和各科室的公开内容进行审定，建立健全公开制度，同时设立政务公开信箱、群众监督投诉信箱和公开查询电话，做到对群众反映的问题“件件有回应，事事有着落”；二是健全政务公开栏，及时公布政务公开内容。让群众了解单位职责和分工、办事程序和时限、办事依据和要求；除了涉及明确规定要保密的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外，应该公开的工作和事务全部列入公</w:t>
      </w:r>
      <w:r>
        <w:rPr>
          <w:rFonts w:ascii="仿宋_GB2312" w:eastAsia="仿宋_GB2312" w:hAnsi="仿宋_GB2312" w:cs="仿宋_GB2312" w:hint="eastAsia"/>
          <w:sz w:val="32"/>
          <w:szCs w:val="32"/>
        </w:rPr>
        <w:t>开内容。三是及时更新信息公开指南和信息公开目录。根据《中华人民共和国政府信息公开条例》，依法及时公开交通运输相关的政策规章、管理制度、业务流程、办事程序和投诉监督办法等重要内容；依照“公开为原则、不公开为例外”的要求，做到该保密的保密，该公开的公开。</w:t>
      </w:r>
    </w:p>
    <w:p w:rsidR="000B0CCE">
      <w:pPr>
        <w:spacing w:line="56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（三）畅通公开渠道，实现全面公开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秉持“便利、有效”的原则，积极发展新形式、新渠道的信息公开方式，力争全面畅通信息公开渠道。市交通运输局的机关职能、机构设置、办公地址和时间、联系方式、负责人姓名等基本部门信息目录公布在门户网站上，便于社会大众查询了解，主动接受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社会大众的监督。</w:t>
      </w:r>
    </w:p>
    <w:p w:rsidR="000B0CCE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本年新</w:t>
            </w:r>
            <w:r>
              <w:rPr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本年新</w:t>
            </w:r>
            <w:r>
              <w:rPr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本年增</w:t>
            </w:r>
            <w:r>
              <w:rPr>
                <w:rFonts w:cs="宋体" w:hint="eastAsia"/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本年增</w:t>
            </w:r>
            <w:r>
              <w:rPr>
                <w:rFonts w:cs="宋体" w:hint="eastAsia"/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126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本年增</w:t>
            </w:r>
            <w:r>
              <w:rPr>
                <w:rFonts w:cs="宋体" w:hint="eastAsia"/>
                <w:kern w:val="0"/>
                <w:sz w:val="24"/>
              </w:rPr>
              <w:t>/</w:t>
            </w:r>
            <w:r>
              <w:rPr>
                <w:rFonts w:cs="宋体" w:hint="eastAsia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left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</w:p>
        </w:tc>
        <w:tc>
          <w:tcPr>
            <w:tcW w:w="4050" w:type="dxa"/>
            <w:gridSpan w:val="2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采购总</w:t>
            </w:r>
            <w:r>
              <w:rPr>
                <w:rFonts w:cs="宋体" w:hint="eastAsia"/>
                <w:kern w:val="0"/>
                <w:sz w:val="24"/>
              </w:rPr>
              <w:t>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0B0CCE">
            <w:pPr>
              <w:widowControl/>
              <w:spacing w:after="144" w:line="300" w:lineRule="exact"/>
              <w:jc w:val="center"/>
              <w:rPr>
                <w:sz w:val="24"/>
              </w:rPr>
            </w:pPr>
          </w:p>
        </w:tc>
        <w:tc>
          <w:tcPr>
            <w:tcW w:w="4050" w:type="dxa"/>
            <w:gridSpan w:val="2"/>
            <w:noWrap/>
          </w:tcPr>
          <w:p w:rsidR="000B0CCE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0B0CCE"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846"/>
        <w:gridCol w:w="2943"/>
        <w:gridCol w:w="405"/>
        <w:gridCol w:w="570"/>
        <w:gridCol w:w="510"/>
        <w:gridCol w:w="840"/>
        <w:gridCol w:w="825"/>
        <w:gridCol w:w="416"/>
        <w:gridCol w:w="535"/>
      </w:tblGrid>
      <w:tr>
        <w:tblPrEx>
          <w:tblW w:w="8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0"/>
        </w:trPr>
        <w:tc>
          <w:tcPr>
            <w:tcW w:w="4519" w:type="dxa"/>
            <w:gridSpan w:val="3"/>
            <w:vMerge w:val="restart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（本列数据的勾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稽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关系为：第一项加第二项之和，等于第三项加第四项之和）</w:t>
            </w:r>
          </w:p>
        </w:tc>
        <w:tc>
          <w:tcPr>
            <w:tcW w:w="4101" w:type="dxa"/>
            <w:gridSpan w:val="7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申请人情况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410"/>
        </w:trPr>
        <w:tc>
          <w:tcPr>
            <w:tcW w:w="4519" w:type="dxa"/>
            <w:gridSpan w:val="3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 w:val="restart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自</w:t>
            </w:r>
          </w:p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然</w:t>
            </w:r>
          </w:p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3161" w:type="dxa"/>
            <w:gridSpan w:val="5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法人或其他组织</w:t>
            </w:r>
          </w:p>
        </w:tc>
        <w:tc>
          <w:tcPr>
            <w:tcW w:w="535" w:type="dxa"/>
            <w:vMerge w:val="restart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</w:t>
            </w:r>
          </w:p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1649"/>
        </w:trPr>
        <w:tc>
          <w:tcPr>
            <w:tcW w:w="4519" w:type="dxa"/>
            <w:gridSpan w:val="3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商业企业</w:t>
            </w: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科研机构</w:t>
            </w: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社会公益组织</w:t>
            </w: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法律服务机构</w:t>
            </w: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</w:t>
            </w:r>
          </w:p>
        </w:tc>
        <w:tc>
          <w:tcPr>
            <w:tcW w:w="535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>
        <w:tblPrEx>
          <w:tblW w:w="8620" w:type="dxa"/>
          <w:tblLayout w:type="fixed"/>
          <w:tblLook w:val="04A0"/>
        </w:tblPrEx>
        <w:trPr>
          <w:trHeight w:val="545"/>
        </w:trPr>
        <w:tc>
          <w:tcPr>
            <w:tcW w:w="4519" w:type="dxa"/>
            <w:gridSpan w:val="3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575"/>
        </w:trPr>
        <w:tc>
          <w:tcPr>
            <w:tcW w:w="4519" w:type="dxa"/>
            <w:gridSpan w:val="3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410"/>
        </w:trPr>
        <w:tc>
          <w:tcPr>
            <w:tcW w:w="730" w:type="dxa"/>
            <w:vMerge w:val="restart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三、本年度办理结果</w:t>
            </w:r>
          </w:p>
        </w:tc>
        <w:tc>
          <w:tcPr>
            <w:tcW w:w="3789" w:type="dxa"/>
            <w:gridSpan w:val="2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（一）予以公开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1210"/>
        </w:trPr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（三）不予公开</w:t>
            </w: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、属于国家秘密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、其他法律行政法规禁止公开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3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、危及“三安全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一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稳定”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4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、保护第三方合法权益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、属于三类内部事务信息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6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、属于四类过程性信息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、属于行政执法案卷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、属于行政查询事项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（四）无法提供</w:t>
            </w: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、本机关不掌握相关政府信息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、没有现成信息需要另行制作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、补正后申请内容仍不明确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（五）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不予处理</w:t>
            </w: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1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、信访举报投诉类申请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、重复申请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3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、要求提供公开出版物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、无正当理由大量反复申请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5</w:t>
            </w: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、要求行政机关确认或重新出具已获取信息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410"/>
        </w:trPr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（六）其他处理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>
        <w:tblPrEx>
          <w:tblW w:w="8620" w:type="dxa"/>
          <w:tblLayout w:type="fixed"/>
          <w:tblLook w:val="04A0"/>
        </w:tblPrEx>
        <w:tc>
          <w:tcPr>
            <w:tcW w:w="730" w:type="dxa"/>
            <w:vMerge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（七）总计</w:t>
            </w:r>
          </w:p>
        </w:tc>
        <w:tc>
          <w:tcPr>
            <w:tcW w:w="40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noWrap/>
            <w:vAlign w:val="center"/>
          </w:tcPr>
          <w:p w:rsidR="000B0CC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</w:tr>
      <w:tr>
        <w:tblPrEx>
          <w:tblW w:w="8620" w:type="dxa"/>
          <w:tblLayout w:type="fixed"/>
          <w:tblLook w:val="04A0"/>
        </w:tblPrEx>
        <w:trPr>
          <w:trHeight w:val="422"/>
        </w:trPr>
        <w:tc>
          <w:tcPr>
            <w:tcW w:w="8620" w:type="dxa"/>
            <w:gridSpan w:val="10"/>
            <w:noWrap/>
            <w:vAlign w:val="center"/>
          </w:tcPr>
          <w:p w:rsidR="000B0CC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四、结转下年度继续办理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0</w:t>
            </w:r>
          </w:p>
        </w:tc>
      </w:tr>
    </w:tbl>
    <w:p w:rsidR="000B0CC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588"/>
        <w:gridCol w:w="586"/>
        <w:gridCol w:w="587"/>
        <w:gridCol w:w="586"/>
        <w:gridCol w:w="585"/>
        <w:gridCol w:w="587"/>
        <w:gridCol w:w="587"/>
        <w:gridCol w:w="587"/>
        <w:gridCol w:w="584"/>
        <w:gridCol w:w="581"/>
        <w:gridCol w:w="581"/>
        <w:gridCol w:w="581"/>
        <w:gridCol w:w="578"/>
        <w:gridCol w:w="578"/>
      </w:tblGrid>
      <w:tr>
        <w:tblPrEx>
          <w:tblW w:w="87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</w:trPr>
        <w:tc>
          <w:tcPr>
            <w:tcW w:w="2931" w:type="dxa"/>
            <w:gridSpan w:val="5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行政复议</w:t>
            </w:r>
          </w:p>
        </w:tc>
        <w:tc>
          <w:tcPr>
            <w:tcW w:w="5829" w:type="dxa"/>
            <w:gridSpan w:val="10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行政诉讼</w:t>
            </w:r>
          </w:p>
        </w:tc>
      </w:tr>
      <w:tr>
        <w:tblPrEx>
          <w:tblW w:w="8760" w:type="dxa"/>
          <w:tblLayout w:type="fixed"/>
          <w:tblLook w:val="04A0"/>
        </w:tblPrEx>
        <w:trPr>
          <w:trHeight w:val="633"/>
        </w:trPr>
        <w:tc>
          <w:tcPr>
            <w:tcW w:w="584" w:type="dxa"/>
            <w:vMerge w:val="restart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8" w:type="dxa"/>
            <w:vMerge w:val="restart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6" w:type="dxa"/>
            <w:vMerge w:val="restart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Merge w:val="restart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86" w:type="dxa"/>
            <w:vMerge w:val="restart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  <w:tc>
          <w:tcPr>
            <w:tcW w:w="2930" w:type="dxa"/>
            <w:gridSpan w:val="5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未经复议直接起诉</w:t>
            </w:r>
          </w:p>
        </w:tc>
        <w:tc>
          <w:tcPr>
            <w:tcW w:w="2899" w:type="dxa"/>
            <w:gridSpan w:val="5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复议后起诉</w:t>
            </w:r>
          </w:p>
        </w:tc>
      </w:tr>
      <w:tr>
        <w:tblPrEx>
          <w:tblW w:w="8760" w:type="dxa"/>
          <w:tblLayout w:type="fixed"/>
          <w:tblLook w:val="04A0"/>
        </w:tblPrEx>
        <w:trPr>
          <w:trHeight w:val="2282"/>
        </w:trPr>
        <w:tc>
          <w:tcPr>
            <w:tcW w:w="584" w:type="dxa"/>
            <w:vMerge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8" w:type="dxa"/>
            <w:vMerge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7" w:type="dxa"/>
            <w:vMerge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5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7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7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84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  <w:tc>
          <w:tcPr>
            <w:tcW w:w="581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1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1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78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78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</w:tr>
      <w:tr>
        <w:tblPrEx>
          <w:tblW w:w="8760" w:type="dxa"/>
          <w:tblLayout w:type="fixed"/>
          <w:tblLook w:val="04A0"/>
        </w:tblPrEx>
        <w:trPr>
          <w:trHeight w:val="833"/>
        </w:trPr>
        <w:tc>
          <w:tcPr>
            <w:tcW w:w="584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8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6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6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5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4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8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8" w:type="dxa"/>
            <w:noWrap/>
            <w:vAlign w:val="center"/>
          </w:tcPr>
          <w:p w:rsidR="000B0CC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</w:tbl>
    <w:p w:rsidR="000B0CC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:rsidR="000B0CCE">
      <w:pPr>
        <w:spacing w:line="56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（一）存在的问题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对政务公开工作的重要性还未认识到位，日常工作中为民服务的重心依旧放在完善本职工作上。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公开内容比较简单，公开面还不够广，部门公开栏目更新较为迟缓。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政务公开的重点不够突出、不够全面，信息质量有待提高。</w:t>
      </w:r>
    </w:p>
    <w:p w:rsidR="000B0CCE">
      <w:pPr>
        <w:spacing w:line="56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改进措施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健全制度。不断健全完善政府信息和政务公开工作机制，建立和完善政府公共信息平台，加大网上公开的力度，增加政务公开和政府信息的公开面，努力为人民群众提供公开、快捷、透明、高效的公共服务。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提升信息公开质量。严格按照上级部门安排部署，进一步提高业务公开能力和水平，自上而下压实传导政务公开工作责任，推进村居规范标准公开，以点带面，全面推进政府信息公开工作上新台阶。</w:t>
      </w:r>
    </w:p>
    <w:p w:rsidR="000B0CCE">
      <w:pPr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加大督促检查力度。不断强化政府公开工作的督导检查，认真查找和分析不足，及时发现解决，切实促进信息公开工作规范有序进行。</w:t>
      </w:r>
    </w:p>
    <w:p w:rsidR="000B0CCE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0B0CCE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乌苏市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交通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运输局无其他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需要报告的事项。</w:t>
      </w:r>
    </w:p>
    <w:p w:rsidR="000B0CCE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</w:p>
    <w:p w:rsidR="000B0CCE"/>
    <w:p w:rsidR="000B0CCE">
      <w:bookmarkStart w:id="0" w:name="_GoBack"/>
      <w:bookmarkEnd w:id="0"/>
    </w:p>
    <w:sectPr w:rsidSect="000B0CCE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76735"/>
    <w:multiLevelType w:val="singleLevel"/>
    <w:tmpl w:val="4B67673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5295225"/>
    <w:rsid w:val="000B0CCE"/>
    <w:rsid w:val="00DA6C0C"/>
    <w:rsid w:val="1529522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Indent2"/>
    <w:qFormat/>
    <w:rsid w:val="000B0C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0B0CCE"/>
    <w:pPr>
      <w:spacing w:before="100" w:beforeAutospacing="1" w:line="480" w:lineRule="auto"/>
      <w:ind w:left="420" w:left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3</cp:revision>
  <dcterms:created xsi:type="dcterms:W3CDTF">2021-02-05T03:19:00Z</dcterms:created>
  <dcterms:modified xsi:type="dcterms:W3CDTF">2021-02-05T03:36:00Z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