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eastAsia="zh-CN"/>
        </w:rPr>
        <w:t>乌苏市文化体育广播电视和旅游局</w:t>
      </w:r>
      <w:r>
        <w:rPr>
          <w:rFonts w:ascii="方正小标宋简体" w:eastAsia="方正小标宋简体" w:hAnsi="方正小标宋简体" w:cs="方正小标宋简体" w:hint="eastAsia"/>
          <w:sz w:val="44"/>
          <w:szCs w:val="44"/>
          <w:lang w:val="en-US" w:eastAsia="zh-CN"/>
        </w:rPr>
        <w:t>2021年</w:t>
      </w:r>
      <w:r>
        <w:rPr>
          <w:rFonts w:ascii="方正小标宋简体" w:eastAsia="方正小标宋简体" w:hAnsi="方正小标宋简体" w:cs="方正小标宋简体" w:hint="eastAsia"/>
          <w:sz w:val="44"/>
          <w:szCs w:val="44"/>
        </w:rPr>
        <w:t>政府信息公开工作年度报告</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24"/>
          <w:szCs w:val="24"/>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36"/>
          <w:szCs w:val="36"/>
        </w:rPr>
      </w:pPr>
      <w:r>
        <w:rPr>
          <w:rFonts w:ascii="宋体" w:eastAsia="宋体" w:hAnsi="宋体" w:cs="宋体" w:hint="eastAsia"/>
          <w:b/>
          <w:bCs/>
          <w:i w:val="0"/>
          <w:iCs w:val="0"/>
          <w:caps w:val="0"/>
          <w:color w:val="auto"/>
          <w:spacing w:val="0"/>
          <w:sz w:val="36"/>
          <w:szCs w:val="36"/>
          <w:shd w:val="clear" w:color="auto" w:fill="FFFFFF"/>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000000" w:themeColor="text1"/>
          <w:sz w:val="32"/>
          <w:szCs w:val="32"/>
          <w14:textFill>
            <w14:solidFill>
              <w14:schemeClr w14:val="tx1"/>
            </w14:solidFill>
          </w14:textFill>
        </w:rPr>
      </w:pP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2021年，乌苏市文化体育广播电视和旅游局</w:t>
      </w:r>
      <w:r>
        <w:rPr>
          <w:rFonts w:ascii="仿宋_GB2312" w:eastAsia="仿宋_GB2312" w:hAnsi="仿宋_GB2312" w:cs="仿宋_GB2312" w:hint="eastAsia"/>
          <w:color w:val="000000" w:themeColor="text1"/>
          <w:sz w:val="32"/>
          <w:szCs w:val="32"/>
          <w14:textFill>
            <w14:solidFill>
              <w14:schemeClr w14:val="tx1"/>
            </w14:solidFill>
          </w14:textFill>
        </w:rPr>
        <w:t>认真贯彻落实</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乌苏市人民政府</w:t>
      </w:r>
      <w:r>
        <w:rPr>
          <w:rFonts w:ascii="仿宋_GB2312" w:eastAsia="仿宋_GB2312" w:hAnsi="仿宋_GB2312" w:cs="仿宋_GB2312" w:hint="eastAsia"/>
          <w:color w:val="000000" w:themeColor="text1"/>
          <w:sz w:val="32"/>
          <w:szCs w:val="32"/>
          <w14:textFill>
            <w14:solidFill>
              <w14:schemeClr w14:val="tx1"/>
            </w14:solidFill>
          </w14:textFill>
        </w:rPr>
        <w:t>关于全面推行政务公开</w:t>
      </w:r>
      <w:r>
        <w:rPr>
          <w:rFonts w:ascii="仿宋_GB2312" w:eastAsia="仿宋_GB2312" w:hAnsi="仿宋_GB2312" w:cs="仿宋_GB2312" w:hint="eastAsia"/>
          <w:color w:val="000000" w:themeColor="text1"/>
          <w:sz w:val="32"/>
          <w:szCs w:val="32"/>
          <w:lang w:eastAsia="zh-CN"/>
          <w14:textFill>
            <w14:solidFill>
              <w14:schemeClr w14:val="tx1"/>
            </w14:solidFill>
          </w14:textFill>
        </w:rPr>
        <w:t>的相关要求</w:t>
      </w:r>
      <w:r>
        <w:rPr>
          <w:rFonts w:ascii="仿宋_GB2312" w:eastAsia="仿宋_GB2312" w:hAnsi="仿宋_GB2312" w:cs="仿宋_GB2312" w:hint="eastAsia"/>
          <w:color w:val="000000" w:themeColor="text1"/>
          <w:sz w:val="32"/>
          <w:szCs w:val="32"/>
          <w14:textFill>
            <w14:solidFill>
              <w14:schemeClr w14:val="tx1"/>
            </w14:solidFill>
          </w14:textFill>
        </w:rPr>
        <w:t>，</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结合文化体育广播电视旅游工作实际，</w:t>
      </w:r>
      <w:r>
        <w:rPr>
          <w:rFonts w:ascii="仿宋_GB2312" w:eastAsia="仿宋_GB2312" w:hAnsi="仿宋_GB2312" w:cs="仿宋_GB2312" w:hint="eastAsia"/>
          <w:color w:val="000000" w:themeColor="text1"/>
          <w:sz w:val="32"/>
          <w:szCs w:val="32"/>
          <w14:textFill>
            <w14:solidFill>
              <w14:schemeClr w14:val="tx1"/>
            </w14:solidFill>
          </w14:textFill>
        </w:rPr>
        <w:t>着眼解决突出问题，重点做好</w:t>
      </w:r>
      <w:r>
        <w:rPr>
          <w:rFonts w:ascii="仿宋_GB2312" w:eastAsia="仿宋_GB2312" w:hAnsi="仿宋_GB2312" w:cs="仿宋_GB2312" w:hint="eastAsia"/>
          <w:color w:val="000000" w:themeColor="text1"/>
          <w:sz w:val="32"/>
          <w:szCs w:val="32"/>
          <w:lang w:eastAsia="zh-CN"/>
          <w14:textFill>
            <w14:solidFill>
              <w14:schemeClr w14:val="tx1"/>
            </w14:solidFill>
          </w14:textFill>
        </w:rPr>
        <w:t>群众文化体育服务</w:t>
      </w:r>
      <w:r>
        <w:rPr>
          <w:rFonts w:ascii="仿宋_GB2312" w:eastAsia="仿宋_GB2312" w:hAnsi="仿宋_GB2312" w:cs="仿宋_GB2312" w:hint="eastAsia"/>
          <w:color w:val="000000" w:themeColor="text1"/>
          <w:sz w:val="32"/>
          <w:szCs w:val="32"/>
          <w14:textFill>
            <w14:solidFill>
              <w14:schemeClr w14:val="tx1"/>
            </w14:solidFill>
          </w14:textFill>
        </w:rPr>
        <w:t>、</w:t>
      </w:r>
      <w:r>
        <w:rPr>
          <w:rFonts w:ascii="仿宋_GB2312" w:eastAsia="仿宋_GB2312" w:hAnsi="仿宋_GB2312" w:cs="仿宋_GB2312" w:hint="eastAsia"/>
          <w:color w:val="000000" w:themeColor="text1"/>
          <w:sz w:val="32"/>
          <w:szCs w:val="32"/>
          <w:lang w:eastAsia="zh-CN"/>
          <w14:textFill>
            <w14:solidFill>
              <w14:schemeClr w14:val="tx1"/>
            </w14:solidFill>
          </w14:textFill>
        </w:rPr>
        <w:t>广播电视服务、文化市场稽查、文化旅游发展工作</w:t>
      </w:r>
      <w:r>
        <w:rPr>
          <w:rFonts w:ascii="仿宋_GB2312" w:eastAsia="仿宋_GB2312" w:hAnsi="仿宋_GB2312" w:cs="仿宋_GB2312" w:hint="eastAsia"/>
          <w:color w:val="000000" w:themeColor="text1"/>
          <w:sz w:val="32"/>
          <w:szCs w:val="32"/>
          <w14:textFill>
            <w14:solidFill>
              <w14:schemeClr w14:val="tx1"/>
            </w14:solidFill>
          </w14:textFill>
        </w:rPr>
        <w:t>，</w:t>
      </w:r>
      <w:r>
        <w:rPr>
          <w:rFonts w:ascii="仿宋_GB2312" w:eastAsia="仿宋_GB2312" w:hAnsi="仿宋_GB2312" w:cs="仿宋_GB2312" w:hint="eastAsia"/>
          <w:color w:val="000000" w:themeColor="text1"/>
          <w:sz w:val="32"/>
          <w:szCs w:val="32"/>
          <w:lang w:eastAsia="zh-CN"/>
          <w14:textFill>
            <w14:solidFill>
              <w14:schemeClr w14:val="tx1"/>
            </w14:solidFill>
          </w14:textFill>
        </w:rPr>
        <w:t>积极解决群众关于文化体育生活的诉求，不断规范文化和旅游市场秩序化、合理化，进一步提高全市人民群众的获得感和幸福感</w:t>
      </w:r>
      <w:r>
        <w:rPr>
          <w:rFonts w:ascii="仿宋_GB2312" w:eastAsia="仿宋_GB2312" w:hAnsi="仿宋_GB2312" w:cs="仿宋_GB2312" w:hint="eastAsia"/>
          <w:color w:val="000000" w:themeColor="text1"/>
          <w:sz w:val="32"/>
          <w:szCs w:val="32"/>
          <w14:textFill>
            <w14:solidFill>
              <w14:schemeClr w14:val="tx1"/>
            </w14:solidFill>
          </w14:textFill>
        </w:rPr>
        <w:t>。</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二、主动公开政府信息情况</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0</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0</w:t>
            </w:r>
          </w:p>
        </w:tc>
      </w:tr>
      <w:tr>
        <w:tblPrEx>
          <w:tblW w:w="0" w:type="auto"/>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0</w:t>
            </w:r>
          </w:p>
        </w:tc>
      </w:tr>
      <w:tr>
        <w:tblPrEx>
          <w:tblW w:w="0" w:type="auto"/>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1</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r>
      <w:tr>
        <w:tblPrEx>
          <w:tblW w:w="0" w:type="auto"/>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0" w:type="auto"/>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jc w:val="center"/>
              <w:textAlignment w:val="auto"/>
              <w:rPr>
                <w:rFonts w:ascii="宋体" w:eastAsia="宋体" w:hint="default"/>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24"/>
          <w:szCs w:val="24"/>
        </w:rPr>
      </w:pPr>
      <w:r>
        <w:rPr>
          <w:rFonts w:ascii="宋体" w:eastAsia="宋体" w:hAnsi="宋体" w:cs="宋体" w:hint="eastAsia"/>
          <w:b/>
          <w:bCs/>
          <w:i w:val="0"/>
          <w:iCs w:val="0"/>
          <w:caps w:val="0"/>
          <w:color w:val="auto"/>
          <w:spacing w:val="0"/>
          <w:sz w:val="24"/>
          <w:szCs w:val="24"/>
          <w:shd w:val="clear" w:color="auto" w:fill="FFFFFF"/>
        </w:rPr>
        <w:t>三、收到和处理政府信息公开申请情况</w:t>
      </w:r>
    </w:p>
    <w:tbl>
      <w:tblPr>
        <w:tblStyle w:val="TableNormal"/>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0" w:type="auto"/>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0" w:type="auto"/>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0" w:type="auto"/>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0</w:t>
            </w:r>
          </w:p>
        </w:tc>
      </w:tr>
      <w:tr>
        <w:tblPrEx>
          <w:tblW w:w="0" w:type="auto"/>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jc w:val="center"/>
              <w:textAlignment w:val="auto"/>
              <w:rPr>
                <w:rFonts w:ascii="宋体" w:eastAsia="宋体"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四、政府信息公开行政复议、行政诉讼情况</w:t>
      </w:r>
    </w:p>
    <w:tbl>
      <w:tblPr>
        <w:tblStyle w:val="TableNormal"/>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0" w:type="auto"/>
          <w:jc w:val="center"/>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0" w:type="auto"/>
          <w:jc w:val="center"/>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0" w:type="auto"/>
          <w:jc w:val="center"/>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color w:val="auto"/>
                <w:kern w:val="0"/>
                <w:sz w:val="20"/>
                <w:szCs w:val="20"/>
                <w:lang w:val="en-US" w:eastAsia="zh-CN" w:bidi="ar"/>
              </w:rPr>
              <w:t> </w:t>
            </w: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宋体"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32"/>
          <w:szCs w:val="32"/>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32"/>
          <w:szCs w:val="32"/>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五、存在的主要问题及改进情况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val="0"/>
        <w:spacing w:before="0" w:beforeAutospacing="0" w:after="0" w:afterAutospacing="0" w:line="315" w:lineRule="atLeast"/>
        <w:ind w:left="0" w:right="0" w:firstLine="420"/>
        <w:rPr>
          <w:rFonts w:ascii="微软雅黑" w:eastAsia="微软雅黑" w:hAnsi="微软雅黑" w:cs="微软雅黑" w:hint="eastAsia"/>
          <w:i w:val="0"/>
          <w:iCs w:val="0"/>
          <w:caps w:val="0"/>
          <w:color w:val="5A5A5A"/>
          <w:spacing w:val="0"/>
          <w:sz w:val="32"/>
          <w:szCs w:val="32"/>
        </w:rPr>
      </w:pPr>
      <w:r>
        <w:rPr>
          <w:rFonts w:ascii="仿宋_GB2312" w:eastAsia="仿宋_GB2312" w:hAnsi="仿宋_GB2312" w:cs="仿宋_GB2312" w:hint="eastAsia"/>
          <w:color w:val="000000" w:themeColor="text1"/>
          <w:kern w:val="2"/>
          <w:sz w:val="32"/>
          <w:szCs w:val="32"/>
          <w:lang w:val="en-US" w:eastAsia="zh-CN" w:bidi="ar-SA"/>
          <w14:textFill>
            <w14:solidFill>
              <w14:schemeClr w14:val="tx1"/>
            </w14:solidFill>
          </w14:textFill>
        </w:rPr>
        <w:t>乌苏市文化体育广播电视旅游局政府信息公开工作虽然取得了一些进步，但是对照文件规定和上级要求，距离社会公众的愿望，都还存在较大的差距。一是政务信息公开的组织建设仍需加改进。二是政府信息公开平台和载体建设管理水平有待再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i w:val="0"/>
          <w:caps w:val="0"/>
          <w:color w:val="000000" w:themeColor="text1"/>
          <w:spacing w:val="0"/>
          <w:sz w:val="32"/>
          <w:szCs w:val="32"/>
          <w:shd w:val="clear" w:color="auto" w:fill="FFFFFF"/>
          <w14:textFill>
            <w14:solidFill>
              <w14:schemeClr w14:val="tx1"/>
            </w14:solidFill>
          </w14:textFill>
        </w:rPr>
      </w:pPr>
      <w:r>
        <w:rPr>
          <w:rFonts w:ascii="仿宋_GB2312" w:eastAsia="仿宋_GB2312" w:hAnsi="仿宋_GB2312" w:cs="仿宋_GB2312" w:hint="eastAsia"/>
          <w:color w:val="000000" w:themeColor="text1"/>
          <w:kern w:val="2"/>
          <w:sz w:val="32"/>
          <w:szCs w:val="32"/>
          <w:lang w:val="en-US" w:eastAsia="zh-CN" w:bidi="ar-SA"/>
          <w14:textFill>
            <w14:solidFill>
              <w14:schemeClr w14:val="tx1"/>
            </w14:solidFill>
          </w14:textFill>
        </w:rPr>
        <w:t>乌苏市文化体育广播电视旅游局将继续按照上级要求，把握政策文件，认真贯彻落实政务信息公开工作要点，不断提高政府信息公开工作实效，进一步提高政务公开工作水平，严格执行相关政策文件规定的主动公开范围和事项，进一步拓展和深化政府信息公开的内容和范围，努力提高信息公开的质量。加强政府信息公开平台和载体建设。积极主动建设政府信息公开平台建设，优化调整政府信息公开平台的栏目和功能，扩大政府信息公开渠道和范围，提高更新速率，切实做好政府信息公开工作。</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firstLineChars="200"/>
        <w:jc w:val="both"/>
        <w:textAlignment w:val="auto"/>
        <w:rPr>
          <w:rFonts w:ascii="仿宋_GB2312" w:eastAsia="仿宋_GB2312" w:hAnsi="仿宋_GB2312" w:cs="仿宋_GB2312" w:hint="eastAsia"/>
          <w:color w:val="000000" w:themeColor="text1"/>
          <w:kern w:val="2"/>
          <w:sz w:val="32"/>
          <w:szCs w:val="32"/>
          <w:lang w:val="en-US" w:eastAsia="zh-CN" w:bidi="ar-SA"/>
          <w14:textFill>
            <w14:solidFill>
              <w14:schemeClr w14:val="tx1"/>
            </w14:solidFill>
          </w14:textFill>
        </w:rPr>
      </w:pPr>
      <w:r>
        <w:rPr>
          <w:rFonts w:ascii="宋体" w:eastAsia="宋体" w:hAnsi="宋体" w:cs="宋体" w:hint="eastAsia"/>
          <w:b/>
          <w:bCs/>
          <w:i w:val="0"/>
          <w:iCs w:val="0"/>
          <w:caps w:val="0"/>
          <w:color w:val="auto"/>
          <w:spacing w:val="0"/>
          <w:sz w:val="32"/>
          <w:szCs w:val="32"/>
          <w:shd w:val="clear" w:color="auto" w:fill="FFFFFF"/>
        </w:rPr>
        <w:t>六、其他需要报告的事项</w:t>
      </w:r>
      <w:r>
        <w:rPr>
          <w:rFonts w:ascii="宋体" w:hAnsi="宋体" w:cs="宋体" w:hint="eastAsia"/>
          <w:b/>
          <w:bCs/>
          <w:i w:val="0"/>
          <w:iCs w:val="0"/>
          <w:caps w:val="0"/>
          <w:color w:val="auto"/>
          <w:spacing w:val="0"/>
          <w:sz w:val="32"/>
          <w:szCs w:val="32"/>
          <w:shd w:val="clear" w:color="auto" w:fill="FFFFFF"/>
          <w:lang w:eastAsia="zh-CN"/>
        </w:rPr>
        <w:t>：</w:t>
      </w:r>
      <w:r>
        <w:rPr>
          <w:rFonts w:ascii="仿宋_GB2312" w:eastAsia="仿宋_GB2312" w:hAnsi="仿宋_GB2312" w:cs="仿宋_GB2312" w:hint="eastAsia"/>
          <w:color w:val="000000" w:themeColor="text1"/>
          <w:kern w:val="2"/>
          <w:sz w:val="32"/>
          <w:szCs w:val="32"/>
          <w:lang w:val="en-US" w:eastAsia="zh-CN" w:bidi="ar-SA"/>
          <w14:textFill>
            <w14:solidFill>
              <w14:schemeClr w14:val="tx1"/>
            </w14:solidFill>
          </w14:textFill>
        </w:rPr>
        <w:t>无</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宋体" w:hAnsi="宋体" w:cs="宋体" w:hint="eastAsia"/>
          <w:i w:val="0"/>
          <w:iCs w:val="0"/>
          <w:caps w:val="0"/>
          <w:color w:val="auto"/>
          <w:spacing w:val="0"/>
          <w:sz w:val="24"/>
          <w:szCs w:val="24"/>
          <w:shd w:val="clear" w:color="auto" w:fill="FFFFFF"/>
          <w:lang w:eastAsia="zh-CN"/>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宋体" w:hAnsi="宋体" w:cs="宋体" w:hint="eastAsia"/>
          <w:i w:val="0"/>
          <w:iCs w:val="0"/>
          <w:caps w:val="0"/>
          <w:color w:val="auto"/>
          <w:spacing w:val="0"/>
          <w:sz w:val="24"/>
          <w:szCs w:val="24"/>
          <w:shd w:val="clear" w:color="auto" w:fill="FFFFFF"/>
          <w:lang w:eastAsia="zh-CN"/>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宋体" w:hAnsi="宋体" w:cs="宋体" w:hint="eastAsia"/>
          <w:i w:val="0"/>
          <w:iCs w:val="0"/>
          <w:caps w:val="0"/>
          <w:color w:val="auto"/>
          <w:spacing w:val="0"/>
          <w:sz w:val="24"/>
          <w:szCs w:val="24"/>
          <w:shd w:val="clear" w:color="auto" w:fill="FFFFFF"/>
          <w:lang w:eastAsia="zh-CN"/>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宋体" w:hAnsi="宋体" w:cs="宋体" w:hint="eastAsia"/>
          <w:i w:val="0"/>
          <w:iCs w:val="0"/>
          <w:caps w:val="0"/>
          <w:color w:val="auto"/>
          <w:spacing w:val="0"/>
          <w:sz w:val="24"/>
          <w:szCs w:val="24"/>
          <w:shd w:val="clear" w:color="auto" w:fill="FFFFFF"/>
          <w:lang w:eastAsia="zh-CN"/>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仿宋_GB2312" w:eastAsia="仿宋_GB2312" w:hAnsi="仿宋_GB2312" w:cs="仿宋_GB2312" w:hint="eastAsia"/>
          <w:color w:val="000000" w:themeColor="text1"/>
          <w:sz w:val="32"/>
          <w:szCs w:val="32"/>
          <w:lang w:val="en-US" w:eastAsia="zh-CN"/>
          <w14:textFill>
            <w14:solidFill>
              <w14:schemeClr w14:val="tx1"/>
            </w14:solidFill>
          </w14:textFill>
        </w:rPr>
      </w:pPr>
      <w:r>
        <w:rPr>
          <w:rFonts w:ascii="宋体" w:hAnsi="宋体" w:cs="宋体" w:hint="eastAsia"/>
          <w:i w:val="0"/>
          <w:iCs w:val="0"/>
          <w:caps w:val="0"/>
          <w:color w:val="auto"/>
          <w:spacing w:val="0"/>
          <w:sz w:val="24"/>
          <w:szCs w:val="24"/>
          <w:shd w:val="clear" w:color="auto" w:fill="FFFFFF"/>
          <w:lang w:val="en-US" w:eastAsia="zh-CN"/>
        </w:rPr>
        <w:t xml:space="preserve">                         </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乌苏市文化体育广播电视和旅游局</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rFonts w:ascii="仿宋_GB2312" w:eastAsia="仿宋_GB2312" w:hAnsi="仿宋_GB2312" w:cs="仿宋_GB2312" w:hint="default"/>
          <w:color w:val="000000" w:themeColor="text1"/>
          <w:sz w:val="32"/>
          <w:szCs w:val="32"/>
          <w:lang w:val="en-US" w:eastAsia="zh-CN"/>
          <w14:textFill>
            <w14:solidFill>
              <w14:schemeClr w14:val="tx1"/>
            </w14:solidFill>
          </w14:textFill>
        </w:rPr>
      </w:pP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 xml:space="preserve">                            2021年12月31日</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65FBC"/>
    <w:rsid w:val="05C65FBC"/>
    <w:rsid w:val="61212A2D"/>
    <w:rsid w:val="66C52F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一一</dc:creator>
  <cp:lastModifiedBy>zhangzudong</cp:lastModifiedBy>
  <cp:revision>1</cp:revision>
  <cp:lastPrinted>2021-12-27T02:50:00Z</cp:lastPrinted>
  <dcterms:created xsi:type="dcterms:W3CDTF">2021-12-21T11:32:00Z</dcterms:created>
  <dcterms:modified xsi:type="dcterms:W3CDTF">2022-01-20T03:03:54Z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AB974E950B524CA68A6A01ED9CB68B7A</vt:lpwstr>
  </property>
  <property fmtid="{D5CDD505-2E9C-101B-9397-08002B2CF9AE}" pid="3" name="KSOProductBuildVer">
    <vt:lpwstr>2052-11.1.0.11194</vt:lpwstr>
  </property>
</Properties>
</file>