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乌苏市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统计局2021年政府信息公开工作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根据《中华人民共和国政府信息公开条例》（以下简称《条例》）第五十条规定，全面总结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乌苏市统计局</w:t>
      </w:r>
      <w:r>
        <w:rPr>
          <w:rFonts w:ascii="仿宋_GB2312" w:eastAsia="仿宋_GB2312" w:hAnsi="仿宋_GB2312" w:cs="仿宋_GB2312" w:hint="eastAsia"/>
          <w:sz w:val="32"/>
          <w:szCs w:val="32"/>
        </w:rPr>
        <w:t>2021年度政府信息公开工作情况，现编制本年度报告。报告全文由总体情况、主动公开政府信息情况、收到和处理政府信息公开申请情况、因政府信息公开工作被申请行政复议和提起行政诉讼情况、存在的主要问题及改进情况、其他需要报告的事项等六部分组成。本报告所列数据统计期限自202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年1月1日至2021年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日。如对本报告有疑问，可与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乌苏市</w:t>
      </w:r>
      <w:r>
        <w:rPr>
          <w:rFonts w:ascii="仿宋_GB2312" w:eastAsia="仿宋_GB2312" w:hAnsi="仿宋_GB2312" w:cs="仿宋_GB2312" w:hint="eastAsia"/>
          <w:sz w:val="32"/>
          <w:szCs w:val="32"/>
        </w:rPr>
        <w:t>统计局联系（地址：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乌苏市财政</w:t>
      </w:r>
      <w:r>
        <w:rPr>
          <w:rFonts w:ascii="仿宋_GB2312" w:eastAsia="仿宋_GB2312" w:hAnsi="仿宋_GB2312" w:cs="仿宋_GB2312" w:hint="eastAsia"/>
          <w:sz w:val="32"/>
          <w:szCs w:val="32"/>
        </w:rPr>
        <w:t>大楼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四</w:t>
      </w:r>
      <w:r>
        <w:rPr>
          <w:rFonts w:ascii="仿宋_GB2312" w:eastAsia="仿宋_GB2312" w:hAnsi="仿宋_GB2312" w:cs="仿宋_GB2312" w:hint="eastAsia"/>
          <w:sz w:val="32"/>
          <w:szCs w:val="32"/>
        </w:rPr>
        <w:t>楼，邮编：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833000，</w:t>
      </w: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0992-8505585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2021年度，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乌苏市</w:t>
      </w:r>
      <w:r>
        <w:rPr>
          <w:rFonts w:ascii="仿宋_GB2312" w:eastAsia="仿宋_GB2312" w:hAnsi="仿宋_GB2312" w:cs="仿宋_GB2312" w:hint="eastAsia"/>
          <w:sz w:val="32"/>
          <w:szCs w:val="32"/>
        </w:rPr>
        <w:t>统计局认真贯彻落实《中华人民共和国政府信息公开条例》的各项要求，紧紧围绕县域经济社会高质量发展工作，积极稳妥做好信息公开工作，确保了信息公开工作有序、高效运转。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（一）领导重视，工作机制完善。局领导高度重视政务信息公开工作，亲自部署、亲自落实，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指定专人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负责落实此项工作。2021年我局设有信息公开负责人一名，分管领导一名。我局信息公开渠道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与载体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市政府</w:t>
      </w:r>
      <w:r>
        <w:rPr>
          <w:rFonts w:ascii="仿宋_GB2312" w:eastAsia="仿宋_GB2312" w:hAnsi="仿宋_GB2312" w:cs="仿宋_GB2312" w:hint="eastAsia"/>
          <w:sz w:val="32"/>
          <w:szCs w:val="32"/>
        </w:rPr>
        <w:t>网站与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纸质媒介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截至2021年12月31日，2021年我局政府信息公开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条，统计公报1条。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提高质量，政务公开透明。局党组坚持依法公开、真实公正、突出重点、注重实效的原则，不断完善工作机制，提高信息公开数据质量，加强政务公开的透明性，常规发布稳步推进，工作动态实时更新。及时公开财政预决算。我局继续加大财政预算、决算经费等的公开透明度。并且在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市政府</w:t>
      </w:r>
      <w:r>
        <w:rPr>
          <w:rFonts w:ascii="仿宋_GB2312" w:eastAsia="仿宋_GB2312" w:hAnsi="仿宋_GB2312" w:cs="仿宋_GB2312" w:hint="eastAsia"/>
          <w:sz w:val="32"/>
          <w:szCs w:val="32"/>
        </w:rPr>
        <w:t>网站上公开了相关的表格及说明。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（三）完善形式，增加公开内容。我局坚持“公开为常态，不公开为例外”的原则，对主要经济数据和依申请公开事项对外进行发布，努力做到社会需要什么，就公开什么，及时对外发布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国民</w:t>
      </w:r>
      <w:r>
        <w:rPr>
          <w:rFonts w:ascii="仿宋_GB2312" w:eastAsia="仿宋_GB2312" w:hAnsi="仿宋_GB2312" w:cs="仿宋_GB2312" w:hint="eastAsia"/>
          <w:sz w:val="32"/>
          <w:szCs w:val="32"/>
        </w:rPr>
        <w:t>经济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和</w:t>
      </w:r>
      <w:r>
        <w:rPr>
          <w:rFonts w:ascii="仿宋_GB2312" w:eastAsia="仿宋_GB2312" w:hAnsi="仿宋_GB2312" w:cs="仿宋_GB2312" w:hint="eastAsia"/>
          <w:sz w:val="32"/>
          <w:szCs w:val="32"/>
        </w:rPr>
        <w:t>社会发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展统计</w:t>
      </w:r>
      <w:r>
        <w:rPr>
          <w:rFonts w:ascii="仿宋_GB2312" w:eastAsia="仿宋_GB2312" w:hAnsi="仿宋_GB2312" w:cs="仿宋_GB2312" w:hint="eastAsia"/>
          <w:sz w:val="32"/>
          <w:szCs w:val="32"/>
        </w:rPr>
        <w:t>公报，对不属于我局管辖范围的内容及时告知申请人联系部门方式，以优质高效的统计数据服务做好信息公开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四</w:t>
      </w:r>
      <w:r>
        <w:rPr>
          <w:rFonts w:ascii="仿宋_GB2312" w:eastAsia="仿宋_GB2312" w:hAnsi="仿宋_GB2312" w:cs="仿宋_GB2312" w:hint="eastAsia"/>
          <w:sz w:val="32"/>
          <w:szCs w:val="32"/>
        </w:rPr>
        <w:t>）公开制度建设和落实情况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我局继续加强信息公开工作这方面的指导和监督检查工作，严格执行信息发布管理制度和各项保密规定，规范工作流程，严把统计信息质量关。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 w:hAnsi="黑体" w:cs="黑体" w:hint="eastAsia"/>
          <w:b w:val="0"/>
          <w:i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i w:val="0"/>
          <w:caps w:val="0"/>
          <w:color w:val="000000"/>
          <w:spacing w:val="0"/>
          <w:sz w:val="32"/>
          <w:szCs w:val="32"/>
        </w:rPr>
        <w:t>二、主动公开政府信息情况</w:t>
      </w:r>
    </w:p>
    <w:tbl>
      <w:tblPr>
        <w:tblStyle w:val="TableNormal"/>
        <w:tblW w:w="8322" w:type="dxa"/>
        <w:tblInd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245"/>
        <w:gridCol w:w="2246"/>
        <w:gridCol w:w="2246"/>
        <w:gridCol w:w="1585"/>
      </w:tblGrid>
      <w:tr>
        <w:tblPrEx>
          <w:tblW w:w="8322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32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第二十条第（一）项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信息内容</w:t>
            </w:r>
          </w:p>
        </w:tc>
        <w:tc>
          <w:tcPr>
            <w:tcW w:w="2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本年制发件数</w:t>
            </w:r>
          </w:p>
        </w:tc>
        <w:tc>
          <w:tcPr>
            <w:tcW w:w="2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本年废止件数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现行有效件数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规章</w:t>
            </w:r>
          </w:p>
        </w:tc>
        <w:tc>
          <w:tcPr>
            <w:tcW w:w="2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2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行政规范性文件</w:t>
            </w:r>
          </w:p>
        </w:tc>
        <w:tc>
          <w:tcPr>
            <w:tcW w:w="2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2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32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第二十条第（五）项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信息内容</w:t>
            </w:r>
          </w:p>
        </w:tc>
        <w:tc>
          <w:tcPr>
            <w:tcW w:w="607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本年处理决定数量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行政许可</w:t>
            </w:r>
          </w:p>
        </w:tc>
        <w:tc>
          <w:tcPr>
            <w:tcW w:w="607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32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第二十条第（六）项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信息内容</w:t>
            </w:r>
          </w:p>
        </w:tc>
        <w:tc>
          <w:tcPr>
            <w:tcW w:w="607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本年处理决定数量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行政处罚</w:t>
            </w:r>
          </w:p>
        </w:tc>
        <w:tc>
          <w:tcPr>
            <w:tcW w:w="607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行政强制</w:t>
            </w:r>
          </w:p>
        </w:tc>
        <w:tc>
          <w:tcPr>
            <w:tcW w:w="607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32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第二十条第（八）项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信息内容</w:t>
            </w:r>
          </w:p>
        </w:tc>
        <w:tc>
          <w:tcPr>
            <w:tcW w:w="607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本年收费金额（单位：万元）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行政事业性收费</w:t>
            </w:r>
          </w:p>
        </w:tc>
        <w:tc>
          <w:tcPr>
            <w:tcW w:w="607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</w:tbl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450" w:beforeAutospacing="0" w:after="150" w:afterAutospacing="0" w:line="23" w:lineRule="atLeast"/>
        <w:ind w:left="0" w:right="0" w:firstLine="420"/>
        <w:jc w:val="both"/>
        <w:rPr>
          <w:rFonts w:ascii="黑体" w:eastAsia="黑体" w:hAnsi="黑体" w:cs="黑体" w:hint="eastAsia"/>
          <w:b w:val="0"/>
          <w:i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i w:val="0"/>
          <w:caps w:val="0"/>
          <w:color w:val="000000"/>
          <w:spacing w:val="0"/>
          <w:sz w:val="32"/>
          <w:szCs w:val="32"/>
        </w:rPr>
        <w:t>三、收到和处理政府信息公开申请情况</w:t>
      </w:r>
    </w:p>
    <w:tbl>
      <w:tblPr>
        <w:tblStyle w:val="TableNormal"/>
        <w:tblW w:w="8322" w:type="dxa"/>
        <w:tblInd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82"/>
        <w:gridCol w:w="1025"/>
        <w:gridCol w:w="2466"/>
        <w:gridCol w:w="596"/>
        <w:gridCol w:w="596"/>
        <w:gridCol w:w="596"/>
        <w:gridCol w:w="596"/>
        <w:gridCol w:w="596"/>
        <w:gridCol w:w="628"/>
        <w:gridCol w:w="441"/>
      </w:tblGrid>
      <w:tr>
        <w:tblPrEx>
          <w:tblW w:w="8322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73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04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申请人情况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73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9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自然人</w:t>
            </w:r>
          </w:p>
        </w:tc>
        <w:tc>
          <w:tcPr>
            <w:tcW w:w="301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法人或其他组织</w:t>
            </w:r>
          </w:p>
        </w:tc>
        <w:tc>
          <w:tcPr>
            <w:tcW w:w="44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总计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73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商业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企业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科研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机构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社会公益组织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法律服务机构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其他</w:t>
            </w:r>
          </w:p>
        </w:tc>
        <w:tc>
          <w:tcPr>
            <w:tcW w:w="44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7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7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三、本年度办理结果</w:t>
            </w:r>
          </w:p>
        </w:tc>
        <w:tc>
          <w:tcPr>
            <w:tcW w:w="34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（一）予以公开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（三）不予公开</w:t>
            </w: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1.属于国家秘密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3.危及“三安全一稳定”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4.保护第三方合法权益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5.属于三类内部事务信息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6.属于四类过程性信息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7.属于行政执法案卷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8.属于行政查询事项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（四）无法提供</w:t>
            </w: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3.补正后申请内容仍不明确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（五）不予处理</w:t>
            </w: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1.信访举报投诉类申请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2.重复申请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3.要求提供公开出版物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89"/>
        </w:trPr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4.无正当理由大量反复申请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（六）其他处理</w:t>
            </w: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3.其他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（七）总计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7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四、结转下年度继续办理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</w:tbl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450" w:beforeAutospacing="0" w:after="150" w:afterAutospacing="0" w:line="23" w:lineRule="atLeast"/>
        <w:ind w:left="0" w:right="0" w:firstLine="420"/>
        <w:jc w:val="both"/>
        <w:rPr>
          <w:rFonts w:ascii="黑体" w:eastAsia="黑体" w:hAnsi="黑体" w:cs="黑体" w:hint="eastAsia"/>
          <w:b w:val="0"/>
          <w:i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i w:val="0"/>
          <w:caps w:val="0"/>
          <w:color w:val="000000"/>
          <w:spacing w:val="0"/>
          <w:sz w:val="32"/>
          <w:szCs w:val="32"/>
        </w:rPr>
        <w:t>四、政府信息公开行政复议、行政诉讼情况</w:t>
      </w:r>
    </w:p>
    <w:tbl>
      <w:tblPr>
        <w:tblStyle w:val="TableNormal"/>
        <w:tblW w:w="8322" w:type="dxa"/>
        <w:tblInd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58"/>
        <w:gridCol w:w="558"/>
        <w:gridCol w:w="558"/>
        <w:gridCol w:w="558"/>
        <w:gridCol w:w="574"/>
        <w:gridCol w:w="558"/>
        <w:gridCol w:w="558"/>
        <w:gridCol w:w="558"/>
        <w:gridCol w:w="558"/>
        <w:gridCol w:w="574"/>
        <w:gridCol w:w="558"/>
        <w:gridCol w:w="558"/>
        <w:gridCol w:w="559"/>
        <w:gridCol w:w="559"/>
        <w:gridCol w:w="476"/>
      </w:tblGrid>
      <w:tr>
        <w:tblPrEx>
          <w:tblW w:w="8322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80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行政复议</w:t>
            </w:r>
          </w:p>
        </w:tc>
        <w:tc>
          <w:tcPr>
            <w:tcW w:w="5516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行政诉讼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结果维持</w:t>
            </w:r>
          </w:p>
        </w:tc>
        <w:tc>
          <w:tcPr>
            <w:tcW w:w="5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结果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纠正</w:t>
            </w:r>
          </w:p>
        </w:tc>
        <w:tc>
          <w:tcPr>
            <w:tcW w:w="5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其他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结果</w:t>
            </w:r>
          </w:p>
        </w:tc>
        <w:tc>
          <w:tcPr>
            <w:tcW w:w="5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尚未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审结</w:t>
            </w:r>
          </w:p>
        </w:tc>
        <w:tc>
          <w:tcPr>
            <w:tcW w:w="57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总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计</w:t>
            </w:r>
          </w:p>
        </w:tc>
        <w:tc>
          <w:tcPr>
            <w:tcW w:w="280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未经复议直接起诉</w:t>
            </w:r>
          </w:p>
        </w:tc>
        <w:tc>
          <w:tcPr>
            <w:tcW w:w="271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复议后起诉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75"/>
        </w:trPr>
        <w:tc>
          <w:tcPr>
            <w:tcW w:w="55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结果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维持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结果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纠正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其他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结果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尚未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审结</w:t>
            </w:r>
          </w:p>
        </w:tc>
        <w:tc>
          <w:tcPr>
            <w:tcW w:w="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总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计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结果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维持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结果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纠正</w:t>
            </w:r>
          </w:p>
        </w:tc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其他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结果</w:t>
            </w:r>
          </w:p>
        </w:tc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尚未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审结</w:t>
            </w: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总计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</w:tbl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420"/>
        <w:textAlignment w:val="auto"/>
        <w:rPr>
          <w:rFonts w:ascii="黑体" w:eastAsia="黑体" w:hAnsi="黑体" w:cs="黑体" w:hint="eastAsia"/>
          <w:color w:val="2B2B2B"/>
          <w:sz w:val="32"/>
          <w:szCs w:val="32"/>
        </w:rPr>
      </w:pPr>
      <w:r>
        <w:rPr>
          <w:rStyle w:val="Strong"/>
          <w:rFonts w:ascii="黑体" w:eastAsia="黑体" w:hAnsi="黑体" w:cs="黑体" w:hint="eastAsia"/>
          <w:i w:val="0"/>
          <w:caps w:val="0"/>
          <w:color w:val="2B2B2B"/>
          <w:spacing w:val="0"/>
          <w:sz w:val="32"/>
          <w:szCs w:val="32"/>
        </w:rPr>
        <w:t>五、存在的主要问题及改进情况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420"/>
        <w:textAlignment w:val="auto"/>
        <w:rPr>
          <w:rFonts w:ascii="仿宋_GB2312" w:eastAsia="仿宋_GB2312" w:hAnsi="仿宋_GB2312" w:cs="仿宋_GB2312" w:hint="eastAsia"/>
          <w:i w:val="0"/>
          <w:caps w:val="0"/>
          <w:color w:val="2B2B2B"/>
          <w:spacing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i w:val="0"/>
          <w:caps w:val="0"/>
          <w:color w:val="2B2B2B"/>
          <w:spacing w:val="0"/>
          <w:sz w:val="32"/>
          <w:szCs w:val="32"/>
        </w:rPr>
        <w:t>2021年，全</w:t>
      </w:r>
      <w:r>
        <w:rPr>
          <w:rFonts w:ascii="仿宋_GB2312" w:eastAsia="仿宋_GB2312" w:hAnsi="仿宋_GB2312" w:cs="仿宋_GB2312" w:hint="eastAsia"/>
          <w:i w:val="0"/>
          <w:caps w:val="0"/>
          <w:color w:val="2B2B2B"/>
          <w:spacing w:val="0"/>
          <w:sz w:val="32"/>
          <w:szCs w:val="32"/>
          <w:lang w:eastAsia="zh-CN"/>
        </w:rPr>
        <w:t>市</w:t>
      </w:r>
      <w:r>
        <w:rPr>
          <w:rFonts w:ascii="仿宋_GB2312" w:eastAsia="仿宋_GB2312" w:hAnsi="仿宋_GB2312" w:cs="仿宋_GB2312" w:hint="eastAsia"/>
          <w:i w:val="0"/>
          <w:caps w:val="0"/>
          <w:color w:val="2B2B2B"/>
          <w:spacing w:val="0"/>
          <w:sz w:val="32"/>
          <w:szCs w:val="32"/>
        </w:rPr>
        <w:t>统计信息公开工作取得一定成效，但还存在一些薄弱环节。存在问题：信息公开专栏信息量不足，内容缺乏亮点。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420"/>
        <w:textAlignment w:val="auto"/>
        <w:rPr>
          <w:rFonts w:ascii="仿宋_GB2312" w:eastAsia="仿宋_GB2312" w:hAnsi="仿宋_GB2312" w:cs="仿宋_GB2312" w:hint="eastAsia"/>
          <w:color w:val="2B2B2B"/>
          <w:sz w:val="32"/>
          <w:szCs w:val="32"/>
        </w:rPr>
      </w:pPr>
      <w:r>
        <w:rPr>
          <w:rFonts w:ascii="仿宋_GB2312" w:eastAsia="仿宋_GB2312" w:hAnsi="仿宋_GB2312" w:cs="仿宋_GB2312" w:hint="eastAsia"/>
          <w:i w:val="0"/>
          <w:caps w:val="0"/>
          <w:color w:val="2B2B2B"/>
          <w:spacing w:val="0"/>
          <w:sz w:val="32"/>
          <w:szCs w:val="32"/>
        </w:rPr>
        <w:t>改进措施：一是高度重视，提高信息质量。</w:t>
      </w:r>
      <w:r>
        <w:rPr>
          <w:rFonts w:ascii="仿宋_GB2312" w:eastAsia="仿宋_GB2312" w:hAnsi="仿宋_GB2312" w:cs="仿宋_GB2312" w:hint="eastAsia"/>
          <w:i w:val="0"/>
          <w:caps w:val="0"/>
          <w:color w:val="2B2B2B"/>
          <w:spacing w:val="0"/>
          <w:sz w:val="32"/>
          <w:szCs w:val="32"/>
          <w:lang w:eastAsia="zh-CN"/>
        </w:rPr>
        <w:t>全局</w:t>
      </w:r>
      <w:r>
        <w:rPr>
          <w:rFonts w:ascii="仿宋_GB2312" w:eastAsia="仿宋_GB2312" w:hAnsi="仿宋_GB2312" w:cs="仿宋_GB2312" w:hint="eastAsia"/>
          <w:i w:val="0"/>
          <w:caps w:val="0"/>
          <w:color w:val="2B2B2B"/>
          <w:spacing w:val="0"/>
          <w:sz w:val="32"/>
          <w:szCs w:val="32"/>
        </w:rPr>
        <w:t>要提高对信息公开的认识，加强学习，不断提高信息质量，扩大信息公开范围。二是加强学习,优化人员力量。积极参加</w:t>
      </w:r>
      <w:r>
        <w:rPr>
          <w:rFonts w:ascii="仿宋_GB2312" w:eastAsia="仿宋_GB2312" w:hAnsi="仿宋_GB2312" w:cs="仿宋_GB2312" w:hint="eastAsia"/>
          <w:i w:val="0"/>
          <w:caps w:val="0"/>
          <w:color w:val="2B2B2B"/>
          <w:spacing w:val="0"/>
          <w:sz w:val="32"/>
          <w:szCs w:val="32"/>
          <w:lang w:eastAsia="zh-CN"/>
        </w:rPr>
        <w:t>市</w:t>
      </w:r>
      <w:r>
        <w:rPr>
          <w:rFonts w:ascii="仿宋_GB2312" w:eastAsia="仿宋_GB2312" w:hAnsi="仿宋_GB2312" w:cs="仿宋_GB2312" w:hint="eastAsia"/>
          <w:i w:val="0"/>
          <w:caps w:val="0"/>
          <w:color w:val="2B2B2B"/>
          <w:spacing w:val="0"/>
          <w:sz w:val="32"/>
          <w:szCs w:val="32"/>
        </w:rPr>
        <w:t>上组织的政府信息公开业务知识培训，配备专职人员，不断提高政府信息公开工作人员的综合素质。三是规范工作流程，建立健全制度。严格按照工作流程要求，建立健全政府信息公开工作的考核评估、监督检查评议等工作制度，确保政府信息公开工作顺利开展。</w:t>
      </w:r>
    </w:p>
    <w:p>
      <w:pPr>
        <w:pStyle w:val="NormalWeb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420"/>
        <w:textAlignment w:val="auto"/>
        <w:rPr>
          <w:rStyle w:val="Strong"/>
          <w:rFonts w:ascii="黑体" w:eastAsia="黑体" w:hAnsi="黑体" w:cs="黑体" w:hint="eastAsia"/>
          <w:i w:val="0"/>
          <w:caps w:val="0"/>
          <w:color w:val="2B2B2B"/>
          <w:spacing w:val="0"/>
          <w:sz w:val="32"/>
          <w:szCs w:val="32"/>
        </w:rPr>
      </w:pPr>
      <w:r>
        <w:rPr>
          <w:rStyle w:val="Strong"/>
          <w:rFonts w:ascii="黑体" w:eastAsia="黑体" w:hAnsi="黑体" w:cs="黑体" w:hint="eastAsia"/>
          <w:i w:val="0"/>
          <w:caps w:val="0"/>
          <w:color w:val="2B2B2B"/>
          <w:spacing w:val="0"/>
          <w:sz w:val="32"/>
          <w:szCs w:val="32"/>
        </w:rPr>
        <w:t>其他需要报告的事项</w:t>
      </w:r>
    </w:p>
    <w:p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420" w:right="0" w:leftChars="0" w:rightChars="0"/>
        <w:textAlignment w:val="auto"/>
        <w:rPr>
          <w:rStyle w:val="Strong"/>
          <w:rFonts w:ascii="仿宋_GB2312" w:eastAsia="仿宋_GB2312" w:hAnsi="仿宋_GB2312" w:cs="仿宋_GB2312" w:hint="eastAsia"/>
          <w:b w:val="0"/>
          <w:bCs/>
          <w:i w:val="0"/>
          <w:caps w:val="0"/>
          <w:color w:val="2B2B2B"/>
          <w:spacing w:val="0"/>
          <w:sz w:val="32"/>
          <w:szCs w:val="32"/>
          <w:lang w:eastAsia="zh-CN"/>
        </w:rPr>
      </w:pPr>
      <w:r>
        <w:rPr>
          <w:rStyle w:val="Strong"/>
          <w:rFonts w:ascii="仿宋_GB2312" w:eastAsia="仿宋_GB2312" w:hAnsi="仿宋_GB2312" w:cs="仿宋_GB2312" w:hint="eastAsia"/>
          <w:b w:val="0"/>
          <w:bCs/>
          <w:i w:val="0"/>
          <w:caps w:val="0"/>
          <w:color w:val="2B2B2B"/>
          <w:spacing w:val="0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ADE73"/>
    <w:multiLevelType w:val="singleLevel"/>
    <w:tmpl w:val="06EADE73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EF4977"/>
    <w:rsid w:val="0FAB10DE"/>
    <w:rsid w:val="128522A8"/>
    <w:rsid w:val="3CEF4977"/>
    <w:rsid w:val="44F42D26"/>
    <w:rsid w:val="70A9505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zhangzudong</cp:lastModifiedBy>
  <cp:revision>1</cp:revision>
  <cp:lastPrinted>2022-01-05T09:58:00Z</cp:lastPrinted>
  <dcterms:created xsi:type="dcterms:W3CDTF">2022-01-05T08:56:00Z</dcterms:created>
  <dcterms:modified xsi:type="dcterms:W3CDTF">2022-01-20T03:35:58Z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956DDE9E60624BF7B075BC79D7AADAC8</vt:lpwstr>
  </property>
  <property fmtid="{D5CDD505-2E9C-101B-9397-08002B2CF9AE}" pid="3" name="KSOProductBuildVer">
    <vt:lpwstr>2052-11.1.0.11194</vt:lpwstr>
  </property>
</Properties>
</file>