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2"/>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40" w:lineRule="atLeast"/>
        <w:ind w:left="0" w:right="0" w:firstLine="0"/>
        <w:jc w:val="center"/>
        <w:rPr>
          <w:rFonts w:ascii="微软雅黑" w:eastAsia="微软雅黑" w:hAnsi="微软雅黑" w:cs="微软雅黑" w:hint="eastAsia"/>
          <w:caps w:val="0"/>
          <w:color w:val="333333"/>
          <w:spacing w:val="0"/>
          <w:sz w:val="57"/>
          <w:szCs w:val="57"/>
        </w:rPr>
      </w:pPr>
      <w:r>
        <w:rPr>
          <w:rFonts w:ascii="方正小标宋简体" w:eastAsia="方正小标宋简体" w:hAnsi="方正小标宋简体" w:cs="方正小标宋简体" w:hint="eastAsia"/>
          <w:caps w:val="0"/>
          <w:color w:val="333333"/>
          <w:spacing w:val="0"/>
          <w:sz w:val="57"/>
          <w:szCs w:val="57"/>
          <w:shd w:val="clear" w:color="auto" w:fill="FFFFFF"/>
          <w:lang w:val="en-US" w:eastAsia="zh-CN"/>
        </w:rPr>
        <w:t>乌苏市义务教育领域基层政务公开标准目录</w:t>
      </w:r>
    </w:p>
    <w:tbl>
      <w:tblPr>
        <w:tblStyle w:val="TableNormal"/>
        <w:tblW w:w="14059" w:type="dxa"/>
        <w:jc w:val="center"/>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540"/>
        <w:gridCol w:w="559"/>
        <w:gridCol w:w="900"/>
        <w:gridCol w:w="2340"/>
        <w:gridCol w:w="2520"/>
        <w:gridCol w:w="1620"/>
        <w:gridCol w:w="900"/>
        <w:gridCol w:w="2160"/>
        <w:gridCol w:w="540"/>
        <w:gridCol w:w="709"/>
        <w:gridCol w:w="11"/>
        <w:gridCol w:w="540"/>
        <w:gridCol w:w="720"/>
      </w:tblGrid>
      <w:tr>
        <w:tblPrEx>
          <w:tblW w:w="14059" w:type="dxa"/>
          <w:jc w:val="center"/>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jc w:val="cent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bookmarkStart w:id="0" w:name="_GoBack" w:colFirst="6" w:colLast="6"/>
            <w:r>
              <w:rPr>
                <w:rFonts w:ascii="黑体" w:eastAsia="黑体" w:hAnsi="宋体" w:cs="黑体"/>
                <w:color w:val="000000"/>
                <w:sz w:val="22"/>
                <w:szCs w:val="22"/>
              </w:rPr>
              <w:t>序号</w:t>
            </w:r>
          </w:p>
        </w:tc>
        <w:tc>
          <w:tcPr>
            <w:tcW w:w="1459" w:type="dxa"/>
            <w:gridSpan w:val="2"/>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公开事项</w:t>
            </w:r>
          </w:p>
        </w:tc>
        <w:tc>
          <w:tcPr>
            <w:tcW w:w="234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公开内容（要素）</w:t>
            </w:r>
          </w:p>
        </w:tc>
        <w:tc>
          <w:tcPr>
            <w:tcW w:w="252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公开依据</w:t>
            </w:r>
          </w:p>
        </w:tc>
        <w:tc>
          <w:tcPr>
            <w:tcW w:w="162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公开时限</w:t>
            </w:r>
          </w:p>
        </w:tc>
        <w:tc>
          <w:tcPr>
            <w:tcW w:w="90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公开主体</w:t>
            </w:r>
          </w:p>
        </w:tc>
        <w:tc>
          <w:tcPr>
            <w:tcW w:w="216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333333"/>
                <w:sz w:val="22"/>
                <w:szCs w:val="22"/>
              </w:rPr>
              <w:t>公开渠道和载体</w:t>
            </w:r>
          </w:p>
        </w:tc>
        <w:tc>
          <w:tcPr>
            <w:tcW w:w="1249" w:type="dxa"/>
            <w:gridSpan w:val="2"/>
            <w:tcBorders>
              <w:top w:val="single" w:sz="4" w:space="0" w:color="000000"/>
              <w:left w:val="nil"/>
              <w:bottom w:val="nil"/>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公开对象</w:t>
            </w:r>
          </w:p>
        </w:tc>
        <w:tc>
          <w:tcPr>
            <w:tcW w:w="1271" w:type="dxa"/>
            <w:gridSpan w:val="3"/>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公开方式</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一级事项</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二级事项</w:t>
            </w:r>
          </w:p>
        </w:tc>
        <w:tc>
          <w:tcPr>
            <w:tcW w:w="234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52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16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全社会</w:t>
            </w:r>
          </w:p>
        </w:tc>
        <w:tc>
          <w:tcPr>
            <w:tcW w:w="709" w:type="dxa"/>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特定群众</w:t>
            </w:r>
          </w:p>
        </w:tc>
        <w:tc>
          <w:tcPr>
            <w:tcW w:w="551" w:type="dxa"/>
            <w:gridSpan w:val="2"/>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主动</w:t>
            </w:r>
          </w:p>
        </w:tc>
        <w:tc>
          <w:tcPr>
            <w:tcW w:w="720" w:type="dxa"/>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依申请公开</w:t>
            </w:r>
          </w:p>
        </w:tc>
      </w:tr>
      <w:tr>
        <w:tblPrEx>
          <w:tblW w:w="14059" w:type="dxa"/>
          <w:jc w:val="center"/>
          <w:tblInd w:w="647" w:type="dxa"/>
          <w:shd w:val="clear" w:color="auto" w:fill="auto"/>
          <w:tblLayout w:type="fixed"/>
          <w:tblCellMar>
            <w:top w:w="0" w:type="dxa"/>
            <w:left w:w="108" w:type="dxa"/>
            <w:bottom w:w="0" w:type="dxa"/>
            <w:right w:w="108" w:type="dxa"/>
          </w:tblCellMar>
        </w:tblPrEx>
        <w:trPr>
          <w:trHeight w:val="1056"/>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color w:val="000000"/>
                <w:sz w:val="18"/>
                <w:szCs w:val="18"/>
              </w:rPr>
              <w:t>1</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政策</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文件</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教育法律</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《教育法》、《义务教育法》、《民办教育促进法》、《教师法》、《国家通用语言文字法》</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规范性文件</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政府和部门规章、各类教育政策文件</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■政府公报</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2</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教育概况</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教育事业发展主要情况</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教育事业发展主要情况</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《统计法》、《政府信息公开条例》、《教育统计管理规定》</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■公开查阅点</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教育统计数据</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学校数据、在校生数据、教师数据、办学条件数据、县级汇总数据</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■公开查阅点</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义务教育学校名录</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学校名称、学校地址、办学层次、办学类型、办公电话</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■公开查阅点</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trHeight w:val="2088"/>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3</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民办学校信息</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民办学校办学基本信息</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学校名称、办学许可证、办学规模、联系方式</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《民办教育促进法》、《政府信息公开条例》、《国务院关于鼓励社会力量兴办教育 促进民办教育健康发展的若干意见》</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■公开查阅点</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民办学校设立、变更、终止等事项行政审批、备案信息</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法律依据、办理流程、审批结果</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■公开查阅点</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日常监管信息</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年检指标、年检程序、年检结果、行政处罚信息</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4</w:t>
            </w:r>
          </w:p>
        </w:tc>
        <w:tc>
          <w:tcPr>
            <w:tcW w:w="559"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财务信息</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财务信息</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财务管理及监督办法、年度经费预决算信息、收费项目及收费标准</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5</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招生管理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学校介绍</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办学性质、办学地点、办学规模、办学基本条件、联系方式等</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《政府信息公开条例》、《教育部关于进一步做好小学升入初中免试就近入学工作的实施意见》、《教育部关于推进中小学信息公开工作的意见》</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招生政策</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各校招生工作实施方案；随迁子女入学办法；部分适龄儿童或少年延缓入学、休学等特殊需求的政策解读等</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■广播电视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■纸质媒体</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■公开查阅点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■社区/企事业单位/村公示栏（电子屏）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5</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招生管理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招生计划</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各校本年度招生计划</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《政府信息公开条例》、《教育部关于进一步做好小学升入初中免试就近入学工作的实施意见》《教育部关于推进中小学信息公开工作的意见》</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■社区/企事业单位/村公示栏（电子屏）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招生范围</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招生范围、学区划分详细情况</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招生结果</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各校本年度招生结果</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■社区/企事业单位/村公示栏（电子屏）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6</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学生管理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学籍管理</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区域内义务教育阶段学生休学、复学、转学相关政策及所需材料和办理流程；适龄儿童延缓入学所需材料及办理流程；学籍证明、毕（结）业证书遗失办理学历证明确认</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《义务教育法》、《政府信息公开条例》、《中小学生学籍管理办法》</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■其他：中小学生学籍管理系统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义务教育学生资助政策</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统一城乡义务教育“两免一补”政策</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《政府信息公开条例》、《国务院关于进一步完善城乡义务教育经费保障机制的通知》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■公开查阅点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■社区/企事业单位/村公示栏（电子屏）</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学生评优奖励</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县“三好学生”“优秀学生干部”评选标准；评比方法；表彰名单等</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《政府信息公开条例》，当地省市县表彰文件</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■社区/企事业单位/村公示栏（电子屏）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6</w:t>
            </w:r>
          </w:p>
        </w:tc>
        <w:tc>
          <w:tcPr>
            <w:tcW w:w="559"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学生管理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优待政策</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333333"/>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7</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教师培训</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教师培训政策文件、培训项目组织实施通知</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《教育法》、《教师法》、《中小学教师继续教育规定》</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教师资格认定</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教师资格认定申请材料；参加体检时间、医疗机构名单、体检合格标准；认定结果；咨询方式、监督举报方式、常见问题等</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《教师法》、《政府信息公开条例》、《教师资格条例》及实施办法、《教育部关于印发〈教师资格证书管理规定〉的通知》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trHeight w:val="749"/>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中小学、幼儿园教师资格证书补发、换发政策及流程</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7</w:t>
            </w:r>
          </w:p>
        </w:tc>
        <w:tc>
          <w:tcPr>
            <w:tcW w:w="559"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教师公开招聘</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教师招聘计划和公告、拟聘用人员名单公示</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■广播电视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■纸质媒体</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■社区/企事业单位/村公示栏（电子屏）</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7</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教师管理</w:t>
            </w:r>
          </w:p>
        </w:tc>
        <w:tc>
          <w:tcPr>
            <w:tcW w:w="90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行为</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规范</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教师职业行为准则及违规处理办法</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对教师有严重违反教师职业行为准则的行政处罚信息</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7</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教师管理</w:t>
            </w:r>
          </w:p>
        </w:tc>
        <w:tc>
          <w:tcPr>
            <w:tcW w:w="90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教师评优评先</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优秀教师的表彰、奖励等行政奖励信息公示</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《教师法》、《中共中央 国务院关于全面深化新时代教师队伍建设改革的意见》</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任教30年乡村教师以上教师申请荣誉证书相关政策</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《政府信息公开条例》、《关于做好乡村学校从教30年教师荣誉证书颁发工作的通知》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教师职称评审</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评审政策、评审通知、学校拟推荐人选名单、评审结果</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、最终结果</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《政府信息公开条例》、《人力资源社会保障部教育部关于印发深化中小学教师职称制度改革的指导意见的通知》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信息形成（变更）3个工作日内，公示时间不少于7个工作日</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7</w:t>
            </w:r>
          </w:p>
        </w:tc>
        <w:tc>
          <w:tcPr>
            <w:tcW w:w="559"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特岗教师招聘</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信息形成（变更）3个工作日内，公示时间不少于7个工作日</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应聘</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人员</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7</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教师管理</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乡村教师生活补助</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管理制度、实施方案、实施时间、补助范围、发放对象、补助档次标准、发放情况</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信息形成（变更）3个工作日内；教师申领情况进行常年公示</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■公开查阅点</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普通话培训及测试</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开展普通话培训、测试的通知；测试结果查询</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《政府信息公开条例》、《普通话水平测试管理规定》</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trHeight w:val="2294"/>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8</w:t>
            </w:r>
          </w:p>
        </w:tc>
        <w:tc>
          <w:tcPr>
            <w:tcW w:w="559"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重要政策执行情况</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控辍保学</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《政府信息公开条例》、《国务院办公厅关于进一步加强控辍保学提高义务教育巩固水平的通知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rPr>
                <w:color w:val="333333"/>
                <w:sz w:val="24"/>
                <w:szCs w:val="24"/>
              </w:rPr>
            </w:pPr>
            <w:r>
              <w:rPr>
                <w:rFonts w:ascii="仿宋_GB2312" w:eastAsia="仿宋_GB2312" w:cs="仿宋_GB2312" w:hint="default"/>
                <w:color w:val="333333"/>
                <w:sz w:val="18"/>
                <w:szCs w:val="18"/>
              </w:rPr>
              <w:t>■政府网站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重要政策执行情况</w:t>
            </w:r>
          </w:p>
        </w:tc>
        <w:tc>
          <w:tcPr>
            <w:tcW w:w="90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农村义务教育学生营养改善计划</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有关政策法规、规章、规范性文件；组织机构和职责，举报电话、信箱或电子邮箱</w:t>
            </w:r>
            <w:r>
              <w:rPr>
                <w:rFonts w:ascii="仿宋_GB2312" w:eastAsia="仿宋_GB2312" w:cs="仿宋_GB2312" w:hint="default"/>
                <w:color w:val="333333"/>
                <w:sz w:val="18"/>
                <w:szCs w:val="18"/>
              </w:rPr>
              <w:br/>
            </w:r>
            <w:r>
              <w:rPr>
                <w:rFonts w:ascii="仿宋_GB2312" w:eastAsia="仿宋_GB2312" w:cs="仿宋_GB2312" w:hint="default"/>
                <w:color w:val="333333"/>
                <w:sz w:val="18"/>
                <w:szCs w:val="18"/>
              </w:rPr>
              <w:t>；供餐企业、托餐家庭名单</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《政府信息公开条例》</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■政府网站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■广播电视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■纸质媒体</w:t>
            </w:r>
            <w:r>
              <w:rPr>
                <w:rFonts w:ascii="仿宋_GB2312" w:eastAsia="仿宋_GB2312" w:cs="仿宋_GB2312" w:hint="default"/>
                <w:color w:val="333333"/>
                <w:sz w:val="18"/>
                <w:szCs w:val="18"/>
              </w:rPr>
              <w:br/>
            </w:r>
            <w:r>
              <w:rPr>
                <w:rFonts w:ascii="仿宋_GB2312" w:eastAsia="仿宋_GB2312" w:cs="仿宋_GB2312" w:hint="default"/>
                <w:color w:val="333333"/>
                <w:sz w:val="18"/>
                <w:szCs w:val="18"/>
              </w:rPr>
              <w:t>■公开查阅点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■便民服务站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学校食堂饭菜价格、带量食谱；学校膳食委员会名单；学校管理人员陪餐情况；食品安全突发事件应急预案</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实施营养改善计划的试点学校</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■政府网站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■广播电视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■纸质媒体</w:t>
            </w:r>
            <w:r>
              <w:rPr>
                <w:rFonts w:ascii="仿宋_GB2312" w:eastAsia="仿宋_GB2312" w:cs="仿宋_GB2312" w:hint="default"/>
                <w:color w:val="333333"/>
                <w:sz w:val="18"/>
                <w:szCs w:val="18"/>
              </w:rPr>
              <w:br/>
            </w:r>
            <w:r>
              <w:rPr>
                <w:rFonts w:ascii="仿宋_GB2312" w:eastAsia="仿宋_GB2312" w:cs="仿宋_GB2312" w:hint="default"/>
                <w:color w:val="333333"/>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供餐企业（单位）配套管理制度，食品安全责任人、供餐方签约人；食品安全突发事件应急预案</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实施营养改善计划的供餐企业（单位）</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■广播电视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jc w:val="left"/>
              <w:rPr>
                <w:color w:val="333333"/>
                <w:sz w:val="24"/>
                <w:szCs w:val="24"/>
              </w:rPr>
            </w:pPr>
            <w:r>
              <w:rPr>
                <w:rFonts w:ascii="仿宋_GB2312" w:eastAsia="仿宋_GB2312" w:cs="仿宋_GB2312" w:hint="default"/>
                <w:color w:val="333333"/>
                <w:sz w:val="18"/>
                <w:szCs w:val="18"/>
              </w:rPr>
              <w:t>■纸质媒体</w:t>
            </w:r>
            <w:r>
              <w:rPr>
                <w:rFonts w:ascii="仿宋_GB2312" w:eastAsia="仿宋_GB2312" w:cs="仿宋_GB2312" w:hint="default"/>
                <w:color w:val="333333"/>
                <w:sz w:val="18"/>
                <w:szCs w:val="18"/>
              </w:rPr>
              <w:br/>
            </w:r>
            <w:r>
              <w:rPr>
                <w:rFonts w:ascii="仿宋_GB2312" w:eastAsia="仿宋_GB2312" w:cs="仿宋_GB2312" w:hint="default"/>
                <w:color w:val="333333"/>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8</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重要政策执行情况</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学校体育评价</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《政府信息公开条例》、教育部关于印发《学生体质健康监测评价办法》等三个文件的通知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学校美育评价</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《政府信息公开条例》、教育部关于印发《中小学生艺术素质测评办法》等三个文件的通知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333333"/>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trHeight w:val="1707"/>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9</w:t>
            </w:r>
          </w:p>
        </w:tc>
        <w:tc>
          <w:tcPr>
            <w:tcW w:w="559"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教育督导</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机构队伍</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督导部门组成、督学名单、</w:t>
            </w:r>
          </w:p>
        </w:tc>
        <w:tc>
          <w:tcPr>
            <w:tcW w:w="25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《教育督导条例》、《县域义务教育均衡发展督导评估暂行办法》、《县域义务教育优质均衡发展督导评估办法》</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学校督导评估</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年度督导工作计划内容、责任区划分和责任督学名单、责任督学日常督导事项，学校督导评估的办法、指标体系、督导评估报告</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559"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义务教育均衡发展督导评估</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义务教育均衡发展有关政策文件、职责权限、管理流程、监督方式、年度工作计划等，义务教育均衡发展状况自评方案及结果，州级教育督导机构对县进行督导评估的工作安排、评估结果</w:t>
            </w:r>
            <w:r>
              <w:rPr>
                <w:rFonts w:ascii="仿宋_GB2312" w:eastAsia="仿宋_GB2312" w:cs="仿宋_GB2312" w:hint="default"/>
                <w:color w:val="000000"/>
                <w:sz w:val="18"/>
                <w:szCs w:val="18"/>
              </w:rPr>
              <w:br/>
            </w:r>
            <w:r>
              <w:rPr>
                <w:rFonts w:ascii="仿宋_GB2312" w:eastAsia="仿宋_GB2312" w:cs="仿宋_GB2312" w:hint="default"/>
                <w:color w:val="000000"/>
                <w:sz w:val="18"/>
                <w:szCs w:val="18"/>
              </w:rPr>
              <w:t>国务院教育督导委员会对义务教育发展均衡县进行认定的结果、报告</w:t>
            </w:r>
          </w:p>
        </w:tc>
        <w:tc>
          <w:tcPr>
            <w:tcW w:w="25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■广播电视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333333"/>
                <w:sz w:val="18"/>
                <w:szCs w:val="18"/>
              </w:rPr>
              <w:t>■纸质媒体</w:t>
            </w:r>
            <w:r>
              <w:rPr>
                <w:rFonts w:ascii="仿宋_GB2312" w:eastAsia="仿宋_GB2312" w:cs="仿宋_GB2312" w:hint="default"/>
                <w:color w:val="333333"/>
                <w:sz w:val="18"/>
                <w:szCs w:val="18"/>
              </w:rPr>
              <w:br/>
            </w:r>
            <w:r>
              <w:rPr>
                <w:rFonts w:ascii="仿宋_GB2312" w:eastAsia="仿宋_GB2312" w:cs="仿宋_GB2312" w:hint="default"/>
                <w:color w:val="333333"/>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4059" w:type="dxa"/>
          <w:jc w:val="center"/>
          <w:tblInd w:w="647" w:type="dxa"/>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10</w:t>
            </w:r>
          </w:p>
        </w:tc>
        <w:tc>
          <w:tcPr>
            <w:tcW w:w="559"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校园安全</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校园安全管理</w:t>
            </w:r>
          </w:p>
        </w:tc>
        <w:tc>
          <w:tcPr>
            <w:tcW w:w="23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信息形成或者变更之日起20个工作日内</w:t>
            </w:r>
          </w:p>
        </w:tc>
        <w:tc>
          <w:tcPr>
            <w:tcW w:w="90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Theme="minorEastAsia" w:hint="eastAsia"/>
                <w:color w:val="333333"/>
                <w:sz w:val="24"/>
                <w:szCs w:val="24"/>
                <w:lang w:eastAsia="zh-CN"/>
              </w:rPr>
            </w:pPr>
            <w:r>
              <w:rPr>
                <w:rFonts w:ascii="仿宋_GB2312" w:eastAsia="仿宋_GB2312" w:cs="仿宋_GB2312" w:hint="eastAsia"/>
                <w:color w:val="000000"/>
                <w:sz w:val="18"/>
                <w:szCs w:val="18"/>
                <w:lang w:eastAsia="zh-CN"/>
              </w:rPr>
              <w:t>教育和科学技术局</w:t>
            </w:r>
          </w:p>
        </w:tc>
        <w:tc>
          <w:tcPr>
            <w:tcW w:w="21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333333"/>
                <w:sz w:val="18"/>
                <w:szCs w:val="18"/>
              </w:rPr>
              <w:t>■广播电视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333333"/>
                <w:sz w:val="18"/>
                <w:szCs w:val="18"/>
              </w:rPr>
              <w:t>■纸质媒体</w:t>
            </w:r>
            <w:r>
              <w:rPr>
                <w:rFonts w:ascii="仿宋_GB2312" w:eastAsia="仿宋_GB2312" w:cs="仿宋_GB2312" w:hint="default"/>
                <w:color w:val="333333"/>
                <w:sz w:val="18"/>
                <w:szCs w:val="18"/>
              </w:rPr>
              <w:br/>
            </w:r>
            <w:r>
              <w:rPr>
                <w:rFonts w:ascii="仿宋_GB2312" w:eastAsia="仿宋_GB2312" w:cs="仿宋_GB2312" w:hint="default"/>
                <w:color w:val="333333"/>
                <w:sz w:val="18"/>
                <w:szCs w:val="18"/>
              </w:rPr>
              <w:t>■公开查阅点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gridSpan w:val="2"/>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bookmarkEnd w:id="0"/>
    </w:tbl>
    <w:p>
      <w:pPr>
        <w:pStyle w:val="Heading2"/>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40" w:lineRule="atLeast"/>
        <w:ind w:left="0" w:right="0" w:firstLine="0"/>
        <w:jc w:val="center"/>
        <w:rPr>
          <w:rFonts w:ascii="方正小标宋简体" w:eastAsia="方正小标宋简体" w:hAnsi="方正小标宋简体" w:cs="方正小标宋简体" w:hint="eastAsia"/>
          <w:caps w:val="0"/>
          <w:color w:val="333333"/>
          <w:spacing w:val="0"/>
          <w:sz w:val="57"/>
          <w:szCs w:val="57"/>
          <w:shd w:val="clear" w:color="auto" w:fill="FFFFFF"/>
        </w:rPr>
      </w:pPr>
    </w:p>
    <w:p/>
    <w:sectPr>
      <w:pgSz w:w="16838" w:h="11906" w:orient="landscape"/>
      <w:pgMar w:top="850" w:right="850" w:bottom="850" w:left="85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743732"/>
    <w:rsid w:val="17520F71"/>
    <w:rsid w:val="2B6A2F76"/>
    <w:rsid w:val="5CAA04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2023-09-01T08:13:00Z</dcterms:created>
  <dcterms:modified xsi:type="dcterms:W3CDTF">2023-09-01T10:45:27Z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