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1"/>
        <w:keepNext w:val="0"/>
        <w:keepLines w:val="0"/>
        <w:widowControl/>
        <w:suppressLineNumbers w:val="0"/>
        <w:shd w:val="clear" w:color="auto" w:fill="FFFFFF"/>
        <w:ind w:left="0" w:firstLine="0"/>
        <w:jc w:val="center"/>
        <w:rPr>
          <w:rFonts w:ascii="Segoe UI" w:eastAsia="Segoe UI" w:hAnsi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ascii="Segoe UI" w:hAnsi="Segoe UI" w:cs="Segoe UI" w:hint="eastAsi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乌苏市</w:t>
      </w:r>
      <w:r>
        <w:rPr>
          <w:rFonts w:ascii="Segoe UI" w:eastAsia="Segoe UI" w:hAnsi="Segoe UI" w:cs="Segoe UI" w:hint="default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新闻出版版权领域基层政务公开标准目录</w:t>
      </w:r>
    </w:p>
    <w:tbl>
      <w:tblPr>
        <w:tblStyle w:val="TableNormal"/>
        <w:tblW w:w="136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57"/>
        <w:gridCol w:w="927"/>
        <w:gridCol w:w="1991"/>
        <w:gridCol w:w="2265"/>
        <w:gridCol w:w="866"/>
        <w:gridCol w:w="912"/>
        <w:gridCol w:w="882"/>
        <w:gridCol w:w="730"/>
        <w:gridCol w:w="730"/>
        <w:gridCol w:w="730"/>
        <w:gridCol w:w="730"/>
        <w:gridCol w:w="730"/>
        <w:gridCol w:w="760"/>
      </w:tblGrid>
      <w:tr>
        <w:tblPrEx>
          <w:tblW w:w="1369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  <w:jc w:val="center"/>
        </w:trPr>
        <w:tc>
          <w:tcPr>
            <w:tcW w:w="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9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全社会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特定群众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主动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依申请公开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乡、村级</w:t>
            </w: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出版物零售单位和个体工商户设立、变更审批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办事指南：主要包括适用范围、受理机构、事项名称、设定依据、申请条件、办理材料、办理地点、办理时间、联系电话、办理流程、办理期限、申请行政许可需要提交的全部材料目录及办理情况、结果送达、收费依据及标准、监督投诉渠道等；2.行政许可决定。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1.《中华人民共和国行政许可法》；2.《中华人民共和国政府信息公开条例》；3.《出版管理条例》；4.《出版物市场管理规定》；5.《关于全面推进政务公开工作的意见》。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县（市）委宣传部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■政府网站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■公开查阅点 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■新疆政务服务网   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电影放映单位设立审批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1.办事指南；2.受理条件；3.办理材料；4.办理流程；5.收费标准；6.设定依据。 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1.《电影管理条例》；2.《国务院关于第六批取消和调整行政审批项目的决定》； 3.《中华人民共和国行政许可法》。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县（市）委宣传部</w:t>
            </w: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■政府网站 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■公开查阅点 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■新疆政务服务网   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/>
          <w:jc w:val="center"/>
        </w:trPr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单位内部设立印刷厂（所）登记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1.办事指南；2.受理条件；3.办理材料；4.办理流程；5.收费标准；6.设定依据。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1.《印刷业管理条例》；2.《中华人民共和国行政许可法》。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县（市）委宣传部</w:t>
            </w: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■政府网站 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Calibri" w:hAnsi="Calibri" w:cs="Calibri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■公开查阅点 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Calibri" w:hAnsi="Calibri" w:cs="Calibri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iCs w:val="0"/>
                <w:color w:val="414141"/>
                <w:kern w:val="0"/>
                <w:sz w:val="21"/>
                <w:szCs w:val="21"/>
                <w:u w:val="none"/>
                <w:lang w:val="en-US" w:eastAsia="zh-CN" w:bidi="ar"/>
              </w:rPr>
              <w:t>■新疆政务服务网   </w:t>
            </w: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Calibri" w:hAnsi="Calibri" w:cs="Calibri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W w:w="13695" w:type="dxa"/>
          <w:jc w:val="center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414141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Calibri" w:hAnsi="Calibri" w:cs="Calibri" w:hint="default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spacing w:line="420" w:lineRule="atLeast"/>
        <w:ind w:left="0" w:firstLine="0"/>
        <w:jc w:val="left"/>
        <w:rPr>
          <w:rFonts w:ascii="Segoe UI" w:eastAsia="Segoe UI" w:hAnsi="Segoe UI" w:cs="Segoe UI" w:hint="default"/>
          <w:i w:val="0"/>
          <w:iCs w:val="0"/>
          <w:caps w:val="0"/>
          <w:color w:val="414141"/>
          <w:spacing w:val="0"/>
          <w:sz w:val="24"/>
          <w:szCs w:val="24"/>
        </w:rPr>
      </w:pPr>
    </w:p>
    <w:p/>
    <w:sectPr>
      <w:pgSz w:w="16838" w:h="11906" w:orient="landscape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C852E1"/>
    <w:rsid w:val="52043EC1"/>
  </w:rsids>
  <w:docVars>
    <w:docVar w:name="commondata" w:val="eyJoZGlkIjoiZGVkYzdlNDQ3N2VjZDY0MmIyMTNjN2JlNWRkNDY5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dcterms:created xsi:type="dcterms:W3CDTF">2023-11-22T08:59:00Z</dcterms:created>
  <dcterms:modified xsi:type="dcterms:W3CDTF">2023-11-22T09:02:12Z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F1D2C1F55B3C4EA1B524BEB2BE243346_12</vt:lpwstr>
  </property>
  <property fmtid="{D5CDD505-2E9C-101B-9397-08002B2CF9AE}" pid="3" name="KSOProductBuildVer">
    <vt:lpwstr>2052-12.1.0.15712</vt:lpwstr>
  </property>
</Properties>
</file>