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560" w:lineRule="exact"/>
        <w:ind w:right="0"/>
        <w:jc w:val="center"/>
        <w:textAlignment w:val="auto"/>
        <w:rPr>
          <w:rFonts w:ascii="Times New Roman" w:eastAsia="方正小标宋简体" w:hAnsi="Times New Roman" w:cs="方正小标宋简体" w:hint="eastAsia"/>
          <w:b w:val="0"/>
          <w:bCs w:val="0"/>
          <w:i w:val="0"/>
          <w:iCs w:val="0"/>
          <w:caps w:val="0"/>
          <w:color w:val="auto"/>
          <w:spacing w:val="0"/>
          <w:sz w:val="44"/>
          <w:szCs w:val="44"/>
          <w:highlight w:val="none"/>
        </w:rPr>
      </w:pPr>
      <w:bookmarkStart w:id="0" w:name="_GoBack"/>
      <w:r>
        <w:rPr>
          <w:rFonts w:ascii="Times New Roman" w:eastAsia="方正小标宋简体" w:hAnsi="Times New Roman" w:cs="方正小标宋简体" w:hint="eastAsia"/>
          <w:b w:val="0"/>
          <w:bCs w:val="0"/>
          <w:i w:val="0"/>
          <w:iCs w:val="0"/>
          <w:caps w:val="0"/>
          <w:color w:val="auto"/>
          <w:spacing w:val="0"/>
          <w:sz w:val="44"/>
          <w:szCs w:val="44"/>
          <w:highlight w:val="none"/>
          <w:shd w:val="clear" w:color="auto" w:fill="FFFFFF"/>
          <w:lang w:val="en-US" w:eastAsia="zh-CN"/>
        </w:rPr>
        <w:t>塔城地区生态环境局乌苏市分局</w:t>
      </w:r>
      <w:r>
        <w:rPr>
          <w:rFonts w:ascii="Times New Roman" w:eastAsia="方正小标宋简体" w:hAnsi="Times New Roman" w:cs="方正小标宋简体" w:hint="eastAsia"/>
          <w:b w:val="0"/>
          <w:bCs w:val="0"/>
          <w:i w:val="0"/>
          <w:iCs w:val="0"/>
          <w:caps w:val="0"/>
          <w:color w:val="auto"/>
          <w:spacing w:val="0"/>
          <w:sz w:val="44"/>
          <w:szCs w:val="44"/>
          <w:highlight w:val="none"/>
          <w:shd w:val="clear" w:color="auto" w:fill="FFFFFF"/>
        </w:rPr>
        <w:t>政府信息公开工作202</w:t>
      </w:r>
      <w:r>
        <w:rPr>
          <w:rFonts w:ascii="Times New Roman" w:eastAsia="方正小标宋简体" w:hAnsi="Times New Roman" w:cs="方正小标宋简体" w:hint="eastAsia"/>
          <w:b w:val="0"/>
          <w:bCs w:val="0"/>
          <w:i w:val="0"/>
          <w:iCs w:val="0"/>
          <w:caps w:val="0"/>
          <w:color w:val="auto"/>
          <w:spacing w:val="0"/>
          <w:sz w:val="44"/>
          <w:szCs w:val="44"/>
          <w:highlight w:val="none"/>
          <w:shd w:val="clear" w:color="auto" w:fill="FFFFFF"/>
          <w:lang w:val="en-US" w:eastAsia="zh-CN"/>
        </w:rPr>
        <w:t>3</w:t>
      </w:r>
      <w:r>
        <w:rPr>
          <w:rFonts w:ascii="Times New Roman" w:eastAsia="方正小标宋简体" w:hAnsi="Times New Roman" w:cs="方正小标宋简体" w:hint="eastAsia"/>
          <w:b w:val="0"/>
          <w:bCs w:val="0"/>
          <w:i w:val="0"/>
          <w:iCs w:val="0"/>
          <w:caps w:val="0"/>
          <w:color w:val="auto"/>
          <w:spacing w:val="0"/>
          <w:sz w:val="44"/>
          <w:szCs w:val="44"/>
          <w:highlight w:val="none"/>
          <w:shd w:val="clear" w:color="auto" w:fill="FFFFFF"/>
        </w:rPr>
        <w:t>年</w:t>
      </w:r>
      <w:r>
        <w:rPr>
          <w:rFonts w:ascii="Times New Roman" w:eastAsia="方正小标宋简体" w:hAnsi="Times New Roman" w:cs="方正小标宋简体" w:hint="eastAsia"/>
          <w:b w:val="0"/>
          <w:bCs w:val="0"/>
          <w:i w:val="0"/>
          <w:iCs w:val="0"/>
          <w:caps w:val="0"/>
          <w:color w:val="auto"/>
          <w:spacing w:val="0"/>
          <w:sz w:val="44"/>
          <w:szCs w:val="44"/>
          <w:highlight w:val="none"/>
          <w:shd w:val="clear" w:color="auto" w:fill="FFFFFF"/>
          <w:lang w:val="en-US" w:eastAsia="zh-CN"/>
        </w:rPr>
        <w:t>度</w:t>
      </w:r>
      <w:r>
        <w:rPr>
          <w:rFonts w:ascii="Times New Roman" w:eastAsia="方正小标宋简体" w:hAnsi="Times New Roman" w:cs="方正小标宋简体" w:hint="eastAsia"/>
          <w:b w:val="0"/>
          <w:bCs w:val="0"/>
          <w:i w:val="0"/>
          <w:iCs w:val="0"/>
          <w:caps w:val="0"/>
          <w:color w:val="auto"/>
          <w:spacing w:val="0"/>
          <w:sz w:val="44"/>
          <w:szCs w:val="44"/>
          <w:highlight w:val="none"/>
          <w:shd w:val="clear" w:color="auto" w:fill="FFFFFF"/>
        </w:rPr>
        <w:t>报告</w:t>
      </w:r>
    </w:p>
    <w:bookmarkEnd w:id="0"/>
    <w:p>
      <w:pPr>
        <w:spacing w:line="560" w:lineRule="exact"/>
        <w:ind w:firstLine="640" w:firstLineChars="200"/>
        <w:jc w:val="cente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pPr>
    </w:p>
    <w:p>
      <w:pPr>
        <w:spacing w:line="560" w:lineRule="exact"/>
        <w:ind w:firstLine="640" w:firstLineChars="200"/>
        <w:jc w:val="both"/>
        <w:rPr>
          <w:rFonts w:ascii="Times New Roman" w:eastAsia="方正小标宋_GBK" w:hAnsi="Times New Roman" w:cs="仿宋_GB2312" w:hint="eastAsia"/>
          <w:sz w:val="44"/>
          <w:szCs w:val="44"/>
        </w:rPr>
      </w:pP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根据《中华人民共和国政府信息公开条例》和市政府办公室关于做好2023年度政府信息公开工作年度报告相关要求，现公布塔城地区生态环境局乌苏市分局2023年政府信息公开工作年度报告。</w:t>
      </w:r>
    </w:p>
    <w:p>
      <w:pPr>
        <w:spacing w:line="560" w:lineRule="exact"/>
        <w:ind w:firstLine="640" w:firstLineChars="200"/>
        <w:jc w:val="both"/>
        <w:rPr>
          <w:rFonts w:ascii="Times New Roman" w:eastAsia="黑体" w:hAnsi="Times New Roman" w:cs="宋体" w:hint="eastAsia"/>
          <w:sz w:val="32"/>
          <w:szCs w:val="32"/>
        </w:rPr>
      </w:pPr>
      <w:r>
        <w:rPr>
          <w:rFonts w:ascii="Times New Roman" w:eastAsia="黑体" w:hAnsi="Times New Roman" w:cs="宋体" w:hint="eastAsia"/>
          <w:sz w:val="32"/>
          <w:szCs w:val="32"/>
        </w:rPr>
        <w:t>一、总体情况</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Times New Roman" w:eastAsia="仿宋_GB2312" w:hAnsi="Times New Roman" w:cs="仿宋_GB2312" w:hint="eastAsia"/>
          <w:i w:val="0"/>
          <w:iCs w:val="0"/>
          <w:caps w:val="0"/>
          <w:color w:val="auto"/>
          <w:spacing w:val="0"/>
          <w:sz w:val="32"/>
          <w:szCs w:val="32"/>
          <w:highlight w:val="none"/>
          <w:shd w:val="clear" w:color="auto" w:fill="FFFFFF"/>
        </w:rPr>
      </w:pPr>
      <w:r>
        <w:rPr>
          <w:rFonts w:ascii="Times New Roman" w:eastAsia="仿宋_GB2312" w:hAnsi="Times New Roman" w:cs="仿宋_GB2312" w:hint="eastAsia"/>
          <w:i w:val="0"/>
          <w:iCs w:val="0"/>
          <w:caps w:val="0"/>
          <w:color w:val="auto"/>
          <w:spacing w:val="0"/>
          <w:sz w:val="32"/>
          <w:szCs w:val="32"/>
          <w:highlight w:val="none"/>
          <w:shd w:val="clear" w:color="auto" w:fill="FFFFFF"/>
        </w:rPr>
        <w:t>2023年，塔城地区生态环境局乌苏市分局坚持以习近平新时代中国特色社会主义思想为指导，深入学习贯彻党的二十大精神，全面贯彻落实习近平总书记在全国生态环境保护大会上的重要讲话精神，严格执行《中华人民共和国政府信息公开条例》，认真落实国家</w:t>
      </w:r>
      <w:r>
        <w:rPr>
          <w:rFonts w:ascii="Times New Roman" w:eastAsia="仿宋_GB2312" w:hAnsi="Times New Roman" w:cs="仿宋_GB2312" w:hint="eastAsia"/>
          <w:i w:val="0"/>
          <w:iCs w:val="0"/>
          <w:caps w:val="0"/>
          <w:color w:val="auto"/>
          <w:spacing w:val="0"/>
          <w:sz w:val="32"/>
          <w:szCs w:val="32"/>
          <w:highlight w:val="none"/>
          <w:shd w:val="clear" w:color="auto" w:fill="FFFFFF"/>
          <w:lang w:eastAsia="zh-CN"/>
        </w:rPr>
        <w:t>、</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自治区</w:t>
      </w:r>
      <w:r>
        <w:rPr>
          <w:rFonts w:ascii="Times New Roman" w:eastAsia="仿宋_GB2312" w:hAnsi="Times New Roman" w:cs="仿宋_GB2312" w:hint="eastAsia"/>
          <w:i w:val="0"/>
          <w:iCs w:val="0"/>
          <w:caps w:val="0"/>
          <w:color w:val="auto"/>
          <w:spacing w:val="0"/>
          <w:sz w:val="32"/>
          <w:szCs w:val="32"/>
          <w:highlight w:val="none"/>
          <w:shd w:val="clear" w:color="auto" w:fill="FFFFFF"/>
        </w:rPr>
        <w:t>、</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地区及市</w:t>
      </w:r>
      <w:r>
        <w:rPr>
          <w:rFonts w:ascii="Times New Roman" w:eastAsia="仿宋_GB2312" w:hAnsi="Times New Roman" w:cs="仿宋_GB2312" w:hint="eastAsia"/>
          <w:i w:val="0"/>
          <w:iCs w:val="0"/>
          <w:caps w:val="0"/>
          <w:color w:val="auto"/>
          <w:spacing w:val="0"/>
          <w:sz w:val="32"/>
          <w:szCs w:val="32"/>
          <w:highlight w:val="none"/>
          <w:shd w:val="clear" w:color="auto" w:fill="FFFFFF"/>
        </w:rPr>
        <w:t>政府信息公开决策部署，不断夯实工作基础、提升政策公开质量，更好发挥以公开促落实、强监管功能。</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Times New Roman" w:eastAsia="仿宋_GB2312" w:hAnsi="Times New Roman" w:cs="仿宋_GB2312" w:hint="eastAsia"/>
          <w:i w:val="0"/>
          <w:iCs w:val="0"/>
          <w:caps w:val="0"/>
          <w:color w:val="auto"/>
          <w:spacing w:val="0"/>
          <w:sz w:val="32"/>
          <w:szCs w:val="32"/>
          <w:highlight w:val="none"/>
          <w:shd w:val="clear" w:color="auto" w:fill="FFFFFF"/>
        </w:rPr>
      </w:pPr>
      <w:r>
        <w:rPr>
          <w:rFonts w:ascii="Times New Roman" w:eastAsia="楷体_GB2312" w:hAnsi="Times New Roman" w:cs="楷体_GB2312" w:hint="eastAsia"/>
          <w:b/>
          <w:bCs/>
          <w:i w:val="0"/>
          <w:iCs w:val="0"/>
          <w:caps w:val="0"/>
          <w:color w:val="auto"/>
          <w:spacing w:val="0"/>
          <w:sz w:val="32"/>
          <w:szCs w:val="32"/>
          <w:highlight w:val="none"/>
          <w:shd w:val="clear" w:color="auto" w:fill="FFFFFF"/>
        </w:rPr>
        <w:t>（一）主动公开情况。</w:t>
      </w:r>
      <w:r>
        <w:rPr>
          <w:rFonts w:ascii="Times New Roman" w:eastAsia="仿宋_GB2312" w:hAnsi="Times New Roman" w:cs="仿宋_GB2312" w:hint="eastAsia"/>
          <w:i w:val="0"/>
          <w:iCs w:val="0"/>
          <w:caps w:val="0"/>
          <w:color w:val="auto"/>
          <w:spacing w:val="0"/>
          <w:sz w:val="32"/>
          <w:szCs w:val="32"/>
          <w:highlight w:val="none"/>
          <w:shd w:val="clear" w:color="auto" w:fill="FFFFFF"/>
        </w:rPr>
        <w:t>坚持以公开为常态、不公开为例外，根据依法确定公开事项的具体内容、责任单位、公开渠道和公开时限，</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我局</w:t>
      </w:r>
      <w:r>
        <w:rPr>
          <w:rFonts w:ascii="Times New Roman" w:eastAsia="仿宋_GB2312" w:hAnsi="Times New Roman" w:cs="仿宋_GB2312" w:hint="eastAsia"/>
          <w:i w:val="0"/>
          <w:iCs w:val="0"/>
          <w:caps w:val="0"/>
          <w:color w:val="auto"/>
          <w:spacing w:val="0"/>
          <w:sz w:val="32"/>
          <w:szCs w:val="32"/>
          <w:highlight w:val="none"/>
          <w:shd w:val="clear" w:color="auto" w:fill="FFFFFF"/>
        </w:rPr>
        <w:t>通过</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市人民政府</w:t>
      </w:r>
      <w:r>
        <w:rPr>
          <w:rFonts w:ascii="Times New Roman" w:eastAsia="仿宋_GB2312" w:hAnsi="Times New Roman" w:cs="仿宋_GB2312" w:hint="eastAsia"/>
          <w:i w:val="0"/>
          <w:iCs w:val="0"/>
          <w:caps w:val="0"/>
          <w:color w:val="auto"/>
          <w:spacing w:val="0"/>
          <w:sz w:val="32"/>
          <w:szCs w:val="32"/>
          <w:highlight w:val="none"/>
          <w:shd w:val="clear" w:color="auto" w:fill="FFFFFF"/>
        </w:rPr>
        <w:t>门户网站主动公开各类生态环境信息。包括饮用水水源水质状况、空气环境质量状况、环境执法、环境监测等重点环境信息。全年通过网站公开信息</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385</w:t>
      </w:r>
      <w:r>
        <w:rPr>
          <w:rFonts w:ascii="Times New Roman" w:eastAsia="仿宋_GB2312" w:hAnsi="Times New Roman" w:cs="仿宋_GB2312" w:hint="eastAsia"/>
          <w:i w:val="0"/>
          <w:iCs w:val="0"/>
          <w:caps w:val="0"/>
          <w:color w:val="auto"/>
          <w:spacing w:val="0"/>
          <w:sz w:val="32"/>
          <w:szCs w:val="32"/>
          <w:highlight w:val="none"/>
          <w:shd w:val="clear" w:color="auto" w:fill="FFFFFF"/>
        </w:rPr>
        <w:t>条。</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Times New Roman" w:eastAsia="仿宋_GB2312" w:hAnsi="Times New Roman" w:cs="仿宋_GB2312" w:hint="eastAsia"/>
          <w:i w:val="0"/>
          <w:iCs w:val="0"/>
          <w:caps w:val="0"/>
          <w:color w:val="auto"/>
          <w:spacing w:val="0"/>
          <w:sz w:val="32"/>
          <w:szCs w:val="32"/>
          <w:highlight w:val="none"/>
          <w:shd w:val="clear" w:color="auto" w:fill="FFFFFF"/>
        </w:rPr>
      </w:pPr>
      <w:r>
        <w:rPr>
          <w:rFonts w:ascii="Times New Roman" w:eastAsia="楷体_GB2312" w:hAnsi="Times New Roman" w:cs="楷体_GB2312" w:hint="eastAsia"/>
          <w:b/>
          <w:bCs/>
          <w:i w:val="0"/>
          <w:iCs w:val="0"/>
          <w:caps w:val="0"/>
          <w:color w:val="auto"/>
          <w:spacing w:val="0"/>
          <w:sz w:val="32"/>
          <w:szCs w:val="32"/>
          <w:highlight w:val="none"/>
          <w:shd w:val="clear" w:color="auto" w:fill="FFFFFF"/>
        </w:rPr>
        <w:t>（二）依申请公开情况。</w:t>
      </w:r>
      <w:r>
        <w:rPr>
          <w:rFonts w:ascii="Times New Roman" w:eastAsia="仿宋_GB2312" w:hAnsi="Times New Roman" w:cs="仿宋_GB2312" w:hint="eastAsia"/>
          <w:i w:val="0"/>
          <w:iCs w:val="0"/>
          <w:caps w:val="0"/>
          <w:color w:val="auto"/>
          <w:spacing w:val="0"/>
          <w:sz w:val="32"/>
          <w:szCs w:val="32"/>
          <w:highlight w:val="none"/>
          <w:shd w:val="clear" w:color="auto" w:fill="FFFFFF"/>
        </w:rPr>
        <w:t>2023年，我局</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未收到上年结转和</w:t>
      </w:r>
      <w:r>
        <w:rPr>
          <w:rFonts w:ascii="Times New Roman" w:eastAsia="仿宋_GB2312" w:hAnsi="Times New Roman" w:cs="仿宋_GB2312" w:hint="eastAsia"/>
          <w:i w:val="0"/>
          <w:iCs w:val="0"/>
          <w:caps w:val="0"/>
          <w:color w:val="auto"/>
          <w:spacing w:val="0"/>
          <w:sz w:val="32"/>
          <w:szCs w:val="32"/>
          <w:highlight w:val="none"/>
          <w:shd w:val="clear" w:color="auto" w:fill="FFFFFF"/>
        </w:rPr>
        <w:t>新收政府信息公开申请。</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Times New Roman" w:eastAsia="仿宋_GB2312" w:hAnsi="Times New Roman" w:cs="仿宋_GB2312" w:hint="eastAsia"/>
          <w:i w:val="0"/>
          <w:iCs w:val="0"/>
          <w:caps w:val="0"/>
          <w:color w:val="auto"/>
          <w:spacing w:val="0"/>
          <w:sz w:val="32"/>
          <w:szCs w:val="32"/>
          <w:highlight w:val="none"/>
          <w:shd w:val="clear" w:color="auto" w:fill="FFFFFF"/>
        </w:rPr>
      </w:pPr>
      <w:r>
        <w:rPr>
          <w:rFonts w:ascii="Times New Roman" w:eastAsia="楷体_GB2312" w:hAnsi="Times New Roman" w:cs="楷体_GB2312" w:hint="eastAsia"/>
          <w:b/>
          <w:bCs/>
          <w:i w:val="0"/>
          <w:iCs w:val="0"/>
          <w:caps w:val="0"/>
          <w:color w:val="auto"/>
          <w:spacing w:val="0"/>
          <w:sz w:val="32"/>
          <w:szCs w:val="32"/>
          <w:highlight w:val="none"/>
          <w:shd w:val="clear" w:color="auto" w:fill="FFFFFF"/>
        </w:rPr>
        <w:t>（三）政府信息管理情况。</w:t>
      </w:r>
      <w:r>
        <w:rPr>
          <w:rFonts w:ascii="Times New Roman" w:eastAsia="仿宋_GB2312" w:hAnsi="Times New Roman" w:cs="仿宋_GB2312" w:hint="eastAsia"/>
          <w:i w:val="0"/>
          <w:iCs w:val="0"/>
          <w:caps w:val="0"/>
          <w:color w:val="auto"/>
          <w:spacing w:val="0"/>
          <w:sz w:val="32"/>
          <w:szCs w:val="32"/>
          <w:highlight w:val="none"/>
          <w:shd w:val="clear" w:color="auto" w:fill="FFFFFF"/>
        </w:rPr>
        <w:t>严格落实政府公开信息逐级审核制度，形成由业务科室初审、办公室复审、分管领导终审的三级审查机制，在把好政治关、政策关、保密关、格式关和文字关的同时，确保发布的各项信息不出现任何漏洞。同时，按照“谁开设、谁管理”的原则，进一步落实政务新媒体主体责任，切实做好安全防护和内容保障，杜绝发布与本部门职能没有直接关联的信息。202</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3</w:t>
      </w:r>
      <w:r>
        <w:rPr>
          <w:rFonts w:ascii="Times New Roman" w:eastAsia="仿宋_GB2312" w:hAnsi="Times New Roman" w:cs="仿宋_GB2312" w:hint="eastAsia"/>
          <w:i w:val="0"/>
          <w:iCs w:val="0"/>
          <w:caps w:val="0"/>
          <w:color w:val="auto"/>
          <w:spacing w:val="0"/>
          <w:sz w:val="32"/>
          <w:szCs w:val="32"/>
          <w:highlight w:val="none"/>
          <w:shd w:val="clear" w:color="auto" w:fill="FFFFFF"/>
        </w:rPr>
        <w:t>年及时公开大气、水、土壤污染防治和环境违法行为行政处罚</w:t>
      </w:r>
      <w:r>
        <w:rPr>
          <w:rFonts w:ascii="Times New Roman" w:eastAsia="仿宋_GB2312" w:hAnsi="Times New Roman" w:cs="仿宋_GB2312" w:hint="eastAsia"/>
          <w:i w:val="0"/>
          <w:iCs w:val="0"/>
          <w:caps w:val="0"/>
          <w:color w:val="auto"/>
          <w:spacing w:val="0"/>
          <w:sz w:val="32"/>
          <w:szCs w:val="32"/>
          <w:highlight w:val="none"/>
          <w:shd w:val="clear" w:color="auto" w:fill="FFFFFF"/>
          <w:lang w:eastAsia="zh-CN"/>
        </w:rPr>
        <w:t>、“双随机、一公开”监管</w:t>
      </w:r>
      <w:r>
        <w:rPr>
          <w:rFonts w:ascii="Times New Roman" w:eastAsia="仿宋_GB2312" w:hAnsi="Times New Roman" w:cs="仿宋_GB2312" w:hint="eastAsia"/>
          <w:i w:val="0"/>
          <w:iCs w:val="0"/>
          <w:caps w:val="0"/>
          <w:color w:val="auto"/>
          <w:spacing w:val="0"/>
          <w:sz w:val="32"/>
          <w:szCs w:val="32"/>
          <w:highlight w:val="none"/>
          <w:shd w:val="clear" w:color="auto" w:fill="FFFFFF"/>
        </w:rPr>
        <w:t>等情况</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20</w:t>
      </w:r>
      <w:r>
        <w:rPr>
          <w:rFonts w:ascii="Times New Roman" w:eastAsia="仿宋_GB2312" w:hAnsi="Times New Roman" w:cs="仿宋_GB2312" w:hint="eastAsia"/>
          <w:i w:val="0"/>
          <w:iCs w:val="0"/>
          <w:caps w:val="0"/>
          <w:color w:val="auto"/>
          <w:spacing w:val="0"/>
          <w:sz w:val="32"/>
          <w:szCs w:val="32"/>
          <w:highlight w:val="none"/>
          <w:shd w:val="clear" w:color="auto" w:fill="FFFFFF"/>
        </w:rPr>
        <w:t>条。</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Times New Roman" w:eastAsia="仿宋_GB2312" w:hAnsi="Times New Roman" w:cs="仿宋_GB2312" w:hint="eastAsia"/>
          <w:i w:val="0"/>
          <w:iCs w:val="0"/>
          <w:caps w:val="0"/>
          <w:color w:val="auto"/>
          <w:spacing w:val="0"/>
          <w:sz w:val="32"/>
          <w:szCs w:val="32"/>
          <w:highlight w:val="none"/>
          <w:shd w:val="clear" w:color="auto" w:fill="FFFFFF"/>
        </w:rPr>
      </w:pPr>
      <w:r>
        <w:rPr>
          <w:rFonts w:ascii="Times New Roman" w:eastAsia="楷体_GB2312" w:hAnsi="Times New Roman" w:cs="楷体_GB2312" w:hint="eastAsia"/>
          <w:b/>
          <w:bCs/>
          <w:i w:val="0"/>
          <w:iCs w:val="0"/>
          <w:caps w:val="0"/>
          <w:color w:val="auto"/>
          <w:spacing w:val="0"/>
          <w:sz w:val="32"/>
          <w:szCs w:val="32"/>
          <w:highlight w:val="none"/>
          <w:shd w:val="clear" w:color="auto" w:fill="FFFFFF"/>
        </w:rPr>
        <w:t>（四）平台建设情况。</w:t>
      </w:r>
      <w:r>
        <w:rPr>
          <w:rFonts w:ascii="Times New Roman" w:eastAsia="仿宋_GB2312" w:hAnsi="Times New Roman" w:cs="仿宋_GB2312" w:hint="eastAsia"/>
          <w:i w:val="0"/>
          <w:iCs w:val="0"/>
          <w:caps w:val="0"/>
          <w:color w:val="auto"/>
          <w:spacing w:val="0"/>
          <w:sz w:val="32"/>
          <w:szCs w:val="32"/>
          <w:highlight w:val="none"/>
          <w:shd w:val="clear" w:color="auto" w:fill="FFFFFF"/>
        </w:rPr>
        <w:t>2023年，我局</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主要依托市人民政府门户网站，</w:t>
      </w:r>
      <w:r>
        <w:rPr>
          <w:rFonts w:ascii="Times New Roman" w:eastAsia="仿宋_GB2312" w:hAnsi="Times New Roman" w:cs="仿宋_GB2312" w:hint="eastAsia"/>
          <w:i w:val="0"/>
          <w:iCs w:val="0"/>
          <w:caps w:val="0"/>
          <w:color w:val="auto"/>
          <w:spacing w:val="0"/>
          <w:sz w:val="32"/>
          <w:szCs w:val="32"/>
          <w:highlight w:val="none"/>
          <w:shd w:val="clear" w:color="auto" w:fill="FFFFFF"/>
        </w:rPr>
        <w:t>持续规范</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信息</w:t>
      </w:r>
      <w:r>
        <w:rPr>
          <w:rFonts w:ascii="Times New Roman" w:eastAsia="仿宋_GB2312" w:hAnsi="Times New Roman" w:cs="仿宋_GB2312" w:hint="eastAsia"/>
          <w:i w:val="0"/>
          <w:iCs w:val="0"/>
          <w:caps w:val="0"/>
          <w:color w:val="auto"/>
          <w:spacing w:val="0"/>
          <w:sz w:val="32"/>
          <w:szCs w:val="32"/>
          <w:highlight w:val="none"/>
          <w:shd w:val="clear" w:color="auto" w:fill="FFFFFF"/>
        </w:rPr>
        <w:t>公开，优化服务功能。围绕群众普遍关心的重点生态环境问题，加强政务网站栏目建设，突出生态环境保护工作特点，积极发挥政务网站信息公开平台作用，持续推进政府网站政务公开工作，及时发布我市生态环境质量状况和生态环境工作情况。</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Times New Roman" w:eastAsia="黑体" w:hAnsi="Times New Roman" w:cs="宋体" w:hint="eastAsia"/>
          <w:sz w:val="32"/>
          <w:szCs w:val="32"/>
        </w:rPr>
      </w:pPr>
      <w:r>
        <w:rPr>
          <w:rFonts w:ascii="Times New Roman" w:eastAsia="楷体_GB2312" w:hAnsi="Times New Roman" w:cs="楷体_GB2312" w:hint="eastAsia"/>
          <w:b/>
          <w:bCs/>
          <w:i w:val="0"/>
          <w:iCs w:val="0"/>
          <w:caps w:val="0"/>
          <w:color w:val="auto"/>
          <w:spacing w:val="0"/>
          <w:sz w:val="32"/>
          <w:szCs w:val="32"/>
          <w:highlight w:val="none"/>
          <w:shd w:val="clear" w:color="auto" w:fill="FFFFFF"/>
        </w:rPr>
        <w:t>（五）监督保障情况。</w:t>
      </w:r>
      <w:r>
        <w:rPr>
          <w:rFonts w:ascii="Times New Roman" w:eastAsia="仿宋_GB2312" w:hAnsi="Times New Roman" w:cs="仿宋_GB2312" w:hint="eastAsia"/>
          <w:i w:val="0"/>
          <w:iCs w:val="0"/>
          <w:caps w:val="0"/>
          <w:color w:val="auto"/>
          <w:spacing w:val="0"/>
          <w:sz w:val="32"/>
          <w:szCs w:val="32"/>
          <w:highlight w:val="none"/>
          <w:shd w:val="clear" w:color="auto" w:fill="FFFFFF"/>
        </w:rPr>
        <w:t>一是强化内部监督。组织定期检查信息公开落实情况，对存在的问题及时提醒和纠正；结合市</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人民</w:t>
      </w:r>
      <w:r>
        <w:rPr>
          <w:rFonts w:ascii="Times New Roman" w:eastAsia="仿宋_GB2312" w:hAnsi="Times New Roman" w:cs="仿宋_GB2312" w:hint="eastAsia"/>
          <w:i w:val="0"/>
          <w:iCs w:val="0"/>
          <w:caps w:val="0"/>
          <w:color w:val="auto"/>
          <w:spacing w:val="0"/>
          <w:sz w:val="32"/>
          <w:szCs w:val="32"/>
          <w:highlight w:val="none"/>
          <w:shd w:val="clear" w:color="auto" w:fill="FFFFFF"/>
        </w:rPr>
        <w:t>政府信息公开考评</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要求</w:t>
      </w:r>
      <w:r>
        <w:rPr>
          <w:rFonts w:ascii="Times New Roman" w:eastAsia="仿宋_GB2312" w:hAnsi="Times New Roman" w:cs="仿宋_GB2312" w:hint="eastAsia"/>
          <w:i w:val="0"/>
          <w:iCs w:val="0"/>
          <w:caps w:val="0"/>
          <w:color w:val="auto"/>
          <w:spacing w:val="0"/>
          <w:sz w:val="32"/>
          <w:szCs w:val="32"/>
          <w:highlight w:val="none"/>
          <w:shd w:val="clear" w:color="auto" w:fill="FFFFFF"/>
        </w:rPr>
        <w:t>，</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积极推进</w:t>
      </w:r>
      <w:r>
        <w:rPr>
          <w:rFonts w:ascii="Times New Roman" w:eastAsia="仿宋_GB2312" w:hAnsi="Times New Roman" w:cs="仿宋_GB2312" w:hint="eastAsia"/>
          <w:i w:val="0"/>
          <w:iCs w:val="0"/>
          <w:caps w:val="0"/>
          <w:color w:val="auto"/>
          <w:spacing w:val="0"/>
          <w:sz w:val="32"/>
          <w:szCs w:val="32"/>
          <w:highlight w:val="none"/>
          <w:shd w:val="clear" w:color="auto" w:fill="FFFFFF"/>
        </w:rPr>
        <w:t>整改落实。二是严格考核运用。把政务公开工作纳入各</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股</w:t>
      </w:r>
      <w:r>
        <w:rPr>
          <w:rFonts w:ascii="Times New Roman" w:eastAsia="仿宋_GB2312" w:hAnsi="Times New Roman" w:cs="仿宋_GB2312" w:hint="eastAsia"/>
          <w:i w:val="0"/>
          <w:iCs w:val="0"/>
          <w:caps w:val="0"/>
          <w:color w:val="auto"/>
          <w:spacing w:val="0"/>
          <w:sz w:val="32"/>
          <w:szCs w:val="32"/>
          <w:highlight w:val="none"/>
          <w:shd w:val="clear" w:color="auto" w:fill="FFFFFF"/>
        </w:rPr>
        <w:t>室年度目标绩效考核评分，促进公开工作落实。三是加强外部监督保障。以高度的政治自觉主动接受社会评议，并针对指出的问题逐项整改落实，202</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3</w:t>
      </w:r>
      <w:r>
        <w:rPr>
          <w:rFonts w:ascii="Times New Roman" w:eastAsia="仿宋_GB2312" w:hAnsi="Times New Roman" w:cs="仿宋_GB2312" w:hint="eastAsia"/>
          <w:i w:val="0"/>
          <w:iCs w:val="0"/>
          <w:caps w:val="0"/>
          <w:color w:val="auto"/>
          <w:spacing w:val="0"/>
          <w:sz w:val="32"/>
          <w:szCs w:val="32"/>
          <w:highlight w:val="none"/>
          <w:shd w:val="clear" w:color="auto" w:fill="FFFFFF"/>
        </w:rPr>
        <w:t>年</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我局未发生政府信息公开工作责任追究情况。</w:t>
      </w:r>
    </w:p>
    <w:p>
      <w:pPr>
        <w:spacing w:line="560" w:lineRule="exact"/>
        <w:ind w:firstLine="640" w:firstLineChars="200"/>
        <w:jc w:val="left"/>
        <w:rPr>
          <w:rFonts w:ascii="Times New Roman" w:eastAsia="黑体" w:hAnsi="Times New Roman" w:cs="宋体" w:hint="eastAsia"/>
          <w:sz w:val="32"/>
          <w:szCs w:val="32"/>
        </w:rPr>
      </w:pPr>
      <w:r>
        <w:rPr>
          <w:rFonts w:ascii="Times New Roman" w:eastAsia="黑体" w:hAnsi="Times New Roman" w:cs="宋体" w:hint="eastAsia"/>
          <w:sz w:val="32"/>
          <w:szCs w:val="32"/>
        </w:rPr>
        <w:t>二、主动公开政府信息情况</w:t>
      </w:r>
    </w:p>
    <w:tbl>
      <w:tblPr>
        <w:tblStyle w:val="TableNormal"/>
        <w:tblW w:w="84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7"/>
        <w:gridCol w:w="2058"/>
        <w:gridCol w:w="1686"/>
        <w:gridCol w:w="1881"/>
      </w:tblGrid>
      <w:tr>
        <w:tblPrEx>
          <w:tblW w:w="84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4"/>
          <w:jc w:val="center"/>
        </w:trPr>
        <w:tc>
          <w:tcPr>
            <w:tcW w:w="8472" w:type="dxa"/>
            <w:gridSpan w:val="4"/>
            <w:noWrap/>
            <w:vAlign w:val="top"/>
          </w:tcPr>
          <w:p>
            <w:pPr>
              <w:widowControl/>
              <w:spacing w:after="144" w:line="300" w:lineRule="exact"/>
              <w:jc w:val="center"/>
              <w:rPr>
                <w:rFonts w:ascii="Times New Roman" w:hAnsi="Times New Roman"/>
                <w:sz w:val="24"/>
              </w:rPr>
            </w:pPr>
            <w:r>
              <w:rPr>
                <w:rFonts w:ascii="Times New Roman" w:hAnsi="Times New Roman" w:cs="宋体" w:hint="eastAsia"/>
                <w:kern w:val="0"/>
                <w:sz w:val="24"/>
                <w:lang w:bidi="ar"/>
              </w:rPr>
              <w:t>第二十条第（一）项</w:t>
            </w:r>
          </w:p>
        </w:tc>
      </w:tr>
      <w:tr>
        <w:tblPrEx>
          <w:tblW w:w="8472" w:type="dxa"/>
          <w:jc w:val="center"/>
          <w:tblInd w:w="0" w:type="dxa"/>
          <w:tblLayout w:type="fixed"/>
          <w:tblCellMar>
            <w:top w:w="0" w:type="dxa"/>
            <w:left w:w="108" w:type="dxa"/>
            <w:bottom w:w="0" w:type="dxa"/>
            <w:right w:w="108" w:type="dxa"/>
          </w:tblCellMar>
        </w:tblPrEx>
        <w:trPr>
          <w:trHeight w:val="547"/>
          <w:jc w:val="center"/>
        </w:trPr>
        <w:tc>
          <w:tcPr>
            <w:tcW w:w="2847" w:type="dxa"/>
            <w:noWrap/>
            <w:vAlign w:val="top"/>
          </w:tcPr>
          <w:p>
            <w:pPr>
              <w:widowControl/>
              <w:spacing w:after="144" w:line="300" w:lineRule="exact"/>
              <w:jc w:val="center"/>
              <w:rPr>
                <w:rFonts w:ascii="Times New Roman" w:hAnsi="Times New Roman"/>
                <w:sz w:val="24"/>
              </w:rPr>
            </w:pPr>
            <w:r>
              <w:rPr>
                <w:rFonts w:ascii="Times New Roman" w:hAnsi="Times New Roman" w:cs="宋体" w:hint="eastAsia"/>
                <w:kern w:val="0"/>
                <w:sz w:val="24"/>
                <w:lang w:bidi="ar"/>
              </w:rPr>
              <w:t>信息内容</w:t>
            </w:r>
          </w:p>
        </w:tc>
        <w:tc>
          <w:tcPr>
            <w:tcW w:w="2058" w:type="dxa"/>
            <w:noWrap/>
            <w:vAlign w:val="top"/>
          </w:tcPr>
          <w:p>
            <w:pPr>
              <w:widowControl/>
              <w:spacing w:after="144" w:line="300" w:lineRule="exact"/>
              <w:jc w:val="center"/>
              <w:rPr>
                <w:rFonts w:ascii="Times New Roman" w:eastAsia="宋体" w:hAnsi="Times New Roman" w:hint="eastAsia"/>
                <w:sz w:val="24"/>
                <w:lang w:eastAsia="zh-CN"/>
              </w:rPr>
            </w:pPr>
            <w:r>
              <w:rPr>
                <w:rFonts w:ascii="Times New Roman" w:hAnsi="Times New Roman" w:cs="宋体" w:hint="eastAsia"/>
                <w:kern w:val="0"/>
                <w:sz w:val="24"/>
                <w:lang w:bidi="ar"/>
              </w:rPr>
              <w:t>本年</w:t>
            </w:r>
            <w:r>
              <w:rPr>
                <w:rFonts w:ascii="Times New Roman" w:hAnsi="Times New Roman"/>
                <w:kern w:val="0"/>
                <w:sz w:val="24"/>
                <w:lang w:bidi="ar"/>
              </w:rPr>
              <w:t>制</w:t>
            </w:r>
            <w:r>
              <w:rPr>
                <w:rFonts w:ascii="Times New Roman" w:hAnsi="Times New Roman" w:hint="eastAsia"/>
                <w:kern w:val="0"/>
                <w:sz w:val="24"/>
                <w:lang w:eastAsia="zh-CN" w:bidi="ar"/>
              </w:rPr>
              <w:t>发件数</w:t>
            </w:r>
          </w:p>
        </w:tc>
        <w:tc>
          <w:tcPr>
            <w:tcW w:w="1686" w:type="dxa"/>
            <w:noWrap w:val="0"/>
            <w:vAlign w:val="top"/>
          </w:tcPr>
          <w:p>
            <w:pPr>
              <w:widowControl/>
              <w:spacing w:after="144" w:line="300" w:lineRule="exact"/>
              <w:jc w:val="center"/>
              <w:rPr>
                <w:rFonts w:ascii="Times New Roman" w:eastAsia="宋体" w:hAnsi="Times New Roman" w:hint="eastAsia"/>
                <w:sz w:val="24"/>
                <w:lang w:eastAsia="zh-CN"/>
              </w:rPr>
            </w:pPr>
            <w:r>
              <w:rPr>
                <w:rFonts w:ascii="Times New Roman" w:hAnsi="Times New Roman" w:cs="宋体" w:hint="eastAsia"/>
                <w:kern w:val="0"/>
                <w:sz w:val="24"/>
                <w:lang w:bidi="ar"/>
              </w:rPr>
              <w:t>本年</w:t>
            </w:r>
            <w:r>
              <w:rPr>
                <w:rFonts w:ascii="Times New Roman" w:hAnsi="Times New Roman" w:cs="宋体" w:hint="eastAsia"/>
                <w:kern w:val="0"/>
                <w:sz w:val="24"/>
                <w:lang w:eastAsia="zh-CN" w:bidi="ar"/>
              </w:rPr>
              <w:t>废止件数</w:t>
            </w:r>
          </w:p>
        </w:tc>
        <w:tc>
          <w:tcPr>
            <w:tcW w:w="1881" w:type="dxa"/>
            <w:noWrap/>
            <w:vAlign w:val="top"/>
          </w:tcPr>
          <w:p>
            <w:pPr>
              <w:widowControl/>
              <w:spacing w:after="144" w:line="300" w:lineRule="exact"/>
              <w:jc w:val="center"/>
              <w:rPr>
                <w:rFonts w:ascii="Times New Roman" w:eastAsia="宋体" w:hAnsi="Times New Roman" w:hint="eastAsia"/>
                <w:sz w:val="24"/>
                <w:lang w:eastAsia="zh-CN"/>
              </w:rPr>
            </w:pPr>
            <w:r>
              <w:rPr>
                <w:rFonts w:ascii="Times New Roman" w:hAnsi="Times New Roman" w:hint="eastAsia"/>
                <w:sz w:val="24"/>
                <w:lang w:eastAsia="zh-CN"/>
              </w:rPr>
              <w:t>现行有效件数</w:t>
            </w:r>
          </w:p>
        </w:tc>
      </w:tr>
      <w:tr>
        <w:tblPrEx>
          <w:tblW w:w="8472" w:type="dxa"/>
          <w:jc w:val="center"/>
          <w:tblInd w:w="0" w:type="dxa"/>
          <w:tblLayout w:type="fixed"/>
          <w:tblCellMar>
            <w:top w:w="0" w:type="dxa"/>
            <w:left w:w="108" w:type="dxa"/>
            <w:bottom w:w="0" w:type="dxa"/>
            <w:right w:w="108" w:type="dxa"/>
          </w:tblCellMar>
        </w:tblPrEx>
        <w:trPr>
          <w:trHeight w:val="345"/>
          <w:jc w:val="center"/>
        </w:trPr>
        <w:tc>
          <w:tcPr>
            <w:tcW w:w="2847" w:type="dxa"/>
            <w:noWrap/>
            <w:vAlign w:val="top"/>
          </w:tcPr>
          <w:p>
            <w:pPr>
              <w:widowControl/>
              <w:spacing w:after="144" w:line="300" w:lineRule="exact"/>
              <w:jc w:val="left"/>
              <w:rPr>
                <w:rFonts w:ascii="Times New Roman" w:hAnsi="Times New Roman"/>
                <w:sz w:val="24"/>
              </w:rPr>
            </w:pPr>
            <w:r>
              <w:rPr>
                <w:rFonts w:ascii="Times New Roman" w:hAnsi="Times New Roman" w:cs="宋体" w:hint="eastAsia"/>
                <w:kern w:val="0"/>
                <w:sz w:val="24"/>
                <w:lang w:bidi="ar"/>
              </w:rPr>
              <w:t>规章</w:t>
            </w:r>
          </w:p>
        </w:tc>
        <w:tc>
          <w:tcPr>
            <w:tcW w:w="2058" w:type="dxa"/>
            <w:noWrap/>
            <w:vAlign w:val="top"/>
          </w:tcPr>
          <w:p>
            <w:pPr>
              <w:widowControl/>
              <w:spacing w:after="144" w:line="300" w:lineRule="exact"/>
              <w:jc w:val="center"/>
              <w:rPr>
                <w:rFonts w:ascii="Times New Roman" w:eastAsia="宋体" w:hAnsi="Times New Roman" w:hint="eastAsia"/>
                <w:sz w:val="24"/>
                <w:lang w:val="en-US" w:eastAsia="zh-CN"/>
              </w:rPr>
            </w:pPr>
            <w:r>
              <w:rPr>
                <w:rFonts w:ascii="Times New Roman" w:hAnsi="Times New Roman" w:hint="eastAsia"/>
                <w:sz w:val="24"/>
                <w:lang w:val="en-US" w:eastAsia="zh-CN"/>
              </w:rPr>
              <w:t>0</w:t>
            </w:r>
          </w:p>
        </w:tc>
        <w:tc>
          <w:tcPr>
            <w:tcW w:w="1686" w:type="dxa"/>
            <w:noWrap w:val="0"/>
            <w:vAlign w:val="top"/>
          </w:tcPr>
          <w:p>
            <w:pPr>
              <w:widowControl/>
              <w:spacing w:after="144" w:line="300" w:lineRule="exact"/>
              <w:jc w:val="center"/>
              <w:rPr>
                <w:rFonts w:ascii="Times New Roman" w:eastAsia="宋体" w:hAnsi="Times New Roman" w:hint="eastAsia"/>
                <w:sz w:val="24"/>
                <w:lang w:val="en-US" w:eastAsia="zh-CN"/>
              </w:rPr>
            </w:pPr>
            <w:r>
              <w:rPr>
                <w:rFonts w:ascii="Times New Roman" w:hAnsi="Times New Roman" w:hint="eastAsia"/>
                <w:sz w:val="24"/>
                <w:lang w:val="en-US" w:eastAsia="zh-CN"/>
              </w:rPr>
              <w:t>0</w:t>
            </w:r>
          </w:p>
        </w:tc>
        <w:tc>
          <w:tcPr>
            <w:tcW w:w="1881" w:type="dxa"/>
            <w:noWrap/>
            <w:vAlign w:val="top"/>
          </w:tcPr>
          <w:p>
            <w:pPr>
              <w:widowControl/>
              <w:spacing w:after="144" w:line="300" w:lineRule="exact"/>
              <w:jc w:val="center"/>
              <w:rPr>
                <w:rFonts w:ascii="Times New Roman" w:eastAsia="宋体" w:hAnsi="Times New Roman" w:hint="eastAsia"/>
                <w:sz w:val="24"/>
                <w:lang w:val="en-US" w:eastAsia="zh-CN"/>
              </w:rPr>
            </w:pPr>
            <w:r>
              <w:rPr>
                <w:rFonts w:ascii="Times New Roman" w:hAnsi="Times New Roman" w:hint="eastAsia"/>
                <w:sz w:val="24"/>
                <w:lang w:val="en-US" w:eastAsia="zh-CN"/>
              </w:rPr>
              <w:t>0</w:t>
            </w:r>
          </w:p>
        </w:tc>
      </w:tr>
      <w:tr>
        <w:tblPrEx>
          <w:tblW w:w="8472" w:type="dxa"/>
          <w:jc w:val="center"/>
          <w:tblInd w:w="0" w:type="dxa"/>
          <w:tblLayout w:type="fixed"/>
          <w:tblCellMar>
            <w:top w:w="0" w:type="dxa"/>
            <w:left w:w="108" w:type="dxa"/>
            <w:bottom w:w="0" w:type="dxa"/>
            <w:right w:w="108" w:type="dxa"/>
          </w:tblCellMar>
        </w:tblPrEx>
        <w:trPr>
          <w:trHeight w:val="182"/>
          <w:jc w:val="center"/>
        </w:trPr>
        <w:tc>
          <w:tcPr>
            <w:tcW w:w="2847" w:type="dxa"/>
            <w:noWrap/>
            <w:vAlign w:val="top"/>
          </w:tcPr>
          <w:p>
            <w:pPr>
              <w:widowControl/>
              <w:spacing w:after="144" w:line="300" w:lineRule="exact"/>
              <w:jc w:val="left"/>
              <w:rPr>
                <w:rFonts w:ascii="Times New Roman" w:hAnsi="Times New Roman"/>
                <w:sz w:val="24"/>
              </w:rPr>
            </w:pPr>
            <w:r>
              <w:rPr>
                <w:rFonts w:ascii="Times New Roman" w:hAnsi="Times New Roman" w:cs="宋体" w:hint="eastAsia"/>
                <w:kern w:val="0"/>
                <w:sz w:val="24"/>
                <w:lang w:bidi="ar"/>
              </w:rPr>
              <w:t>规范性文件</w:t>
            </w:r>
          </w:p>
        </w:tc>
        <w:tc>
          <w:tcPr>
            <w:tcW w:w="2058" w:type="dxa"/>
            <w:noWrap/>
            <w:vAlign w:val="top"/>
          </w:tcPr>
          <w:p>
            <w:pPr>
              <w:widowControl/>
              <w:spacing w:after="144" w:line="300" w:lineRule="exact"/>
              <w:jc w:val="center"/>
              <w:rPr>
                <w:rFonts w:ascii="Times New Roman" w:eastAsia="宋体" w:hAnsi="Times New Roman" w:hint="eastAsia"/>
                <w:sz w:val="24"/>
                <w:lang w:val="en-US" w:eastAsia="zh-CN"/>
              </w:rPr>
            </w:pPr>
            <w:r>
              <w:rPr>
                <w:rFonts w:ascii="Times New Roman" w:hAnsi="Times New Roman" w:hint="eastAsia"/>
                <w:sz w:val="24"/>
                <w:lang w:val="en-US" w:eastAsia="zh-CN"/>
              </w:rPr>
              <w:t>0</w:t>
            </w:r>
          </w:p>
        </w:tc>
        <w:tc>
          <w:tcPr>
            <w:tcW w:w="1686" w:type="dxa"/>
            <w:noWrap w:val="0"/>
            <w:vAlign w:val="top"/>
          </w:tcPr>
          <w:p>
            <w:pPr>
              <w:widowControl/>
              <w:spacing w:after="144" w:line="300" w:lineRule="exact"/>
              <w:jc w:val="center"/>
              <w:rPr>
                <w:rFonts w:ascii="Times New Roman" w:eastAsia="宋体" w:hAnsi="Times New Roman" w:hint="eastAsia"/>
                <w:sz w:val="24"/>
                <w:lang w:val="en-US" w:eastAsia="zh-CN"/>
              </w:rPr>
            </w:pPr>
            <w:r>
              <w:rPr>
                <w:rFonts w:ascii="Times New Roman" w:hAnsi="Times New Roman" w:hint="eastAsia"/>
                <w:sz w:val="24"/>
                <w:lang w:val="en-US" w:eastAsia="zh-CN"/>
              </w:rPr>
              <w:t>0</w:t>
            </w:r>
          </w:p>
        </w:tc>
        <w:tc>
          <w:tcPr>
            <w:tcW w:w="1881" w:type="dxa"/>
            <w:noWrap/>
            <w:vAlign w:val="top"/>
          </w:tcPr>
          <w:p>
            <w:pPr>
              <w:widowControl/>
              <w:spacing w:after="144" w:line="300" w:lineRule="exact"/>
              <w:jc w:val="center"/>
              <w:rPr>
                <w:rFonts w:ascii="Times New Roman" w:eastAsia="宋体" w:hAnsi="Times New Roman" w:hint="eastAsia"/>
                <w:sz w:val="24"/>
                <w:lang w:val="en-US" w:eastAsia="zh-CN"/>
              </w:rPr>
            </w:pPr>
            <w:r>
              <w:rPr>
                <w:rFonts w:ascii="Times New Roman" w:hAnsi="Times New Roman" w:hint="eastAsia"/>
                <w:sz w:val="24"/>
                <w:lang w:val="en-US" w:eastAsia="zh-CN"/>
              </w:rPr>
              <w:t>0</w:t>
            </w:r>
          </w:p>
        </w:tc>
      </w:tr>
      <w:tr>
        <w:tblPrEx>
          <w:tblW w:w="8472" w:type="dxa"/>
          <w:jc w:val="center"/>
          <w:tblInd w:w="0" w:type="dxa"/>
          <w:tblLayout w:type="fixed"/>
          <w:tblCellMar>
            <w:top w:w="0" w:type="dxa"/>
            <w:left w:w="108" w:type="dxa"/>
            <w:bottom w:w="0" w:type="dxa"/>
            <w:right w:w="108" w:type="dxa"/>
          </w:tblCellMar>
        </w:tblPrEx>
        <w:trPr>
          <w:trHeight w:val="90"/>
          <w:jc w:val="center"/>
        </w:trPr>
        <w:tc>
          <w:tcPr>
            <w:tcW w:w="8472" w:type="dxa"/>
            <w:gridSpan w:val="4"/>
            <w:noWrap/>
            <w:vAlign w:val="top"/>
          </w:tcPr>
          <w:p>
            <w:pPr>
              <w:widowControl/>
              <w:spacing w:after="144" w:line="300" w:lineRule="exact"/>
              <w:jc w:val="center"/>
              <w:rPr>
                <w:rFonts w:ascii="Times New Roman" w:hAnsi="Times New Roman"/>
                <w:sz w:val="24"/>
              </w:rPr>
            </w:pPr>
            <w:r>
              <w:rPr>
                <w:rFonts w:ascii="Times New Roman" w:hAnsi="Times New Roman" w:cs="宋体" w:hint="eastAsia"/>
                <w:kern w:val="0"/>
                <w:sz w:val="24"/>
                <w:lang w:bidi="ar"/>
              </w:rPr>
              <w:t>第二十条第（五）项</w:t>
            </w:r>
          </w:p>
        </w:tc>
      </w:tr>
      <w:tr>
        <w:tblPrEx>
          <w:tblW w:w="8472" w:type="dxa"/>
          <w:jc w:val="center"/>
          <w:tblInd w:w="0" w:type="dxa"/>
          <w:tblLayout w:type="fixed"/>
          <w:tblCellMar>
            <w:top w:w="0" w:type="dxa"/>
            <w:left w:w="108" w:type="dxa"/>
            <w:bottom w:w="0" w:type="dxa"/>
            <w:right w:w="108" w:type="dxa"/>
          </w:tblCellMar>
        </w:tblPrEx>
        <w:trPr>
          <w:trHeight w:val="54"/>
          <w:jc w:val="center"/>
        </w:trPr>
        <w:tc>
          <w:tcPr>
            <w:tcW w:w="2847" w:type="dxa"/>
            <w:noWrap/>
            <w:vAlign w:val="top"/>
          </w:tcPr>
          <w:p>
            <w:pPr>
              <w:widowControl/>
              <w:spacing w:after="144" w:line="300" w:lineRule="exact"/>
              <w:jc w:val="center"/>
              <w:rPr>
                <w:rFonts w:ascii="Times New Roman" w:hAnsi="Times New Roman"/>
                <w:sz w:val="24"/>
              </w:rPr>
            </w:pPr>
            <w:r>
              <w:rPr>
                <w:rFonts w:ascii="Times New Roman" w:hAnsi="Times New Roman" w:cs="宋体" w:hint="eastAsia"/>
                <w:kern w:val="0"/>
                <w:sz w:val="24"/>
                <w:lang w:bidi="ar"/>
              </w:rPr>
              <w:t>信息内容</w:t>
            </w:r>
          </w:p>
        </w:tc>
        <w:tc>
          <w:tcPr>
            <w:tcW w:w="5625" w:type="dxa"/>
            <w:gridSpan w:val="3"/>
            <w:noWrap/>
            <w:vAlign w:val="top"/>
          </w:tcPr>
          <w:p>
            <w:pPr>
              <w:widowControl/>
              <w:spacing w:after="144" w:line="300" w:lineRule="exact"/>
              <w:jc w:val="center"/>
              <w:rPr>
                <w:rFonts w:ascii="Times New Roman" w:eastAsia="宋体" w:hAnsi="Times New Roman" w:hint="eastAsia"/>
                <w:sz w:val="24"/>
                <w:lang w:eastAsia="zh-CN"/>
              </w:rPr>
            </w:pPr>
            <w:r>
              <w:rPr>
                <w:rFonts w:ascii="Times New Roman" w:hAnsi="Times New Roman" w:hint="eastAsia"/>
                <w:sz w:val="24"/>
                <w:lang w:eastAsia="zh-CN"/>
              </w:rPr>
              <w:t>本年处理决定数量</w:t>
            </w:r>
          </w:p>
        </w:tc>
      </w:tr>
      <w:tr>
        <w:tblPrEx>
          <w:tblW w:w="8472" w:type="dxa"/>
          <w:jc w:val="center"/>
          <w:tblInd w:w="0" w:type="dxa"/>
          <w:tblLayout w:type="fixed"/>
          <w:tblCellMar>
            <w:top w:w="0" w:type="dxa"/>
            <w:left w:w="108" w:type="dxa"/>
            <w:bottom w:w="0" w:type="dxa"/>
            <w:right w:w="108" w:type="dxa"/>
          </w:tblCellMar>
        </w:tblPrEx>
        <w:trPr>
          <w:trHeight w:val="174"/>
          <w:jc w:val="center"/>
        </w:trPr>
        <w:tc>
          <w:tcPr>
            <w:tcW w:w="2847" w:type="dxa"/>
            <w:noWrap/>
            <w:vAlign w:val="top"/>
          </w:tcPr>
          <w:p>
            <w:pPr>
              <w:widowControl/>
              <w:spacing w:after="144" w:line="300" w:lineRule="exact"/>
              <w:jc w:val="left"/>
              <w:rPr>
                <w:rFonts w:ascii="Times New Roman" w:hAnsi="Times New Roman"/>
                <w:sz w:val="24"/>
              </w:rPr>
            </w:pPr>
            <w:r>
              <w:rPr>
                <w:rFonts w:ascii="Times New Roman" w:hAnsi="Times New Roman" w:cs="宋体" w:hint="eastAsia"/>
                <w:kern w:val="0"/>
                <w:sz w:val="24"/>
                <w:lang w:bidi="ar"/>
              </w:rPr>
              <w:t>行政许可</w:t>
            </w:r>
          </w:p>
        </w:tc>
        <w:tc>
          <w:tcPr>
            <w:tcW w:w="5625" w:type="dxa"/>
            <w:gridSpan w:val="3"/>
            <w:noWrap/>
            <w:vAlign w:val="top"/>
          </w:tcPr>
          <w:p>
            <w:pPr>
              <w:widowControl/>
              <w:spacing w:after="144" w:line="300" w:lineRule="exact"/>
              <w:jc w:val="center"/>
              <w:rPr>
                <w:rFonts w:ascii="Times New Roman" w:eastAsia="宋体" w:hAnsi="Times New Roman" w:hint="default"/>
                <w:sz w:val="24"/>
                <w:lang w:val="en-US" w:eastAsia="zh-CN"/>
              </w:rPr>
            </w:pPr>
            <w:r>
              <w:rPr>
                <w:rFonts w:ascii="Times New Roman" w:hAnsi="Times New Roman" w:hint="eastAsia"/>
                <w:sz w:val="24"/>
                <w:lang w:val="en-US" w:eastAsia="zh-CN"/>
              </w:rPr>
              <w:t>33</w:t>
            </w:r>
          </w:p>
        </w:tc>
      </w:tr>
      <w:tr>
        <w:tblPrEx>
          <w:tblW w:w="8472" w:type="dxa"/>
          <w:jc w:val="center"/>
          <w:tblInd w:w="0" w:type="dxa"/>
          <w:tblLayout w:type="fixed"/>
          <w:tblCellMar>
            <w:top w:w="0" w:type="dxa"/>
            <w:left w:w="108" w:type="dxa"/>
            <w:bottom w:w="0" w:type="dxa"/>
            <w:right w:w="108" w:type="dxa"/>
          </w:tblCellMar>
        </w:tblPrEx>
        <w:trPr>
          <w:trHeight w:val="406"/>
          <w:jc w:val="center"/>
        </w:trPr>
        <w:tc>
          <w:tcPr>
            <w:tcW w:w="8472" w:type="dxa"/>
            <w:gridSpan w:val="4"/>
            <w:noWrap/>
            <w:vAlign w:val="top"/>
          </w:tcPr>
          <w:p>
            <w:pPr>
              <w:widowControl/>
              <w:spacing w:after="144" w:line="300" w:lineRule="exact"/>
              <w:jc w:val="center"/>
              <w:rPr>
                <w:rFonts w:ascii="Times New Roman" w:hAnsi="Times New Roman"/>
                <w:sz w:val="24"/>
              </w:rPr>
            </w:pPr>
            <w:r>
              <w:rPr>
                <w:rFonts w:ascii="Times New Roman" w:hAnsi="Times New Roman" w:cs="宋体" w:hint="eastAsia"/>
                <w:kern w:val="0"/>
                <w:sz w:val="24"/>
                <w:lang w:bidi="ar"/>
              </w:rPr>
              <w:t>第二十条第（六）项</w:t>
            </w:r>
          </w:p>
        </w:tc>
      </w:tr>
      <w:tr>
        <w:tblPrEx>
          <w:tblW w:w="8472" w:type="dxa"/>
          <w:jc w:val="center"/>
          <w:tblInd w:w="0" w:type="dxa"/>
          <w:tblLayout w:type="fixed"/>
          <w:tblCellMar>
            <w:top w:w="0" w:type="dxa"/>
            <w:left w:w="108" w:type="dxa"/>
            <w:bottom w:w="0" w:type="dxa"/>
            <w:right w:w="108" w:type="dxa"/>
          </w:tblCellMar>
        </w:tblPrEx>
        <w:trPr>
          <w:trHeight w:val="317"/>
          <w:jc w:val="center"/>
        </w:trPr>
        <w:tc>
          <w:tcPr>
            <w:tcW w:w="2847" w:type="dxa"/>
            <w:noWrap/>
            <w:vAlign w:val="top"/>
          </w:tcPr>
          <w:p>
            <w:pPr>
              <w:widowControl/>
              <w:spacing w:after="144" w:line="300" w:lineRule="exact"/>
              <w:jc w:val="center"/>
              <w:rPr>
                <w:rFonts w:ascii="Times New Roman" w:hAnsi="Times New Roman"/>
                <w:sz w:val="24"/>
              </w:rPr>
            </w:pPr>
            <w:r>
              <w:rPr>
                <w:rFonts w:ascii="Times New Roman" w:hAnsi="Times New Roman" w:cs="宋体" w:hint="eastAsia"/>
                <w:kern w:val="0"/>
                <w:sz w:val="24"/>
                <w:lang w:bidi="ar"/>
              </w:rPr>
              <w:t>信息内容</w:t>
            </w:r>
          </w:p>
        </w:tc>
        <w:tc>
          <w:tcPr>
            <w:tcW w:w="5625" w:type="dxa"/>
            <w:gridSpan w:val="3"/>
            <w:noWrap/>
            <w:vAlign w:val="top"/>
          </w:tcPr>
          <w:p>
            <w:pPr>
              <w:widowControl/>
              <w:spacing w:after="144" w:line="300" w:lineRule="exact"/>
              <w:jc w:val="center"/>
              <w:rPr>
                <w:rFonts w:ascii="Times New Roman" w:hAnsi="Times New Roman"/>
                <w:sz w:val="24"/>
              </w:rPr>
            </w:pPr>
            <w:r>
              <w:rPr>
                <w:rFonts w:ascii="Times New Roman" w:hAnsi="Times New Roman" w:hint="eastAsia"/>
                <w:sz w:val="24"/>
                <w:lang w:eastAsia="zh-CN"/>
              </w:rPr>
              <w:t>本年处理决定数量</w:t>
            </w:r>
          </w:p>
        </w:tc>
      </w:tr>
      <w:tr>
        <w:tblPrEx>
          <w:tblW w:w="8472" w:type="dxa"/>
          <w:jc w:val="center"/>
          <w:tblInd w:w="0" w:type="dxa"/>
          <w:tblLayout w:type="fixed"/>
          <w:tblCellMar>
            <w:top w:w="0" w:type="dxa"/>
            <w:left w:w="108" w:type="dxa"/>
            <w:bottom w:w="0" w:type="dxa"/>
            <w:right w:w="108" w:type="dxa"/>
          </w:tblCellMar>
        </w:tblPrEx>
        <w:trPr>
          <w:trHeight w:val="430"/>
          <w:jc w:val="center"/>
        </w:trPr>
        <w:tc>
          <w:tcPr>
            <w:tcW w:w="2847" w:type="dxa"/>
            <w:noWrap/>
            <w:vAlign w:val="top"/>
          </w:tcPr>
          <w:p>
            <w:pPr>
              <w:widowControl/>
              <w:spacing w:after="144" w:line="300" w:lineRule="exact"/>
              <w:jc w:val="left"/>
              <w:rPr>
                <w:rFonts w:ascii="Times New Roman" w:hAnsi="Times New Roman"/>
                <w:sz w:val="24"/>
              </w:rPr>
            </w:pPr>
            <w:r>
              <w:rPr>
                <w:rFonts w:ascii="Times New Roman" w:hAnsi="Times New Roman" w:cs="宋体" w:hint="eastAsia"/>
                <w:kern w:val="0"/>
                <w:sz w:val="24"/>
                <w:lang w:bidi="ar"/>
              </w:rPr>
              <w:t>行政处罚</w:t>
            </w:r>
          </w:p>
        </w:tc>
        <w:tc>
          <w:tcPr>
            <w:tcW w:w="5625" w:type="dxa"/>
            <w:gridSpan w:val="3"/>
            <w:noWrap/>
            <w:vAlign w:val="top"/>
          </w:tcPr>
          <w:p>
            <w:pPr>
              <w:widowControl/>
              <w:spacing w:after="144" w:line="300" w:lineRule="exact"/>
              <w:jc w:val="center"/>
              <w:rPr>
                <w:rFonts w:ascii="Times New Roman" w:eastAsia="宋体" w:hAnsi="Times New Roman" w:hint="eastAsia"/>
                <w:sz w:val="24"/>
                <w:lang w:val="en-US" w:eastAsia="zh-CN"/>
              </w:rPr>
            </w:pPr>
            <w:r>
              <w:rPr>
                <w:rFonts w:ascii="Times New Roman" w:hAnsi="Times New Roman" w:hint="eastAsia"/>
                <w:sz w:val="24"/>
                <w:lang w:val="en-US" w:eastAsia="zh-CN"/>
              </w:rPr>
              <w:t>6</w:t>
            </w:r>
          </w:p>
        </w:tc>
      </w:tr>
      <w:tr>
        <w:tblPrEx>
          <w:tblW w:w="8472" w:type="dxa"/>
          <w:jc w:val="center"/>
          <w:tblInd w:w="0" w:type="dxa"/>
          <w:tblLayout w:type="fixed"/>
          <w:tblCellMar>
            <w:top w:w="0" w:type="dxa"/>
            <w:left w:w="108" w:type="dxa"/>
            <w:bottom w:w="0" w:type="dxa"/>
            <w:right w:w="108" w:type="dxa"/>
          </w:tblCellMar>
        </w:tblPrEx>
        <w:trPr>
          <w:trHeight w:val="250"/>
          <w:jc w:val="center"/>
        </w:trPr>
        <w:tc>
          <w:tcPr>
            <w:tcW w:w="2847" w:type="dxa"/>
            <w:noWrap/>
            <w:vAlign w:val="top"/>
          </w:tcPr>
          <w:p>
            <w:pPr>
              <w:widowControl/>
              <w:spacing w:after="144" w:line="300" w:lineRule="exact"/>
              <w:jc w:val="left"/>
              <w:rPr>
                <w:rFonts w:ascii="Times New Roman" w:hAnsi="Times New Roman"/>
                <w:sz w:val="24"/>
              </w:rPr>
            </w:pPr>
            <w:r>
              <w:rPr>
                <w:rFonts w:ascii="Times New Roman" w:hAnsi="Times New Roman" w:cs="宋体" w:hint="eastAsia"/>
                <w:kern w:val="0"/>
                <w:sz w:val="24"/>
                <w:lang w:bidi="ar"/>
              </w:rPr>
              <w:t>行政强制</w:t>
            </w:r>
          </w:p>
        </w:tc>
        <w:tc>
          <w:tcPr>
            <w:tcW w:w="5625" w:type="dxa"/>
            <w:gridSpan w:val="3"/>
            <w:noWrap/>
            <w:vAlign w:val="top"/>
          </w:tcPr>
          <w:p>
            <w:pPr>
              <w:widowControl/>
              <w:spacing w:after="144" w:line="300" w:lineRule="exact"/>
              <w:jc w:val="center"/>
              <w:rPr>
                <w:rFonts w:ascii="Times New Roman" w:eastAsia="宋体" w:hAnsi="Times New Roman" w:hint="eastAsia"/>
                <w:sz w:val="24"/>
                <w:lang w:val="en-US" w:eastAsia="zh-CN"/>
              </w:rPr>
            </w:pPr>
            <w:r>
              <w:rPr>
                <w:rFonts w:ascii="Times New Roman" w:hAnsi="Times New Roman" w:hint="eastAsia"/>
                <w:sz w:val="24"/>
                <w:lang w:val="en-US" w:eastAsia="zh-CN"/>
              </w:rPr>
              <w:t>0</w:t>
            </w:r>
          </w:p>
        </w:tc>
      </w:tr>
      <w:tr>
        <w:tblPrEx>
          <w:tblW w:w="8472" w:type="dxa"/>
          <w:jc w:val="center"/>
          <w:tblInd w:w="0" w:type="dxa"/>
          <w:tblLayout w:type="fixed"/>
          <w:tblCellMar>
            <w:top w:w="0" w:type="dxa"/>
            <w:left w:w="108" w:type="dxa"/>
            <w:bottom w:w="0" w:type="dxa"/>
            <w:right w:w="108" w:type="dxa"/>
          </w:tblCellMar>
        </w:tblPrEx>
        <w:trPr>
          <w:trHeight w:val="474"/>
          <w:jc w:val="center"/>
        </w:trPr>
        <w:tc>
          <w:tcPr>
            <w:tcW w:w="8472" w:type="dxa"/>
            <w:gridSpan w:val="4"/>
            <w:noWrap/>
            <w:vAlign w:val="top"/>
          </w:tcPr>
          <w:p>
            <w:pPr>
              <w:widowControl/>
              <w:spacing w:after="144" w:line="300" w:lineRule="exact"/>
              <w:jc w:val="center"/>
              <w:rPr>
                <w:rFonts w:ascii="Times New Roman" w:hAnsi="Times New Roman"/>
                <w:sz w:val="24"/>
              </w:rPr>
            </w:pPr>
            <w:r>
              <w:rPr>
                <w:rFonts w:ascii="Times New Roman" w:hAnsi="Times New Roman" w:cs="宋体" w:hint="eastAsia"/>
                <w:kern w:val="0"/>
                <w:sz w:val="24"/>
                <w:lang w:bidi="ar"/>
              </w:rPr>
              <w:t>第二十条第（八）项</w:t>
            </w:r>
          </w:p>
        </w:tc>
      </w:tr>
      <w:tr>
        <w:tblPrEx>
          <w:tblW w:w="8472" w:type="dxa"/>
          <w:jc w:val="center"/>
          <w:tblInd w:w="0" w:type="dxa"/>
          <w:tblLayout w:type="fixed"/>
          <w:tblCellMar>
            <w:top w:w="0" w:type="dxa"/>
            <w:left w:w="108" w:type="dxa"/>
            <w:bottom w:w="0" w:type="dxa"/>
            <w:right w:w="108" w:type="dxa"/>
          </w:tblCellMar>
        </w:tblPrEx>
        <w:trPr>
          <w:trHeight w:val="321"/>
          <w:jc w:val="center"/>
        </w:trPr>
        <w:tc>
          <w:tcPr>
            <w:tcW w:w="2847" w:type="dxa"/>
            <w:noWrap/>
            <w:vAlign w:val="top"/>
          </w:tcPr>
          <w:p>
            <w:pPr>
              <w:widowControl/>
              <w:spacing w:after="144" w:line="300" w:lineRule="exact"/>
              <w:jc w:val="center"/>
              <w:rPr>
                <w:rFonts w:ascii="Times New Roman" w:hAnsi="Times New Roman"/>
                <w:sz w:val="24"/>
              </w:rPr>
            </w:pPr>
            <w:r>
              <w:rPr>
                <w:rFonts w:ascii="Times New Roman" w:hAnsi="Times New Roman" w:cs="宋体" w:hint="eastAsia"/>
                <w:kern w:val="0"/>
                <w:sz w:val="24"/>
                <w:lang w:bidi="ar"/>
              </w:rPr>
              <w:t>信息内容</w:t>
            </w:r>
          </w:p>
        </w:tc>
        <w:tc>
          <w:tcPr>
            <w:tcW w:w="5625" w:type="dxa"/>
            <w:gridSpan w:val="3"/>
            <w:noWrap/>
            <w:vAlign w:val="top"/>
          </w:tcPr>
          <w:p>
            <w:pPr>
              <w:widowControl/>
              <w:spacing w:after="144" w:line="300" w:lineRule="exact"/>
              <w:jc w:val="center"/>
              <w:rPr>
                <w:rFonts w:ascii="Times New Roman" w:hAnsi="Times New Roman"/>
                <w:sz w:val="24"/>
              </w:rPr>
            </w:pPr>
            <w:r>
              <w:rPr>
                <w:rFonts w:ascii="Times New Roman" w:hAnsi="Times New Roman" w:hint="eastAsia"/>
                <w:sz w:val="24"/>
                <w:lang w:eastAsia="zh-CN"/>
              </w:rPr>
              <w:t>本年收费金额（单位：万元）</w:t>
            </w:r>
          </w:p>
        </w:tc>
      </w:tr>
      <w:tr>
        <w:tblPrEx>
          <w:tblW w:w="8472" w:type="dxa"/>
          <w:jc w:val="center"/>
          <w:tblInd w:w="0" w:type="dxa"/>
          <w:tblLayout w:type="fixed"/>
          <w:tblCellMar>
            <w:top w:w="0" w:type="dxa"/>
            <w:left w:w="108" w:type="dxa"/>
            <w:bottom w:w="0" w:type="dxa"/>
            <w:right w:w="108" w:type="dxa"/>
          </w:tblCellMar>
        </w:tblPrEx>
        <w:trPr>
          <w:trHeight w:val="114"/>
          <w:jc w:val="center"/>
        </w:trPr>
        <w:tc>
          <w:tcPr>
            <w:tcW w:w="2847" w:type="dxa"/>
            <w:noWrap/>
            <w:vAlign w:val="top"/>
          </w:tcPr>
          <w:p>
            <w:pPr>
              <w:widowControl/>
              <w:spacing w:after="144" w:line="300" w:lineRule="exact"/>
              <w:jc w:val="left"/>
              <w:rPr>
                <w:rFonts w:ascii="Times New Roman" w:hAnsi="Times New Roman"/>
                <w:sz w:val="24"/>
              </w:rPr>
            </w:pPr>
            <w:r>
              <w:rPr>
                <w:rFonts w:ascii="Times New Roman" w:hAnsi="Times New Roman" w:cs="宋体" w:hint="eastAsia"/>
                <w:kern w:val="0"/>
                <w:sz w:val="24"/>
                <w:lang w:bidi="ar"/>
              </w:rPr>
              <w:t>行政事业性收费</w:t>
            </w:r>
          </w:p>
        </w:tc>
        <w:tc>
          <w:tcPr>
            <w:tcW w:w="5625" w:type="dxa"/>
            <w:gridSpan w:val="3"/>
            <w:noWrap/>
            <w:vAlign w:val="top"/>
          </w:tcPr>
          <w:p>
            <w:pPr>
              <w:widowControl/>
              <w:spacing w:after="144" w:line="300" w:lineRule="exact"/>
              <w:jc w:val="center"/>
              <w:rPr>
                <w:rFonts w:ascii="Times New Roman" w:eastAsia="宋体" w:hAnsi="Times New Roman" w:hint="eastAsia"/>
                <w:sz w:val="24"/>
                <w:lang w:val="en-US" w:eastAsia="zh-CN"/>
              </w:rPr>
            </w:pPr>
            <w:r>
              <w:rPr>
                <w:rFonts w:ascii="Times New Roman" w:hAnsi="Times New Roman" w:hint="eastAsia"/>
                <w:sz w:val="24"/>
                <w:lang w:val="en-US" w:eastAsia="zh-CN"/>
              </w:rPr>
              <w:t>0</w:t>
            </w:r>
          </w:p>
        </w:tc>
      </w:tr>
    </w:tbl>
    <w:p>
      <w:pPr>
        <w:pStyle w:val="NormalWeb"/>
        <w:widowControl/>
        <w:spacing w:before="0" w:beforeAutospacing="0" w:after="0" w:afterAutospacing="0" w:line="560" w:lineRule="exact"/>
        <w:ind w:firstLine="640" w:firstLineChars="200"/>
        <w:jc w:val="both"/>
        <w:rPr>
          <w:rFonts w:ascii="Times New Roman" w:eastAsia="黑体" w:hAnsi="Times New Roman" w:cs="宋体" w:hint="eastAsia"/>
          <w:sz w:val="32"/>
          <w:szCs w:val="30"/>
        </w:rPr>
      </w:pPr>
      <w:r>
        <w:rPr>
          <w:rFonts w:ascii="Times New Roman" w:eastAsia="黑体" w:hAnsi="Times New Roman" w:cs="宋体" w:hint="eastAsia"/>
          <w:sz w:val="32"/>
          <w:szCs w:val="30"/>
        </w:rPr>
        <w:t>三、收到和处理政府信息公开申请情况</w:t>
      </w:r>
    </w:p>
    <w:tbl>
      <w:tblPr>
        <w:tblStyle w:val="TableNormal"/>
        <w:tblW w:w="8383" w:type="dxa"/>
        <w:jc w:val="center"/>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696"/>
        <w:gridCol w:w="936"/>
        <w:gridCol w:w="2756"/>
        <w:gridCol w:w="456"/>
        <w:gridCol w:w="652"/>
        <w:gridCol w:w="656"/>
        <w:gridCol w:w="655"/>
        <w:gridCol w:w="656"/>
        <w:gridCol w:w="464"/>
        <w:gridCol w:w="456"/>
      </w:tblGrid>
      <w:tr>
        <w:tblPrEx>
          <w:tblW w:w="8383" w:type="dxa"/>
          <w:jc w:val="center"/>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trHeight w:val="181"/>
          <w:jc w:val="center"/>
        </w:trPr>
        <w:tc>
          <w:tcPr>
            <w:tcW w:w="4388"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sz w:val="24"/>
              </w:rPr>
            </w:pPr>
            <w:r>
              <w:rPr>
                <w:rFonts w:ascii="Times New Roman" w:hAnsi="Times New Roman" w:cs="宋体" w:hint="eastAsia"/>
                <w:kern w:val="0"/>
                <w:sz w:val="24"/>
                <w:lang w:bidi="ar"/>
              </w:rPr>
              <w:t>（本列数据的</w:t>
            </w:r>
            <w:bookmarkStart w:id="1" w:name="hmcheck_1d61b4db8bb94d32a2c8c001f743d404"/>
            <w:r>
              <w:rPr>
                <w:rFonts w:ascii="Times New Roman" w:hAnsi="Times New Roman" w:cs="宋体" w:hint="eastAsia"/>
                <w:kern w:val="0"/>
                <w:sz w:val="24"/>
                <w:shd w:val="clear" w:color="auto" w:fill="FFFFFF"/>
                <w:lang w:bidi="ar"/>
              </w:rPr>
              <w:t>勾稽</w:t>
            </w:r>
            <w:bookmarkEnd w:id="1"/>
            <w:r>
              <w:rPr>
                <w:rFonts w:ascii="Times New Roman" w:hAnsi="Times New Roman" w:cs="宋体" w:hint="eastAsia"/>
                <w:kern w:val="0"/>
                <w:sz w:val="24"/>
                <w:lang w:bidi="ar"/>
              </w:rPr>
              <w:t>关系为：第一项加第二项之和，等于第三项加第四项之和）</w:t>
            </w:r>
          </w:p>
        </w:tc>
        <w:tc>
          <w:tcPr>
            <w:tcW w:w="3995" w:type="dxa"/>
            <w:gridSpan w:val="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sz w:val="24"/>
              </w:rPr>
            </w:pPr>
            <w:r>
              <w:rPr>
                <w:rFonts w:ascii="Times New Roman" w:hAnsi="Times New Roman" w:cs="宋体" w:hint="eastAsia"/>
                <w:kern w:val="0"/>
                <w:sz w:val="24"/>
                <w:lang w:bidi="ar"/>
              </w:rPr>
              <w:t>申请人情况</w:t>
            </w:r>
          </w:p>
        </w:tc>
      </w:tr>
      <w:tr>
        <w:tblPrEx>
          <w:tblW w:w="8383" w:type="dxa"/>
          <w:jc w:val="center"/>
          <w:tblInd w:w="338" w:type="dxa"/>
          <w:tblLayout w:type="fixed"/>
          <w:tblCellMar>
            <w:top w:w="0" w:type="dxa"/>
            <w:left w:w="0" w:type="dxa"/>
            <w:bottom w:w="0" w:type="dxa"/>
            <w:right w:w="0" w:type="dxa"/>
          </w:tblCellMar>
        </w:tblPrEx>
        <w:trPr>
          <w:jc w:val="center"/>
        </w:trPr>
        <w:tc>
          <w:tcPr>
            <w:tcW w:w="4388" w:type="dxa"/>
            <w:gridSpan w:val="3"/>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45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sz w:val="24"/>
              </w:rPr>
            </w:pPr>
            <w:r>
              <w:rPr>
                <w:rFonts w:ascii="Times New Roman" w:hAnsi="Times New Roman" w:cs="宋体" w:hint="eastAsia"/>
                <w:kern w:val="0"/>
                <w:sz w:val="24"/>
                <w:lang w:bidi="ar"/>
              </w:rPr>
              <w:t>自然人</w:t>
            </w:r>
          </w:p>
        </w:tc>
        <w:tc>
          <w:tcPr>
            <w:tcW w:w="3083"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sz w:val="24"/>
              </w:rPr>
            </w:pPr>
            <w:r>
              <w:rPr>
                <w:rFonts w:ascii="Times New Roman" w:hAnsi="Times New Roman" w:cs="宋体" w:hint="eastAsia"/>
                <w:kern w:val="0"/>
                <w:sz w:val="24"/>
                <w:lang w:bidi="ar"/>
              </w:rPr>
              <w:t>法人或其他组织</w:t>
            </w:r>
          </w:p>
        </w:tc>
        <w:tc>
          <w:tcPr>
            <w:tcW w:w="45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sz w:val="24"/>
              </w:rPr>
            </w:pPr>
            <w:r>
              <w:rPr>
                <w:rFonts w:ascii="Times New Roman" w:hAnsi="Times New Roman" w:cs="宋体" w:hint="eastAsia"/>
                <w:kern w:val="0"/>
                <w:sz w:val="24"/>
                <w:lang w:bidi="ar"/>
              </w:rPr>
              <w:t>总计</w:t>
            </w:r>
          </w:p>
        </w:tc>
      </w:tr>
      <w:tr>
        <w:tblPrEx>
          <w:tblW w:w="8383" w:type="dxa"/>
          <w:jc w:val="center"/>
          <w:tblInd w:w="338" w:type="dxa"/>
          <w:tblLayout w:type="fixed"/>
          <w:tblCellMar>
            <w:top w:w="0" w:type="dxa"/>
            <w:left w:w="0" w:type="dxa"/>
            <w:bottom w:w="0" w:type="dxa"/>
            <w:right w:w="0" w:type="dxa"/>
          </w:tblCellMar>
        </w:tblPrEx>
        <w:trPr>
          <w:trHeight w:val="774"/>
          <w:jc w:val="center"/>
        </w:trPr>
        <w:tc>
          <w:tcPr>
            <w:tcW w:w="4388" w:type="dxa"/>
            <w:gridSpan w:val="3"/>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45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sz w:val="24"/>
              </w:rPr>
            </w:pPr>
            <w:r>
              <w:rPr>
                <w:rFonts w:ascii="Times New Roman" w:hAnsi="Times New Roman" w:cs="宋体" w:hint="eastAsia"/>
                <w:kern w:val="0"/>
                <w:sz w:val="24"/>
                <w:lang w:bidi="ar"/>
              </w:rPr>
              <w:t>商业企业</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sz w:val="24"/>
              </w:rPr>
            </w:pPr>
            <w:r>
              <w:rPr>
                <w:rFonts w:ascii="Times New Roman" w:hAnsi="Times New Roman" w:cs="宋体" w:hint="eastAsia"/>
                <w:kern w:val="0"/>
                <w:sz w:val="24"/>
                <w:lang w:bidi="ar"/>
              </w:rPr>
              <w:t>科研机构</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sz w:val="24"/>
              </w:rPr>
            </w:pPr>
            <w:r>
              <w:rPr>
                <w:rFonts w:ascii="Times New Roman" w:hAnsi="Times New Roman" w:cs="宋体" w:hint="eastAsia"/>
                <w:kern w:val="0"/>
                <w:sz w:val="24"/>
                <w:lang w:bidi="ar"/>
              </w:rPr>
              <w:t>社会公益组织</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sz w:val="24"/>
              </w:rPr>
            </w:pPr>
            <w:r>
              <w:rPr>
                <w:rFonts w:ascii="Times New Roman" w:hAnsi="Times New Roman" w:cs="宋体" w:hint="eastAsia"/>
                <w:kern w:val="0"/>
                <w:sz w:val="24"/>
                <w:lang w:bidi="ar"/>
              </w:rPr>
              <w:t>法律服务机构</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sz w:val="24"/>
              </w:rPr>
            </w:pPr>
            <w:r>
              <w:rPr>
                <w:rFonts w:ascii="Times New Roman" w:hAnsi="Times New Roman" w:cs="宋体" w:hint="eastAsia"/>
                <w:kern w:val="0"/>
                <w:sz w:val="24"/>
                <w:lang w:bidi="ar"/>
              </w:rPr>
              <w:t>其他</w:t>
            </w:r>
          </w:p>
        </w:tc>
        <w:tc>
          <w:tcPr>
            <w:tcW w:w="45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r>
      <w:tr>
        <w:tblPrEx>
          <w:tblW w:w="8383" w:type="dxa"/>
          <w:jc w:val="center"/>
          <w:tblInd w:w="338" w:type="dxa"/>
          <w:tblLayout w:type="fixed"/>
          <w:tblCellMar>
            <w:top w:w="0" w:type="dxa"/>
            <w:left w:w="0" w:type="dxa"/>
            <w:bottom w:w="0" w:type="dxa"/>
            <w:right w:w="0" w:type="dxa"/>
          </w:tblCellMar>
        </w:tblPrEx>
        <w:trPr>
          <w:trHeight w:val="357"/>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sz w:val="24"/>
              </w:rPr>
            </w:pPr>
            <w:r>
              <w:rPr>
                <w:rFonts w:ascii="Times New Roman" w:hAnsi="Times New Roman" w:cs="宋体" w:hint="eastAsia"/>
                <w:kern w:val="0"/>
                <w:sz w:val="24"/>
                <w:lang w:bidi="ar"/>
              </w:rPr>
              <w:t>一、本年新收政府信息公开申请数量</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hint="eastAsia"/>
                <w:sz w:val="24"/>
                <w:lang w:val="en-US" w:eastAsia="zh-CN"/>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hint="eastAsia"/>
                <w:sz w:val="24"/>
                <w:lang w:val="en-US" w:eastAsia="zh-CN"/>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hint="eastAsia"/>
                <w:sz w:val="24"/>
                <w:lang w:val="en-US" w:eastAsia="zh-CN"/>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hint="eastAsia"/>
                <w:sz w:val="24"/>
                <w:lang w:val="en-US" w:eastAsia="zh-CN"/>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hint="eastAsia"/>
                <w:sz w:val="24"/>
                <w:lang w:val="en-US" w:eastAsia="zh-CN"/>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hint="eastAsia"/>
                <w:sz w:val="24"/>
                <w:lang w:val="en-US" w:eastAsia="zh-CN"/>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hint="eastAsia"/>
                <w:sz w:val="24"/>
                <w:lang w:val="en-US" w:eastAsia="zh-CN"/>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trHeight w:val="400"/>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sz w:val="24"/>
              </w:rPr>
            </w:pPr>
            <w:r>
              <w:rPr>
                <w:rFonts w:ascii="Times New Roman" w:hAnsi="Times New Roman" w:cs="宋体" w:hint="eastAsia"/>
                <w:kern w:val="0"/>
                <w:sz w:val="24"/>
                <w:lang w:bidi="ar"/>
              </w:rPr>
              <w:t>二、上年结转政府信息公开申请数量</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trHeight w:val="287"/>
          <w:jc w:val="center"/>
        </w:trPr>
        <w:tc>
          <w:tcPr>
            <w:tcW w:w="69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sz w:val="24"/>
              </w:rPr>
            </w:pPr>
            <w:r>
              <w:rPr>
                <w:rFonts w:ascii="Times New Roman" w:hAnsi="Times New Roman" w:cs="宋体" w:hint="eastAsia"/>
                <w:kern w:val="0"/>
                <w:sz w:val="24"/>
                <w:lang w:bidi="ar"/>
              </w:rPr>
              <w:t>三、本年度办理结果</w:t>
            </w:r>
          </w:p>
        </w:tc>
        <w:tc>
          <w:tcPr>
            <w:tcW w:w="369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（一）予以公开</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trHeight w:val="435"/>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369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（二）部分公开（区分处理的，只</w:t>
            </w:r>
            <w:bookmarkStart w:id="2" w:name="hmcheck_7a2bf9ad188f4c0eabf0fe77e31d299d"/>
            <w:r>
              <w:rPr>
                <w:rFonts w:ascii="Times New Roman" w:hAnsi="Times New Roman" w:cs="宋体" w:hint="eastAsia"/>
                <w:kern w:val="0"/>
                <w:sz w:val="24"/>
                <w:shd w:val="clear" w:color="auto" w:fill="FFFFFF"/>
                <w:lang w:bidi="ar"/>
              </w:rPr>
              <w:t>计</w:t>
            </w:r>
            <w:bookmarkEnd w:id="2"/>
            <w:r>
              <w:rPr>
                <w:rFonts w:ascii="Times New Roman" w:hAnsi="Times New Roman" w:cs="宋体" w:hint="eastAsia"/>
                <w:kern w:val="0"/>
                <w:sz w:val="24"/>
                <w:lang w:bidi="ar"/>
              </w:rPr>
              <w:t>这一情形，不计其他情形）</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（三）不予公开</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1.属于国家秘密</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trHeight w:val="479"/>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2.其他法律行政法规禁止公开</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3.危及“三安全一稳定”</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4.保护第三方合法权益</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5.属于三类内部事务信息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6.属于四类过程性信息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7.属于行政执法案卷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trHeight w:val="150"/>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8.属于行政查询事项</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trHeight w:val="297"/>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（四）无法提供</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1.本机关不掌握相关政府信息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2.没有现成信息需要另行制作</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3.补正后申请内容仍不明确</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（五）不予处理</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1.信访举报投诉类申请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trHeight w:val="238"/>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2.重复申请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3.要求提供公开出版物</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4.无正当理由大量反复申请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tcBorders>
              <w:bottom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2756" w:type="dxa"/>
            <w:tcBorders>
              <w:bottom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5.要求行政机关确认或重新出具已获取信息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jc w:val="center"/>
        </w:trPr>
        <w:tc>
          <w:tcPr>
            <w:tcW w:w="696" w:type="dxa"/>
            <w:vMerge/>
            <w:tcBorders>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val="restart"/>
            <w:tcBorders>
              <w:top w:val="single" w:sz="4" w:space="0" w:color="auto"/>
              <w:left w:val="single" w:sz="4" w:space="0" w:color="auto"/>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（六）其他处理</w:t>
            </w:r>
          </w:p>
        </w:tc>
        <w:tc>
          <w:tcPr>
            <w:tcW w:w="2756" w:type="dxa"/>
            <w:tcBorders>
              <w:top w:val="single" w:sz="4" w:space="0" w:color="auto"/>
              <w:left w:val="single" w:sz="4" w:space="0" w:color="auto"/>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default"/>
                <w:kern w:val="0"/>
                <w:sz w:val="24"/>
                <w:lang w:val="en-US" w:eastAsia="zh-CN" w:bidi="ar"/>
              </w:rPr>
            </w:pPr>
            <w:r>
              <w:rPr>
                <w:rFonts w:ascii="Times New Roman" w:hAnsi="Times New Roman" w:cs="宋体" w:hint="eastAsia"/>
                <w:kern w:val="0"/>
                <w:sz w:val="24"/>
                <w:lang w:val="en-US" w:eastAsia="zh-CN" w:bidi="ar"/>
              </w:rPr>
              <w:t>1.申请人无正当理由逾期不补正、行政机关不再处理其政府信息公开申请</w:t>
            </w:r>
          </w:p>
        </w:tc>
        <w:tc>
          <w:tcPr>
            <w:tcW w:w="456" w:type="dxa"/>
            <w:tcBorders>
              <w:lef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jc w:val="center"/>
        </w:trPr>
        <w:tc>
          <w:tcPr>
            <w:tcW w:w="696" w:type="dxa"/>
            <w:vMerge/>
            <w:tcBorders>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tcBorders>
              <w:left w:val="single" w:sz="4" w:space="0" w:color="auto"/>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2756" w:type="dxa"/>
            <w:tcBorders>
              <w:left w:val="single" w:sz="4" w:space="0" w:color="auto"/>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default"/>
                <w:kern w:val="0"/>
                <w:sz w:val="24"/>
                <w:lang w:val="en-US" w:eastAsia="zh-CN" w:bidi="ar"/>
              </w:rPr>
            </w:pPr>
            <w:r>
              <w:rPr>
                <w:rFonts w:ascii="Times New Roman" w:hAnsi="Times New Roman" w:cs="宋体" w:hint="eastAsia"/>
                <w:kern w:val="0"/>
                <w:sz w:val="24"/>
                <w:lang w:val="en-US" w:eastAsia="zh-CN" w:bidi="ar"/>
              </w:rPr>
              <w:t>2.申请人逾期未按收费通知要求缴纳费用、行政机关不再处理其政府信息公开申请</w:t>
            </w:r>
          </w:p>
        </w:tc>
        <w:tc>
          <w:tcPr>
            <w:tcW w:w="456" w:type="dxa"/>
            <w:tcBorders>
              <w:lef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jc w:val="center"/>
        </w:trPr>
        <w:tc>
          <w:tcPr>
            <w:tcW w:w="696" w:type="dxa"/>
            <w:vMerge/>
            <w:tcBorders>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936" w:type="dxa"/>
            <w:vMerge/>
            <w:tcBorders>
              <w:left w:val="single" w:sz="4" w:space="0" w:color="auto"/>
              <w:bottom w:val="single" w:sz="4" w:space="0" w:color="auto"/>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2756" w:type="dxa"/>
            <w:tcBorders>
              <w:left w:val="single" w:sz="4" w:space="0" w:color="auto"/>
              <w:bottom w:val="single" w:sz="4" w:space="0" w:color="auto"/>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default"/>
                <w:kern w:val="0"/>
                <w:sz w:val="24"/>
                <w:lang w:val="en-US" w:eastAsia="zh-CN" w:bidi="ar"/>
              </w:rPr>
            </w:pPr>
            <w:r>
              <w:rPr>
                <w:rFonts w:ascii="Times New Roman" w:hAnsi="Times New Roman" w:cs="宋体" w:hint="eastAsia"/>
                <w:kern w:val="0"/>
                <w:sz w:val="24"/>
                <w:lang w:val="en-US" w:eastAsia="zh-CN" w:bidi="ar"/>
              </w:rPr>
              <w:t>3.其他</w:t>
            </w:r>
          </w:p>
        </w:tc>
        <w:tc>
          <w:tcPr>
            <w:tcW w:w="456" w:type="dxa"/>
            <w:tcBorders>
              <w:lef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trHeight w:val="116"/>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nt="eastAsia"/>
                <w:sz w:val="24"/>
              </w:rPr>
            </w:pPr>
          </w:p>
        </w:tc>
        <w:tc>
          <w:tcPr>
            <w:tcW w:w="3692" w:type="dxa"/>
            <w:gridSpan w:val="2"/>
            <w:tcBorders>
              <w:top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（七）总计</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r>
        <w:tblPrEx>
          <w:tblW w:w="8383" w:type="dxa"/>
          <w:jc w:val="center"/>
          <w:tblInd w:w="338" w:type="dxa"/>
          <w:tblLayout w:type="fixed"/>
          <w:tblCellMar>
            <w:top w:w="0" w:type="dxa"/>
            <w:left w:w="0" w:type="dxa"/>
            <w:bottom w:w="0" w:type="dxa"/>
            <w:right w:w="0" w:type="dxa"/>
          </w:tblCellMar>
        </w:tblPrEx>
        <w:trPr>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sz w:val="24"/>
              </w:rPr>
            </w:pPr>
            <w:r>
              <w:rPr>
                <w:rFonts w:ascii="Times New Roman" w:hAnsi="Times New Roman" w:cs="宋体" w:hint="eastAsia"/>
                <w:kern w:val="0"/>
                <w:sz w:val="24"/>
                <w:lang w:bidi="ar"/>
              </w:rPr>
              <w:t>四、结转下年度继续办理</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r>
    </w:tbl>
    <w:p>
      <w:pPr>
        <w:spacing w:line="560" w:lineRule="exact"/>
        <w:ind w:firstLine="637" w:firstLineChars="199"/>
        <w:rPr>
          <w:rFonts w:ascii="Times New Roman" w:eastAsia="黑体" w:hAnsi="Times New Roman" w:cs="宋体" w:hint="eastAsia"/>
          <w:sz w:val="32"/>
          <w:szCs w:val="32"/>
        </w:rPr>
      </w:pPr>
      <w:r>
        <w:rPr>
          <w:rFonts w:ascii="Times New Roman" w:eastAsia="黑体" w:hAnsi="Times New Roman" w:cs="宋体" w:hint="eastAsia"/>
          <w:sz w:val="32"/>
          <w:szCs w:val="32"/>
        </w:rPr>
        <w:t>四、政府信息公开行政复议、行政诉讼情况</w:t>
      </w:r>
    </w:p>
    <w:tbl>
      <w:tblPr>
        <w:tblStyle w:val="TableNormal"/>
        <w:tblW w:w="850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502"/>
        <w:gridCol w:w="495"/>
        <w:gridCol w:w="510"/>
        <w:gridCol w:w="495"/>
        <w:gridCol w:w="555"/>
        <w:gridCol w:w="570"/>
        <w:gridCol w:w="525"/>
        <w:gridCol w:w="645"/>
        <w:gridCol w:w="555"/>
        <w:gridCol w:w="675"/>
        <w:gridCol w:w="645"/>
        <w:gridCol w:w="600"/>
        <w:gridCol w:w="600"/>
        <w:gridCol w:w="600"/>
        <w:gridCol w:w="532"/>
      </w:tblGrid>
      <w:tr>
        <w:tblPrEx>
          <w:tblW w:w="850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jc w:val="center"/>
        </w:trPr>
        <w:tc>
          <w:tcPr>
            <w:tcW w:w="2557"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宋体"/>
                <w:kern w:val="0"/>
                <w:sz w:val="24"/>
                <w:lang w:bidi="ar"/>
              </w:rPr>
            </w:pPr>
            <w:r>
              <w:rPr>
                <w:rFonts w:ascii="Times New Roman" w:hAnsi="Times New Roman" w:cs="宋体" w:hint="eastAsia"/>
                <w:kern w:val="0"/>
                <w:sz w:val="24"/>
                <w:lang w:bidi="ar"/>
              </w:rPr>
              <w:t>行政复议</w:t>
            </w:r>
          </w:p>
        </w:tc>
        <w:tc>
          <w:tcPr>
            <w:tcW w:w="5947"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宋体"/>
                <w:kern w:val="0"/>
                <w:sz w:val="24"/>
                <w:lang w:bidi="ar"/>
              </w:rPr>
            </w:pPr>
            <w:r>
              <w:rPr>
                <w:rFonts w:ascii="Times New Roman" w:hAnsi="Times New Roman" w:cs="宋体" w:hint="eastAsia"/>
                <w:kern w:val="0"/>
                <w:sz w:val="24"/>
                <w:lang w:bidi="ar"/>
              </w:rPr>
              <w:t>行政诉讼</w:t>
            </w:r>
          </w:p>
        </w:tc>
      </w:tr>
      <w:tr>
        <w:tblPrEx>
          <w:tblW w:w="8504" w:type="dxa"/>
          <w:jc w:val="center"/>
          <w:tblInd w:w="0" w:type="dxa"/>
          <w:tblLayout w:type="fixed"/>
          <w:tblCellMar>
            <w:top w:w="0" w:type="dxa"/>
            <w:left w:w="0" w:type="dxa"/>
            <w:bottom w:w="0" w:type="dxa"/>
            <w:right w:w="0" w:type="dxa"/>
          </w:tblCellMar>
        </w:tblPrEx>
        <w:trPr>
          <w:trHeight w:val="235"/>
          <w:jc w:val="center"/>
        </w:trPr>
        <w:tc>
          <w:tcPr>
            <w:tcW w:w="50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kern w:val="0"/>
                <w:sz w:val="24"/>
                <w:lang w:bidi="ar"/>
              </w:rPr>
            </w:pPr>
            <w:r>
              <w:rPr>
                <w:rFonts w:ascii="Times New Roman" w:hAnsi="Times New Roman" w:cs="宋体" w:hint="eastAsia"/>
                <w:kern w:val="0"/>
                <w:sz w:val="24"/>
                <w:lang w:bidi="ar"/>
              </w:rPr>
              <w:t>结果维持</w:t>
            </w:r>
          </w:p>
        </w:tc>
        <w:tc>
          <w:tcPr>
            <w:tcW w:w="49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kern w:val="0"/>
                <w:sz w:val="24"/>
                <w:lang w:bidi="ar"/>
              </w:rPr>
            </w:pPr>
            <w:r>
              <w:rPr>
                <w:rFonts w:ascii="Times New Roman" w:hAnsi="Times New Roman" w:cs="宋体" w:hint="eastAsia"/>
                <w:kern w:val="0"/>
                <w:sz w:val="24"/>
                <w:lang w:bidi="ar"/>
              </w:rPr>
              <w:t>结果纠正</w:t>
            </w:r>
          </w:p>
        </w:tc>
        <w:tc>
          <w:tcPr>
            <w:tcW w:w="510"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kern w:val="0"/>
                <w:sz w:val="24"/>
                <w:lang w:bidi="ar"/>
              </w:rPr>
            </w:pPr>
            <w:r>
              <w:rPr>
                <w:rFonts w:ascii="Times New Roman" w:hAnsi="Times New Roman" w:cs="宋体" w:hint="eastAsia"/>
                <w:kern w:val="0"/>
                <w:sz w:val="24"/>
                <w:lang w:bidi="ar"/>
              </w:rPr>
              <w:t>其他结果</w:t>
            </w:r>
          </w:p>
        </w:tc>
        <w:tc>
          <w:tcPr>
            <w:tcW w:w="49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kern w:val="0"/>
                <w:sz w:val="24"/>
                <w:lang w:bidi="ar"/>
              </w:rPr>
            </w:pPr>
            <w:r>
              <w:rPr>
                <w:rFonts w:ascii="Times New Roman" w:hAnsi="Times New Roman" w:cs="宋体" w:hint="eastAsia"/>
                <w:kern w:val="0"/>
                <w:sz w:val="24"/>
                <w:lang w:bidi="ar"/>
              </w:rPr>
              <w:t>尚未审结</w:t>
            </w:r>
          </w:p>
        </w:tc>
        <w:tc>
          <w:tcPr>
            <w:tcW w:w="55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r>
              <w:rPr>
                <w:rFonts w:ascii="Times New Roman" w:hAnsi="Times New Roman" w:cs="宋体" w:hint="eastAsia"/>
                <w:kern w:val="0"/>
                <w:sz w:val="24"/>
                <w:lang w:bidi="ar"/>
              </w:rPr>
              <w:t>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kern w:val="0"/>
                <w:sz w:val="24"/>
                <w:lang w:bidi="ar"/>
              </w:rPr>
            </w:pPr>
            <w:r>
              <w:rPr>
                <w:rFonts w:ascii="Times New Roman" w:hAnsi="Times New Roman" w:cs="宋体" w:hint="eastAsia"/>
                <w:kern w:val="0"/>
                <w:sz w:val="24"/>
                <w:lang w:bidi="ar"/>
              </w:rPr>
              <w:t>计</w:t>
            </w:r>
          </w:p>
        </w:tc>
        <w:tc>
          <w:tcPr>
            <w:tcW w:w="2970"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宋体"/>
                <w:kern w:val="0"/>
                <w:sz w:val="24"/>
                <w:lang w:bidi="ar"/>
              </w:rPr>
            </w:pPr>
            <w:r>
              <w:rPr>
                <w:rFonts w:ascii="Times New Roman" w:hAnsi="Times New Roman" w:cs="宋体" w:hint="eastAsia"/>
                <w:kern w:val="0"/>
                <w:sz w:val="24"/>
                <w:lang w:bidi="ar"/>
              </w:rPr>
              <w:t>未经复议直接起诉</w:t>
            </w:r>
          </w:p>
        </w:tc>
        <w:tc>
          <w:tcPr>
            <w:tcW w:w="2977"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宋体"/>
                <w:kern w:val="0"/>
                <w:sz w:val="24"/>
                <w:lang w:bidi="ar"/>
              </w:rPr>
            </w:pPr>
            <w:r>
              <w:rPr>
                <w:rFonts w:ascii="Times New Roman" w:hAnsi="Times New Roman" w:cs="宋体" w:hint="eastAsia"/>
                <w:kern w:val="0"/>
                <w:sz w:val="24"/>
                <w:lang w:bidi="ar"/>
              </w:rPr>
              <w:t>复议后起诉</w:t>
            </w:r>
          </w:p>
        </w:tc>
      </w:tr>
      <w:tr>
        <w:tblPrEx>
          <w:tblW w:w="8504" w:type="dxa"/>
          <w:jc w:val="center"/>
          <w:tblInd w:w="0" w:type="dxa"/>
          <w:tblLayout w:type="fixed"/>
          <w:tblCellMar>
            <w:top w:w="0" w:type="dxa"/>
            <w:left w:w="0" w:type="dxa"/>
            <w:bottom w:w="0" w:type="dxa"/>
            <w:right w:w="0" w:type="dxa"/>
          </w:tblCellMar>
        </w:tblPrEx>
        <w:trPr>
          <w:jc w:val="center"/>
        </w:trPr>
        <w:tc>
          <w:tcPr>
            <w:tcW w:w="502" w:type="dxa"/>
            <w:vMerge/>
            <w:tcBorders>
              <w:top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495"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510"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495"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555"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hint="eastAsia"/>
                <w:kern w:val="0"/>
                <w:sz w:val="24"/>
                <w:lang w:bidi="ar"/>
              </w:rPr>
            </w:pP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kern w:val="0"/>
                <w:sz w:val="24"/>
                <w:lang w:bidi="ar"/>
              </w:rPr>
            </w:pPr>
            <w:r>
              <w:rPr>
                <w:rFonts w:ascii="Times New Roman" w:hAnsi="Times New Roman" w:cs="宋体" w:hint="eastAsia"/>
                <w:kern w:val="0"/>
                <w:sz w:val="24"/>
                <w:lang w:bidi="ar"/>
              </w:rPr>
              <w:t>结果维持</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kern w:val="0"/>
                <w:sz w:val="24"/>
                <w:lang w:bidi="ar"/>
              </w:rPr>
            </w:pPr>
            <w:r>
              <w:rPr>
                <w:rFonts w:ascii="Times New Roman" w:hAnsi="Times New Roman" w:cs="宋体" w:hint="eastAsia"/>
                <w:kern w:val="0"/>
                <w:sz w:val="24"/>
                <w:lang w:bidi="ar"/>
              </w:rPr>
              <w:t>结果纠正</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宋体"/>
                <w:kern w:val="0"/>
                <w:sz w:val="24"/>
                <w:lang w:bidi="ar"/>
              </w:rPr>
            </w:pPr>
            <w:r>
              <w:rPr>
                <w:rFonts w:ascii="Times New Roman" w:hAnsi="Times New Roman" w:cs="宋体" w:hint="eastAsia"/>
                <w:kern w:val="0"/>
                <w:sz w:val="24"/>
                <w:lang w:bidi="ar"/>
              </w:rPr>
              <w:t>其他结果</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kern w:val="0"/>
                <w:sz w:val="24"/>
                <w:lang w:bidi="ar"/>
              </w:rPr>
            </w:pPr>
            <w:r>
              <w:rPr>
                <w:rFonts w:ascii="Times New Roman" w:hAnsi="Times New Roman" w:cs="宋体" w:hint="eastAsia"/>
                <w:kern w:val="0"/>
                <w:sz w:val="24"/>
                <w:lang w:bidi="ar"/>
              </w:rPr>
              <w:t>尚未审结</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eastAsia="宋体" w:hAnsi="Times New Roman" w:cs="宋体" w:hint="default"/>
                <w:kern w:val="0"/>
                <w:sz w:val="24"/>
                <w:lang w:val="en-US" w:eastAsia="zh-CN" w:bidi="ar"/>
              </w:rPr>
            </w:pPr>
            <w:r>
              <w:rPr>
                <w:rFonts w:ascii="Times New Roman" w:hAnsi="Times New Roman" w:cs="宋体" w:hint="eastAsia"/>
                <w:kern w:val="0"/>
                <w:sz w:val="24"/>
                <w:lang w:bidi="ar"/>
              </w:rPr>
              <w:t>总</w:t>
            </w:r>
            <w:r>
              <w:rPr>
                <w:rFonts w:ascii="Times New Roman" w:hAnsi="Times New Roman" w:cs="宋体" w:hint="eastAsia"/>
                <w:kern w:val="0"/>
                <w:sz w:val="24"/>
                <w:lang w:val="en-US" w:eastAsia="zh-CN" w:bidi="ar"/>
              </w:rPr>
              <w:t xml:space="preserve"> </w:t>
            </w:r>
            <w:r>
              <w:rPr>
                <w:rFonts w:ascii="Times New Roman" w:hAnsi="Times New Roman" w:cs="宋体" w:hint="eastAsia"/>
                <w:kern w:val="0"/>
                <w:sz w:val="24"/>
                <w:lang w:bidi="ar"/>
              </w:rPr>
              <w:t>计</w:t>
            </w:r>
            <w:r>
              <w:rPr>
                <w:rFonts w:ascii="Times New Roman" w:hAnsi="Times New Roman" w:cs="宋体" w:hint="eastAsia"/>
                <w:kern w:val="0"/>
                <w:sz w:val="24"/>
                <w:lang w:val="en-US" w:eastAsia="zh-CN" w:bidi="ar"/>
              </w:rPr>
              <w:t xml:space="preserve">   </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kern w:val="0"/>
                <w:sz w:val="24"/>
                <w:lang w:bidi="ar"/>
              </w:rPr>
            </w:pPr>
            <w:r>
              <w:rPr>
                <w:rFonts w:ascii="Times New Roman" w:hAnsi="Times New Roman" w:cs="宋体" w:hint="eastAsia"/>
                <w:kern w:val="0"/>
                <w:sz w:val="24"/>
                <w:lang w:bidi="ar"/>
              </w:rPr>
              <w:t>结果维持</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kern w:val="0"/>
                <w:sz w:val="24"/>
                <w:lang w:bidi="ar"/>
              </w:rPr>
            </w:pPr>
            <w:r>
              <w:rPr>
                <w:rFonts w:ascii="Times New Roman" w:hAnsi="Times New Roman" w:cs="宋体" w:hint="eastAsia"/>
                <w:kern w:val="0"/>
                <w:sz w:val="24"/>
                <w:lang w:bidi="ar"/>
              </w:rPr>
              <w:t>结果纠正</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kern w:val="0"/>
                <w:sz w:val="24"/>
                <w:lang w:bidi="ar"/>
              </w:rPr>
            </w:pPr>
            <w:r>
              <w:rPr>
                <w:rFonts w:ascii="Times New Roman" w:hAnsi="Times New Roman" w:cs="宋体" w:hint="eastAsia"/>
                <w:kern w:val="0"/>
                <w:sz w:val="24"/>
                <w:lang w:bidi="ar"/>
              </w:rPr>
              <w:t>其他结果</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kern w:val="0"/>
                <w:sz w:val="24"/>
                <w:lang w:bidi="ar"/>
              </w:rPr>
            </w:pPr>
            <w:r>
              <w:rPr>
                <w:rFonts w:ascii="Times New Roman" w:hAnsi="Times New Roman" w:cs="宋体" w:hint="eastAsia"/>
                <w:kern w:val="0"/>
                <w:sz w:val="24"/>
                <w:lang w:bidi="ar"/>
              </w:rPr>
              <w:t>尚未审结</w:t>
            </w:r>
          </w:p>
        </w:tc>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s="宋体"/>
                <w:kern w:val="0"/>
                <w:sz w:val="24"/>
                <w:lang w:bidi="ar"/>
              </w:rPr>
            </w:pPr>
            <w:r>
              <w:rPr>
                <w:rFonts w:ascii="Times New Roman" w:hAnsi="Times New Roman" w:cs="宋体" w:hint="eastAsia"/>
                <w:kern w:val="0"/>
                <w:sz w:val="24"/>
                <w:lang w:bidi="ar"/>
              </w:rPr>
              <w:t>总计</w:t>
            </w:r>
          </w:p>
        </w:tc>
      </w:tr>
      <w:tr>
        <w:tblPrEx>
          <w:tblW w:w="8504" w:type="dxa"/>
          <w:jc w:val="center"/>
          <w:tblInd w:w="0" w:type="dxa"/>
          <w:tblLayout w:type="fixed"/>
          <w:tblCellMar>
            <w:top w:w="0" w:type="dxa"/>
            <w:left w:w="0" w:type="dxa"/>
            <w:bottom w:w="0" w:type="dxa"/>
            <w:right w:w="0" w:type="dxa"/>
          </w:tblCellMar>
        </w:tblPrEx>
        <w:trPr>
          <w:trHeight w:val="560"/>
          <w:jc w:val="center"/>
        </w:trPr>
        <w:tc>
          <w:tcPr>
            <w:tcW w:w="50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51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4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eastAsia="宋体" w:hAnsi="Times New Roman" w:cs="Times New Roman" w:hint="eastAsia"/>
                <w:kern w:val="2"/>
                <w:sz w:val="24"/>
                <w:szCs w:val="24"/>
                <w:lang w:val="en-US" w:eastAsia="zh-CN" w:bidi="ar-SA"/>
              </w:rPr>
            </w:pPr>
            <w:r>
              <w:rPr>
                <w:rFonts w:ascii="Times New Roman" w:hAnsi="Times New Roman" w:hint="eastAsia"/>
                <w:sz w:val="24"/>
                <w:lang w:val="en-US" w:eastAsia="zh-CN"/>
              </w:rPr>
              <w:t>0</w:t>
            </w:r>
          </w:p>
        </w:tc>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eastAsia="宋体" w:hAnsi="Times New Roman" w:cs="宋体" w:hint="eastAsia"/>
                <w:kern w:val="0"/>
                <w:sz w:val="24"/>
                <w:lang w:val="en-US" w:eastAsia="zh-CN" w:bidi="ar"/>
              </w:rPr>
            </w:pPr>
            <w:r>
              <w:rPr>
                <w:rFonts w:ascii="Times New Roman" w:hAnsi="Times New Roman" w:cs="宋体" w:hint="eastAsia"/>
                <w:kern w:val="0"/>
                <w:sz w:val="24"/>
                <w:lang w:val="en-US" w:eastAsia="zh-CN" w:bidi="ar"/>
              </w:rPr>
              <w:t>0</w:t>
            </w:r>
          </w:p>
        </w:tc>
      </w:tr>
    </w:tbl>
    <w:p>
      <w:pPr>
        <w:spacing w:line="560" w:lineRule="exact"/>
        <w:ind w:firstLine="637" w:firstLineChars="199"/>
        <w:rPr>
          <w:rFonts w:ascii="Times New Roman" w:eastAsia="黑体" w:hAnsi="Times New Roman" w:cs="宋体" w:hint="eastAsia"/>
          <w:sz w:val="32"/>
          <w:szCs w:val="32"/>
        </w:rPr>
      </w:pPr>
      <w:r>
        <w:rPr>
          <w:rFonts w:ascii="Times New Roman" w:eastAsia="黑体" w:hAnsi="Times New Roman" w:cs="宋体" w:hint="eastAsia"/>
          <w:sz w:val="32"/>
          <w:szCs w:val="32"/>
        </w:rPr>
        <w:t>五、存在的主要问题及改进情况</w:t>
      </w:r>
    </w:p>
    <w:p>
      <w:pPr>
        <w:pStyle w:val="NormalWeb"/>
        <w:keepNext w:val="0"/>
        <w:keepLines w:val="0"/>
        <w:pageBreakBefore w:val="0"/>
        <w:widowControl w:val="0"/>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rightChars="0" w:firstLineChars="200"/>
        <w:jc w:val="both"/>
        <w:textAlignment w:val="auto"/>
        <w:rPr>
          <w:rFonts w:ascii="Times New Roman" w:eastAsia="楷体_GB2312" w:hAnsi="Times New Roman" w:cs="楷体_GB2312" w:hint="eastAsia"/>
          <w:b/>
          <w:bCs/>
          <w:i w:val="0"/>
          <w:iCs w:val="0"/>
          <w:caps w:val="0"/>
          <w:color w:val="auto"/>
          <w:spacing w:val="0"/>
          <w:sz w:val="32"/>
          <w:szCs w:val="32"/>
          <w:highlight w:val="none"/>
          <w:shd w:val="clear" w:color="auto" w:fill="FFFFFF"/>
        </w:rPr>
      </w:pPr>
      <w:r>
        <w:rPr>
          <w:rFonts w:ascii="Times New Roman" w:eastAsia="楷体_GB2312" w:hAnsi="Times New Roman" w:cs="楷体_GB2312" w:hint="eastAsia"/>
          <w:b/>
          <w:bCs/>
          <w:i w:val="0"/>
          <w:iCs w:val="0"/>
          <w:caps w:val="0"/>
          <w:color w:val="auto"/>
          <w:spacing w:val="0"/>
          <w:sz w:val="32"/>
          <w:szCs w:val="32"/>
          <w:highlight w:val="none"/>
          <w:shd w:val="clear" w:color="auto" w:fill="FFFFFF"/>
        </w:rPr>
        <w:t>（一）存在问题</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jc w:val="both"/>
        <w:textAlignment w:val="auto"/>
        <w:rPr>
          <w:rFonts w:ascii="Times New Roman" w:eastAsia="仿宋_GB2312" w:hAnsi="Times New Roman" w:cs="仿宋_GB2312" w:hint="eastAsia"/>
          <w:i w:val="0"/>
          <w:iCs w:val="0"/>
          <w:caps w:val="0"/>
          <w:color w:val="auto"/>
          <w:spacing w:val="0"/>
          <w:sz w:val="32"/>
          <w:szCs w:val="32"/>
          <w:highlight w:val="none"/>
          <w:shd w:val="clear" w:color="auto" w:fill="FFFFFF"/>
        </w:rPr>
      </w:pPr>
      <w:r>
        <w:rPr>
          <w:rFonts w:ascii="Times New Roman" w:eastAsia="仿宋_GB2312" w:hAnsi="Times New Roman" w:cs="仿宋_GB2312" w:hint="eastAsia"/>
          <w:i w:val="0"/>
          <w:iCs w:val="0"/>
          <w:caps w:val="0"/>
          <w:color w:val="auto"/>
          <w:spacing w:val="0"/>
          <w:sz w:val="32"/>
          <w:szCs w:val="32"/>
          <w:highlight w:val="none"/>
          <w:shd w:val="clear" w:color="auto" w:fill="FFFFFF"/>
        </w:rPr>
        <w:t>一是我局信息公开工作面临人</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员少、业务水平有待提升等问题</w:t>
      </w:r>
      <w:r>
        <w:rPr>
          <w:rFonts w:ascii="Times New Roman" w:eastAsia="仿宋_GB2312" w:hAnsi="Times New Roman" w:cs="仿宋_GB2312" w:hint="eastAsia"/>
          <w:i w:val="0"/>
          <w:iCs w:val="0"/>
          <w:caps w:val="0"/>
          <w:color w:val="auto"/>
          <w:spacing w:val="0"/>
          <w:sz w:val="32"/>
          <w:szCs w:val="32"/>
          <w:highlight w:val="none"/>
          <w:shd w:val="clear" w:color="auto" w:fill="FFFFFF"/>
        </w:rPr>
        <w:t>，</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且</w:t>
      </w:r>
      <w:r>
        <w:rPr>
          <w:rFonts w:ascii="Times New Roman" w:eastAsia="仿宋_GB2312" w:hAnsi="Times New Roman" w:cs="仿宋_GB2312" w:hint="eastAsia"/>
          <w:i w:val="0"/>
          <w:iCs w:val="0"/>
          <w:caps w:val="0"/>
          <w:color w:val="auto"/>
          <w:spacing w:val="0"/>
          <w:sz w:val="32"/>
          <w:szCs w:val="32"/>
          <w:highlight w:val="none"/>
          <w:shd w:val="clear" w:color="auto" w:fill="FFFFFF"/>
        </w:rPr>
        <w:t>工作人员均为兼职干部。信息公开的及时率还需进一步地提高。</w:t>
      </w:r>
      <w:r>
        <w:rPr>
          <w:rFonts w:ascii="Times New Roman" w:eastAsia="仿宋_GB2312" w:hAnsi="Times New Roman" w:cs="仿宋_GB2312" w:hint="eastAsia"/>
          <w:b/>
          <w:bCs/>
          <w:i w:val="0"/>
          <w:iCs w:val="0"/>
          <w:caps w:val="0"/>
          <w:color w:val="auto"/>
          <w:spacing w:val="0"/>
          <w:sz w:val="32"/>
          <w:szCs w:val="32"/>
          <w:highlight w:val="none"/>
          <w:shd w:val="clear" w:color="auto" w:fill="FFFFFF"/>
        </w:rPr>
        <w:t>二是</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对</w:t>
      </w:r>
      <w:r>
        <w:rPr>
          <w:rFonts w:ascii="Times New Roman" w:eastAsia="仿宋_GB2312" w:hAnsi="Times New Roman" w:cs="仿宋_GB2312" w:hint="eastAsia"/>
          <w:i w:val="0"/>
          <w:iCs w:val="0"/>
          <w:caps w:val="0"/>
          <w:color w:val="auto"/>
          <w:spacing w:val="0"/>
          <w:sz w:val="32"/>
          <w:szCs w:val="32"/>
          <w:highlight w:val="none"/>
          <w:shd w:val="clear" w:color="auto" w:fill="FFFFFF"/>
        </w:rPr>
        <w:t>公开的内容</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审核把关还不够细致</w:t>
      </w:r>
      <w:r>
        <w:rPr>
          <w:rFonts w:ascii="Times New Roman" w:eastAsia="仿宋_GB2312" w:hAnsi="Times New Roman" w:cs="仿宋_GB2312" w:hint="eastAsia"/>
          <w:i w:val="0"/>
          <w:iCs w:val="0"/>
          <w:caps w:val="0"/>
          <w:color w:val="auto"/>
          <w:spacing w:val="0"/>
          <w:sz w:val="32"/>
          <w:szCs w:val="32"/>
          <w:highlight w:val="none"/>
          <w:shd w:val="clear" w:color="auto" w:fill="FFFFFF"/>
        </w:rPr>
        <w:t>，</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公开的信息有的存在错词、错字等问题</w:t>
      </w:r>
      <w:r>
        <w:rPr>
          <w:rFonts w:ascii="Times New Roman" w:eastAsia="仿宋_GB2312" w:hAnsi="Times New Roman" w:cs="仿宋_GB2312" w:hint="eastAsia"/>
          <w:i w:val="0"/>
          <w:iCs w:val="0"/>
          <w:caps w:val="0"/>
          <w:color w:val="auto"/>
          <w:spacing w:val="0"/>
          <w:sz w:val="32"/>
          <w:szCs w:val="32"/>
          <w:highlight w:val="none"/>
          <w:shd w:val="clear" w:color="auto" w:fill="FFFFFF"/>
        </w:rPr>
        <w:t>。</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jc w:val="both"/>
        <w:textAlignment w:val="auto"/>
        <w:rPr>
          <w:rFonts w:ascii="Times New Roman" w:eastAsia="楷体_GB2312" w:hAnsi="Times New Roman" w:cs="楷体_GB2312" w:hint="eastAsia"/>
          <w:b/>
          <w:bCs/>
          <w:i w:val="0"/>
          <w:iCs w:val="0"/>
          <w:caps w:val="0"/>
          <w:color w:val="auto"/>
          <w:spacing w:val="0"/>
          <w:sz w:val="32"/>
          <w:szCs w:val="32"/>
          <w:highlight w:val="none"/>
          <w:shd w:val="clear" w:color="auto" w:fill="FFFFFF"/>
        </w:rPr>
      </w:pPr>
      <w:r>
        <w:rPr>
          <w:rFonts w:ascii="Times New Roman" w:eastAsia="楷体_GB2312" w:hAnsi="Times New Roman" w:cs="楷体_GB2312" w:hint="eastAsia"/>
          <w:b/>
          <w:bCs/>
          <w:i w:val="0"/>
          <w:iCs w:val="0"/>
          <w:caps w:val="0"/>
          <w:color w:val="auto"/>
          <w:spacing w:val="0"/>
          <w:sz w:val="32"/>
          <w:szCs w:val="32"/>
          <w:highlight w:val="none"/>
          <w:shd w:val="clear" w:color="auto" w:fill="FFFFFF"/>
        </w:rPr>
        <w:t>（二）改进措施</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Times New Roman" w:eastAsia="仿宋_GB2312" w:hAnsi="Times New Roman" w:cs="宋体" w:hint="eastAsia"/>
          <w:sz w:val="32"/>
          <w:szCs w:val="32"/>
          <w:lang w:eastAsia="zh-CN"/>
        </w:rPr>
      </w:pPr>
      <w:r>
        <w:rPr>
          <w:rFonts w:ascii="Times New Roman" w:eastAsia="仿宋_GB2312" w:hAnsi="Times New Roman" w:cs="仿宋_GB2312" w:hint="eastAsia"/>
          <w:i w:val="0"/>
          <w:iCs w:val="0"/>
          <w:caps w:val="0"/>
          <w:color w:val="auto"/>
          <w:spacing w:val="0"/>
          <w:sz w:val="32"/>
          <w:szCs w:val="32"/>
          <w:highlight w:val="none"/>
          <w:shd w:val="clear" w:color="auto" w:fill="FFFFFF"/>
        </w:rPr>
        <w:t>2024年，我局将进一步完善政府信息公开内容，加强对信息公开人员的业务培训，提高其信息公开水平，不断提高公开信息的全面性、时效性和规范性。</w:t>
      </w:r>
      <w:r>
        <w:rPr>
          <w:rFonts w:ascii="Times New Roman" w:eastAsia="仿宋_GB2312" w:hAnsi="Times New Roman" w:cs="仿宋_GB2312" w:hint="eastAsia"/>
          <w:i w:val="0"/>
          <w:iCs w:val="0"/>
          <w:caps w:val="0"/>
          <w:color w:val="auto"/>
          <w:spacing w:val="0"/>
          <w:sz w:val="32"/>
          <w:szCs w:val="32"/>
          <w:highlight w:val="none"/>
          <w:shd w:val="clear" w:color="auto" w:fill="FFFFFF"/>
          <w:lang w:val="en-US" w:eastAsia="zh-CN"/>
        </w:rPr>
        <w:t>同时，加强对公开内容的审核把关，严格落实“三审三校”要求，在发布前进行认真校对，严防出现错别字等情况，进一步提高信息公开质量。</w:t>
      </w:r>
    </w:p>
    <w:p>
      <w:pPr>
        <w:spacing w:line="560" w:lineRule="exact"/>
        <w:ind w:firstLine="637" w:firstLineChars="199"/>
        <w:rPr>
          <w:rFonts w:ascii="Times New Roman" w:eastAsia="黑体" w:hAnsi="Times New Roman" w:cs="宋体" w:hint="eastAsia"/>
          <w:sz w:val="32"/>
          <w:szCs w:val="32"/>
        </w:rPr>
      </w:pPr>
      <w:r>
        <w:rPr>
          <w:rFonts w:ascii="Times New Roman" w:eastAsia="黑体" w:hAnsi="Times New Roman" w:cs="宋体" w:hint="eastAsia"/>
          <w:sz w:val="32"/>
          <w:szCs w:val="32"/>
        </w:rPr>
        <w:t>六、其他需要报告的事项</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ascii="Times New Roman" w:eastAsia="仿宋_GB2312" w:hAnsi="Times New Roman" w:cs="仿宋_GB2312" w:hint="eastAsia"/>
          <w:color w:val="auto"/>
          <w:sz w:val="32"/>
          <w:szCs w:val="32"/>
          <w:highlight w:val="none"/>
          <w:lang w:val="en-US" w:eastAsia="zh-CN"/>
        </w:rPr>
      </w:pPr>
      <w:r>
        <w:rPr>
          <w:rFonts w:ascii="Times New Roman" w:eastAsia="仿宋_GB2312" w:hAnsi="Times New Roman" w:cs="仿宋_GB2312" w:hint="eastAsia"/>
          <w:color w:val="auto"/>
          <w:sz w:val="32"/>
          <w:szCs w:val="32"/>
          <w:highlight w:val="none"/>
          <w:lang w:val="en-US" w:eastAsia="zh-CN"/>
        </w:rPr>
        <w:t>无其他需要报告的事项。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eastAsia="黑体" w:hAnsi="Times New Roman" w:cs="黑体"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eastAsia="仿宋_GB2312" w:hAnsi="Times New Roman" w:cs="仿宋_GB2312" w:hint="eastAsia"/>
          <w:sz w:val="32"/>
          <w:szCs w:val="32"/>
          <w:lang w:eastAsia="zh-CN"/>
        </w:rPr>
      </w:pPr>
    </w:p>
    <w:p>
      <w:pPr>
        <w:rPr>
          <w:rFonts w:ascii="Times New Roman" w:hAnsi="Times New Roman"/>
        </w:rPr>
      </w:pPr>
    </w:p>
    <w:p/>
    <w:sectPr>
      <w:footerReference w:type="default" r:id="rId5"/>
      <w:pgSz w:w="11906" w:h="16838"/>
      <w:pgMar w:top="2098" w:right="1531" w:bottom="1984" w:left="1531" w:header="851" w:footer="992" w:gutter="0"/>
      <w:pgNumType w:fmt="decimal" w:start="4"/>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a:effectLst/>
                    </wps:spPr>
                    <wps:txbx>
                      <w:txbxContent>
                        <w:p>
                          <w:pPr>
                            <w:pStyle w:val="Footer"/>
                            <w:rPr>
                              <w:rFonts w:ascii="宋体" w:eastAsia="宋体" w:hAnsi="宋体" w:cs="宋体" w:hint="eastAsia"/>
                              <w:sz w:val="28"/>
                              <w:szCs w:val="44"/>
                            </w:rPr>
                          </w:pPr>
                          <w:r>
                            <w:rPr>
                              <w:rFonts w:ascii="宋体" w:eastAsia="宋体" w:hAnsi="宋体" w:cs="宋体" w:hint="eastAsia"/>
                              <w:sz w:val="28"/>
                              <w:szCs w:val="44"/>
                            </w:rPr>
                            <w:t xml:space="preserve">— </w:t>
                          </w:r>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Pr>
                              <w:rFonts w:ascii="宋体" w:eastAsia="宋体" w:hAnsi="宋体" w:cs="宋体" w:hint="eastAsia"/>
                              <w:sz w:val="28"/>
                              <w:szCs w:val="44"/>
                            </w:rPr>
                            <w:fldChar w:fldCharType="separate"/>
                          </w:r>
                          <w:r>
                            <w:rPr>
                              <w:rFonts w:ascii="宋体" w:eastAsia="宋体" w:hAnsi="宋体" w:cs="宋体" w:hint="eastAsia"/>
                              <w:sz w:val="28"/>
                              <w:szCs w:val="44"/>
                            </w:rPr>
                            <w:t>2</w:t>
                          </w:r>
                          <w:r>
                            <w:rPr>
                              <w:rFonts w:ascii="宋体" w:eastAsia="宋体" w:hAnsi="宋体" w:cs="宋体" w:hint="eastAsia"/>
                              <w:sz w:val="28"/>
                              <w:szCs w:val="44"/>
                            </w:rPr>
                            <w:fldChar w:fldCharType="end"/>
                          </w:r>
                          <w:r>
                            <w:rPr>
                              <w:rFonts w:ascii="宋体" w:eastAsia="宋体" w:hAnsi="宋体" w:cs="宋体" w:hint="eastAsia"/>
                              <w:sz w:val="28"/>
                              <w:szCs w:val="44"/>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ascii="宋体" w:eastAsia="宋体" w:hAnsi="宋体" w:cs="宋体" w:hint="eastAsia"/>
                        <w:sz w:val="28"/>
                        <w:szCs w:val="44"/>
                      </w:rPr>
                    </w:pPr>
                    <w:r>
                      <w:rPr>
                        <w:rFonts w:ascii="宋体" w:eastAsia="宋体" w:hAnsi="宋体" w:cs="宋体" w:hint="eastAsia"/>
                        <w:sz w:val="28"/>
                        <w:szCs w:val="44"/>
                      </w:rPr>
                      <w:t xml:space="preserve">— </w:t>
                    </w:r>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Pr>
                        <w:rFonts w:ascii="宋体" w:eastAsia="宋体" w:hAnsi="宋体" w:cs="宋体" w:hint="eastAsia"/>
                        <w:sz w:val="28"/>
                        <w:szCs w:val="44"/>
                      </w:rPr>
                      <w:fldChar w:fldCharType="separate"/>
                    </w:r>
                    <w:r>
                      <w:rPr>
                        <w:rFonts w:ascii="宋体" w:eastAsia="宋体" w:hAnsi="宋体" w:cs="宋体" w:hint="eastAsia"/>
                        <w:sz w:val="28"/>
                        <w:szCs w:val="44"/>
                      </w:rPr>
                      <w:t>2</w:t>
                    </w:r>
                    <w:r>
                      <w:rPr>
                        <w:rFonts w:ascii="宋体" w:eastAsia="宋体" w:hAnsi="宋体" w:cs="宋体" w:hint="eastAsia"/>
                        <w:sz w:val="28"/>
                        <w:szCs w:val="44"/>
                      </w:rPr>
                      <w:fldChar w:fldCharType="end"/>
                    </w:r>
                    <w:r>
                      <w:rPr>
                        <w:rFonts w:ascii="宋体" w:eastAsia="宋体" w:hAnsi="宋体" w:cs="宋体" w:hint="eastAsia"/>
                        <w:sz w:val="28"/>
                        <w:szCs w:val="44"/>
                      </w:rPr>
                      <w:t xml:space="preserve"> —</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046225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Calibri" w:eastAsia="宋体" w:hAnsi="Calibri" w:cs="Times New Roman"/>
      <w:kern w:val="2"/>
      <w:sz w:val="21"/>
      <w:szCs w:val="24"/>
      <w:lang w:val="en-US" w:eastAsia="zh-CN" w:bidi="ar-SA"/>
    </w:rPr>
  </w:style>
  <w:style w:type="paragraph" w:styleId="Heading3">
    <w:name w:val="heading 3"/>
    <w:basedOn w:val="Normal"/>
    <w:next w:val="Normal"/>
    <w:qFormat/>
    <w:pPr>
      <w:keepNext/>
      <w:keepLines/>
      <w:ind w:firstLine="200" w:firstLineChars="200"/>
      <w:outlineLvl w:val="2"/>
    </w:pPr>
    <w:rPr>
      <w:rFonts w:ascii="仿宋" w:eastAsia="仿宋" w:hAnsi="Times New Roman" w:cs="宋体"/>
      <w:color w:val="FF0000"/>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NormalWeb">
    <w:name w:val="Normal (Web)"/>
    <w:basedOn w:val="Normal"/>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zhangzudong</dc:creator>
  <cp:lastModifiedBy>zhangzudong</cp:lastModifiedBy>
  <cp:revision>0</cp:revision>
  <dcterms:created xsi:type="dcterms:W3CDTF">2024-01-29T04:03:11Z</dcterms:created>
  <dcterms:modified xsi:type="dcterms:W3CDTF">2024-01-29T04:03:35Z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