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widowControl w:val="0"/>
        <w:snapToGrid w:val="0"/>
        <w:spacing w:before="0" w:after="0" w:line="493" w:lineRule="atLeast"/>
        <w:ind w:left="0" w:right="0" w:firstLine="0"/>
        <w:jc w:val="center"/>
        <w:textAlignment w:val="baseline"/>
        <w:rPr>
          <w:shd w:val="clear" w:color="auto" w:fill="auto"/>
        </w:rPr>
      </w:pPr>
    </w:p>
    <w:p>
      <w:pPr>
        <w:widowControl w:val="0"/>
        <w:snapToGrid w:val="0"/>
        <w:spacing w:before="0" w:after="0" w:line="493" w:lineRule="atLeast"/>
        <w:ind w:left="0" w:right="0" w:firstLine="0"/>
        <w:jc w:val="center"/>
        <w:textAlignment w:val="baseline"/>
        <w:rPr>
          <w:shd w:val="clear" w:color="auto" w:fill="auto"/>
        </w:rPr>
      </w:pPr>
      <w:bookmarkStart w:id="0" w:name="_GoBack"/>
      <w:r>
        <w:rPr>
          <w:rFonts w:ascii="方正小标宋_GBK" w:eastAsia="方正小标宋_GBK"/>
          <w:sz w:val="44"/>
          <w:shd w:val="clear" w:color="auto" w:fill="auto"/>
        </w:rPr>
        <w:t>乌苏市民政局政府信息公开工作</w:t>
      </w:r>
    </w:p>
    <w:p>
      <w:pPr>
        <w:widowControl w:val="0"/>
        <w:snapToGrid w:val="0"/>
        <w:spacing w:before="0" w:after="0" w:line="493" w:lineRule="atLeast"/>
        <w:ind w:left="0" w:right="0" w:firstLine="0"/>
        <w:jc w:val="center"/>
        <w:textAlignment w:val="baseline"/>
        <w:rPr>
          <w:shd w:val="clear" w:color="auto" w:fill="auto"/>
        </w:rPr>
      </w:pPr>
      <w:r>
        <w:rPr>
          <w:rFonts w:ascii="方正小标宋_GBK" w:eastAsia="方正小标宋_GBK"/>
          <w:sz w:val="44"/>
          <w:shd w:val="clear" w:color="auto" w:fill="auto"/>
        </w:rPr>
        <w:t>2023年度报告</w:t>
      </w:r>
    </w:p>
    <w:bookmarkEnd w:id="0"/>
    <w:p>
      <w:pPr>
        <w:widowControl w:val="0"/>
        <w:snapToGrid w:val="0"/>
        <w:spacing w:before="0" w:after="0" w:line="493" w:lineRule="atLeast"/>
        <w:ind w:left="0" w:right="0" w:firstLine="878"/>
        <w:jc w:val="center"/>
        <w:textAlignment w:val="baseline"/>
        <w:rPr>
          <w:shd w:val="clear" w:color="auto" w:fill="auto"/>
        </w:rPr>
      </w:pPr>
    </w:p>
    <w:p>
      <w:pPr>
        <w:widowControl w:val="0"/>
        <w:snapToGrid w:val="0"/>
        <w:spacing w:before="0" w:after="0" w:line="510" w:lineRule="atLeast"/>
        <w:ind w:left="0" w:right="0" w:firstLine="640"/>
        <w:jc w:val="left"/>
        <w:textAlignment w:val="baseline"/>
        <w:rPr>
          <w:shd w:val="clear" w:color="auto" w:fill="auto"/>
        </w:rPr>
      </w:pPr>
      <w:r>
        <w:rPr>
          <w:rFonts w:ascii="黑体" w:eastAsia="黑体"/>
          <w:sz w:val="31"/>
          <w:shd w:val="clear" w:color="auto" w:fill="auto"/>
        </w:rPr>
        <w:t>一、总体情况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sz w:val="31"/>
          <w:shd w:val="clear" w:color="auto" w:fill="auto"/>
        </w:rPr>
        <w:t>2023年，我局以习近平新时代中国特色社会主义思想为指导，认真贯彻落实《中华人民共和国政府信息公开条例》，推进基层政务公开标准化规范化工作，深化重点领域信息公开，加强政策解读和回应，不断提升政府工作透明度和政府公信力。我局认真对2023年度政府信息公开工作进行汇总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b/>
          <w:sz w:val="31"/>
          <w:shd w:val="clear" w:color="auto" w:fill="auto"/>
        </w:rPr>
        <w:t>（一）主动公开情况。</w:t>
      </w:r>
      <w:r>
        <w:rPr>
          <w:rFonts w:ascii="仿宋_GB2312" w:eastAsia="仿宋_GB2312"/>
          <w:sz w:val="31"/>
          <w:shd w:val="clear" w:color="auto" w:fill="auto"/>
        </w:rPr>
        <w:t>2023年，我局按照公开为原则，通过“乌苏政府”网站主动公开政府信息40条，其中包含社会救助、养老服务、社会福利等重点领域信息，推进重点领域信息公开。我局认真梳理职能相关重点领域信息公开事项，进一步提高信息公开的针对性和有效性。严格落实定期公开制度，如在</w:t>
      </w:r>
      <w:bookmarkStart w:id="1" w:name="hmcheck_a5a8e2853b754cb6993b61394dadf65b"/>
      <w:r>
        <w:rPr>
          <w:rFonts w:ascii="仿宋_GB2312" w:eastAsia="仿宋_GB2312"/>
          <w:sz w:val="31"/>
          <w:shd w:val="clear" w:color="auto" w:fill="auto"/>
        </w:rPr>
        <w:t>册</w:t>
      </w:r>
      <w:bookmarkEnd w:id="1"/>
      <w:r>
        <w:rPr>
          <w:rFonts w:ascii="仿宋_GB2312" w:eastAsia="仿宋_GB2312"/>
          <w:sz w:val="31"/>
          <w:shd w:val="clear" w:color="auto" w:fill="auto"/>
        </w:rPr>
        <w:t>低保</w:t>
      </w:r>
      <w:bookmarkStart w:id="2" w:name="hmcheck_4e01cf70128b470aa617c062225e450e"/>
      <w:r>
        <w:rPr>
          <w:rFonts w:ascii="仿宋_GB2312" w:eastAsia="仿宋_GB2312"/>
          <w:sz w:val="31"/>
          <w:shd w:val="clear" w:color="auto" w:fill="auto"/>
        </w:rPr>
        <w:t>低边</w:t>
      </w:r>
      <w:bookmarkEnd w:id="2"/>
      <w:r>
        <w:rPr>
          <w:rFonts w:ascii="仿宋_GB2312" w:eastAsia="仿宋_GB2312"/>
          <w:sz w:val="31"/>
          <w:shd w:val="clear" w:color="auto" w:fill="auto"/>
        </w:rPr>
        <w:t>对象名单、特困人员名单、临时救助名单及基本生活费发放情况等均每月发布。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b/>
          <w:sz w:val="31"/>
          <w:shd w:val="clear" w:color="auto" w:fill="auto"/>
        </w:rPr>
        <w:t>（二）依申请公开情况。</w:t>
      </w:r>
      <w:r>
        <w:rPr>
          <w:rFonts w:ascii="仿宋_GB2312" w:eastAsia="仿宋_GB2312"/>
          <w:sz w:val="31"/>
          <w:shd w:val="clear" w:color="auto" w:fill="auto"/>
        </w:rPr>
        <w:t>2023年，我局接收政府信息公开申请0起。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b/>
          <w:sz w:val="31"/>
          <w:shd w:val="clear" w:color="auto" w:fill="auto"/>
        </w:rPr>
        <w:t>（三）回应社会关切情况。</w:t>
      </w:r>
      <w:r>
        <w:rPr>
          <w:rFonts w:ascii="仿宋_GB2312" w:eastAsia="仿宋_GB2312"/>
          <w:sz w:val="31"/>
          <w:shd w:val="clear" w:color="auto" w:fill="auto"/>
        </w:rPr>
        <w:t>通过电话来访、群众接待等方式，倾听群众呼声，排解百姓困难。对群众关切问题积极正面回应，主动快速引导。主要就社会救助等相关问题作出回复，及时解疑释惑，理顺情绪，化解矛盾。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b/>
          <w:sz w:val="31"/>
          <w:shd w:val="clear" w:color="auto" w:fill="auto"/>
        </w:rPr>
        <w:t>（四）强化组织领导。</w:t>
      </w:r>
      <w:r>
        <w:rPr>
          <w:rFonts w:ascii="仿宋_GB2312" w:eastAsia="仿宋_GB2312"/>
          <w:sz w:val="31"/>
          <w:shd w:val="clear" w:color="auto" w:fill="auto"/>
        </w:rPr>
        <w:t>我局高度重视加强对政府信息公开工作的组织领导，形成单位一把手负总责，分管领导具体抓，相关人员抓落实的工作格局，确保政务公开工作常抓不懈。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left"/>
        <w:textAlignment w:val="baseline"/>
        <w:rPr>
          <w:shd w:val="clear" w:color="auto" w:fill="auto"/>
        </w:rPr>
      </w:pPr>
      <w:r>
        <w:rPr>
          <w:rFonts w:ascii="黑体" w:eastAsia="黑体"/>
          <w:sz w:val="31"/>
          <w:shd w:val="clear" w:color="auto" w:fill="auto"/>
        </w:rPr>
        <w:t>二、主动公开政府信息情况</w:t>
      </w:r>
    </w:p>
    <w:p>
      <w:pPr>
        <w:rPr>
          <w:shd w:val="clear" w:color="auto" w:fill="auto"/>
        </w:rPr>
      </w:pPr>
    </w:p>
    <w:tbl>
      <w:tblPr>
        <w:tblStyle w:val="TableNormal"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1997"/>
        <w:gridCol w:w="1634"/>
        <w:gridCol w:w="1821"/>
      </w:tblGrid>
      <w:tr>
        <w:tblPrEx>
          <w:tblW w:w="0" w:type="auto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8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第二十条第（一）项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信息内容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snapToGrid w:val="0"/>
              <w:spacing w:before="0" w:after="0" w:line="272" w:lineRule="atLeast"/>
              <w:ind w:left="0" w:right="0" w:firstLine="0"/>
              <w:jc w:val="center"/>
              <w:textAlignment w:val="baseline"/>
              <w:rPr>
                <w:shd w:val="clear" w:color="auto" w:fill="auto"/>
              </w:rPr>
            </w:pPr>
            <w:r>
              <w:rPr>
                <w:rFonts w:ascii="宋体"/>
                <w:sz w:val="24"/>
                <w:shd w:val="clear" w:color="auto" w:fill="auto"/>
              </w:rPr>
              <w:t>本年</w:t>
            </w:r>
            <w:r>
              <w:rPr>
                <w:sz w:val="24"/>
                <w:shd w:val="clear" w:color="auto" w:fill="auto"/>
              </w:rPr>
              <w:t>制发件数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本年废止件数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现行有效件数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规章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规范性文件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821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第二十条第（五）项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本年处理决定数量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行政许可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11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821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第二十条第（六）项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本年处理决定数量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行政处罚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行政强制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821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第二十条第（八）项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信息内容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本年收费金额（单位：万元）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行政事业性收费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top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</w:tbl>
    <w:p>
      <w:pPr>
        <w:rPr>
          <w:shd w:val="clear" w:color="auto" w:fill="auto"/>
        </w:rPr>
      </w:pPr>
      <w:r>
        <w:rPr>
          <w:rFonts w:ascii="黑体" w:eastAsia="黑体"/>
          <w:sz w:val="31"/>
          <w:shd w:val="clear" w:color="auto" w:fill="auto"/>
        </w:rPr>
        <w:t>三、收到和处理政府信息公开申请情况</w:t>
      </w:r>
    </w:p>
    <w:p>
      <w:pPr>
        <w:rPr>
          <w:shd w:val="clear" w:color="auto" w:fill="auto"/>
        </w:rPr>
      </w:pPr>
    </w:p>
    <w:tbl>
      <w:tblPr>
        <w:tblStyle w:val="TableNormal"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19"/>
        <w:gridCol w:w="2701"/>
        <w:gridCol w:w="443"/>
        <w:gridCol w:w="641"/>
        <w:gridCol w:w="641"/>
        <w:gridCol w:w="641"/>
        <w:gridCol w:w="641"/>
        <w:gridCol w:w="454"/>
        <w:gridCol w:w="448"/>
      </w:tblGrid>
      <w:tr>
        <w:tblPrEx>
          <w:tblW w:w="0" w:type="auto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30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（本列数据的</w:t>
            </w:r>
            <w:bookmarkStart w:id="3" w:name="hmcheck_f43fed1350bb43d4bd07e09cbfb27230"/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勾稽</w:t>
            </w:r>
            <w:bookmarkEnd w:id="3"/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关系为：第一项加第二项之和，等于第三项加第四项之和）</w:t>
            </w:r>
          </w:p>
        </w:tc>
        <w:tc>
          <w:tcPr>
            <w:tcW w:w="390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申请人情况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自然人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总计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/>
        </w:trPr>
        <w:tc>
          <w:tcPr>
            <w:tcW w:w="4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商业企业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科研机构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社会公益组织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法律服务机构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其他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30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一、本年新收政府信息公开申请数量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430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二、上年结转政府信息公开申请数量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</w:p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三、本年度办理结果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（一）予以公开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（二）部分公开（区分处理的，只</w:t>
            </w:r>
            <w:bookmarkStart w:id="4" w:name="hmcheck_0373a082292640b1ab6546d406fde3fc"/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计</w:t>
            </w:r>
            <w:bookmarkEnd w:id="4"/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这一情形，不计其他情形）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（三）不予公开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1.属于国家秘密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2.其他法律行政法规禁止公开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3.危及“三安全一稳定”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4.保护第三方合法权益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5.属于三类内部事务信息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6.属于四类过程性信息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7.属于行政执法案卷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8.属于行政查询事项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（四）无法提供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1.本机关不掌握相关政府信息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2.没有现成信息需要另行制作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3.补正后申请内容仍不明确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（五）不予处理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1.信访举报投诉类申请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2.重复申请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3.要求提供公开出版物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4.无正当理由大量反复申请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5.要求行政机关确认或重新出具已获取信息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（六）其他处理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1.申请人无正当理由逾期不补正、行政机关不再处理其政府信息公开申请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2.申请人逾期未按收费通知要求缴纳费用、行政机关不再处理其政府信息公开申请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3.其他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（七）总计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30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四、结转下年度继续办理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left="0" w:right="0" w:firstLine="0" w:leftChars="0" w:rightChars="0" w:firstLineChars="0"/>
              <w:jc w:val="center"/>
              <w:rPr>
                <w:rFonts w:ascii="Calibri" w:eastAsia="宋体" w:hAnsi="Times New Roman" w:cstheme="minorBidi"/>
                <w:color w:val="000000"/>
                <w:spacing w:val="0"/>
                <w:w w:val="100"/>
                <w:sz w:val="21"/>
                <w:u w:val="none" w:color="00000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Times New Roman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</w:tbl>
    <w:p>
      <w:pPr>
        <w:rPr>
          <w:shd w:val="clear" w:color="auto" w:fill="auto"/>
        </w:rPr>
      </w:pPr>
      <w:r>
        <w:rPr>
          <w:rFonts w:ascii="黑体" w:eastAsia="黑体"/>
          <w:sz w:val="31"/>
          <w:shd w:val="clear" w:color="auto" w:fill="auto"/>
        </w:rPr>
        <w:t>四、政府信息公开行政复议、行政诉讼情况</w:t>
      </w:r>
    </w:p>
    <w:p>
      <w:pPr>
        <w:rPr>
          <w:shd w:val="clear" w:color="auto" w:fill="auto"/>
        </w:rPr>
      </w:pPr>
    </w:p>
    <w:tbl>
      <w:tblPr>
        <w:tblStyle w:val="TableNormal"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77"/>
        <w:gridCol w:w="494"/>
        <w:gridCol w:w="477"/>
        <w:gridCol w:w="539"/>
        <w:gridCol w:w="545"/>
        <w:gridCol w:w="511"/>
        <w:gridCol w:w="624"/>
        <w:gridCol w:w="539"/>
        <w:gridCol w:w="652"/>
        <w:gridCol w:w="624"/>
        <w:gridCol w:w="579"/>
        <w:gridCol w:w="579"/>
        <w:gridCol w:w="579"/>
        <w:gridCol w:w="516"/>
      </w:tblGrid>
      <w:tr>
        <w:tblPrEx>
          <w:tblW w:w="0" w:type="auto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24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行政复议</w:t>
            </w:r>
          </w:p>
        </w:tc>
        <w:tc>
          <w:tcPr>
            <w:tcW w:w="5748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行政诉讼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结果维持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结果纠正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其他结果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尚未审结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总</w:t>
            </w:r>
          </w:p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计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未经复议直接起诉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复议后起诉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top"/>
          </w:tcPr>
          <w:p>
            <w:pPr>
              <w:rPr>
                <w:shd w:val="clear" w:color="auto" w:fill="auto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结果维持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结果纠正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其他结果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尚未审结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 xml:space="preserve">总 计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结果维持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结果纠正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其他结果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尚未审结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总计</w:t>
            </w:r>
          </w:p>
        </w:tc>
      </w:tr>
      <w:tr>
        <w:tblPrEx>
          <w:tblW w:w="0" w:type="auto"/>
          <w:tblInd w:w="-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4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 w:val="0"/>
            <w:vAlign w:val="center"/>
          </w:tcPr>
          <w:p>
            <w:pPr>
              <w:ind w:firstLine="0"/>
              <w:jc w:val="left"/>
              <w:rPr>
                <w:shd w:val="clear" w:color="auto" w:fill="auto"/>
              </w:rPr>
            </w:pPr>
            <w:r>
              <w:rPr>
                <w:rFonts w:ascii="宋体" w:eastAsia="宋体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sz w:val="24"/>
                <w:u w:val="none" w:color="000000"/>
                <w:shd w:val="clear" w:color="auto" w:fill="auto"/>
              </w:rPr>
              <w:t>0</w:t>
            </w:r>
          </w:p>
        </w:tc>
      </w:tr>
    </w:tbl>
    <w:p>
      <w:pPr>
        <w:rPr>
          <w:shd w:val="clear" w:color="auto" w:fill="auto"/>
        </w:rPr>
      </w:pPr>
      <w:r>
        <w:rPr>
          <w:rFonts w:ascii="黑体" w:eastAsia="黑体"/>
          <w:sz w:val="31"/>
          <w:shd w:val="clear" w:color="auto" w:fill="auto"/>
        </w:rPr>
        <w:t>五、存在的主要问题及改进情况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b/>
          <w:sz w:val="31"/>
          <w:shd w:val="clear" w:color="auto" w:fill="auto"/>
        </w:rPr>
        <w:t>（一）存在问题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sz w:val="31"/>
          <w:shd w:val="clear" w:color="auto" w:fill="auto"/>
        </w:rPr>
        <w:t>1.信息公开意识还有待提高，信息公开更新不及时，内容还不能</w:t>
      </w:r>
      <w:bookmarkStart w:id="5" w:name="hmcheck_451c9404cc094b20b2082192c9a8a7b8"/>
      <w:r>
        <w:rPr>
          <w:rFonts w:ascii="仿宋_GB2312" w:eastAsia="仿宋_GB2312" w:hint="eastAsia"/>
          <w:sz w:val="31"/>
          <w:shd w:val="clear" w:color="auto" w:fill="auto"/>
          <w:lang w:eastAsia="zh-CN"/>
        </w:rPr>
        <w:t>完全满足</w:t>
      </w:r>
      <w:bookmarkEnd w:id="5"/>
      <w:r>
        <w:rPr>
          <w:rFonts w:ascii="仿宋_GB2312" w:eastAsia="仿宋_GB2312"/>
          <w:sz w:val="31"/>
          <w:shd w:val="clear" w:color="auto" w:fill="auto"/>
        </w:rPr>
        <w:t>社会公众需求。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sz w:val="31"/>
          <w:shd w:val="clear" w:color="auto" w:fill="auto"/>
        </w:rPr>
        <w:t>2.宣传力度不够，社会和市民的信息互动，公众对信息公开的知晓率和参与度有待提高。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b/>
          <w:sz w:val="31"/>
          <w:shd w:val="clear" w:color="auto" w:fill="auto"/>
        </w:rPr>
        <w:t>（二）改进措施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sz w:val="31"/>
          <w:shd w:val="clear" w:color="auto" w:fill="auto"/>
        </w:rPr>
        <w:t>我局将进一步丰富公开内容，努力扩大信息来源，对原有的政务信息公开内容进行完善，保证各类公开信息的完整性和准确性。加大宣传，提高公众对政府政务信息公开的知晓率和参与度，同时，加强政务信息公开的业务学习和培训，不断提升政务信息公开整体工作水平。</w:t>
      </w:r>
    </w:p>
    <w:p>
      <w:pPr>
        <w:widowControl w:val="0"/>
        <w:snapToGrid w:val="0"/>
        <w:spacing w:before="0" w:after="0" w:line="510" w:lineRule="atLeast"/>
        <w:ind w:left="0" w:right="0" w:firstLine="634"/>
        <w:jc w:val="both"/>
        <w:textAlignment w:val="baseline"/>
        <w:rPr>
          <w:shd w:val="clear" w:color="auto" w:fill="auto"/>
        </w:rPr>
      </w:pPr>
      <w:r>
        <w:rPr>
          <w:rFonts w:ascii="黑体" w:eastAsia="黑体"/>
          <w:sz w:val="31"/>
          <w:shd w:val="clear" w:color="auto" w:fill="auto"/>
        </w:rPr>
        <w:t>六、其他需要报告的事项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  <w:r>
        <w:rPr>
          <w:rFonts w:ascii="仿宋_GB2312" w:eastAsia="仿宋_GB2312"/>
          <w:sz w:val="31"/>
          <w:shd w:val="clear" w:color="auto" w:fill="auto"/>
        </w:rPr>
        <w:t>暂无。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both"/>
        <w:textAlignment w:val="baseline"/>
        <w:rPr>
          <w:shd w:val="clear" w:color="auto" w:fill="auto"/>
        </w:rPr>
      </w:pPr>
    </w:p>
    <w:p>
      <w:pPr>
        <w:widowControl w:val="0"/>
        <w:snapToGrid w:val="0"/>
        <w:spacing w:before="0" w:after="0" w:line="510" w:lineRule="atLeast"/>
        <w:ind w:left="0" w:right="0" w:firstLine="640"/>
        <w:jc w:val="right"/>
        <w:textAlignment w:val="baseline"/>
        <w:rPr>
          <w:shd w:val="clear" w:color="auto" w:fill="auto"/>
        </w:rPr>
      </w:pPr>
    </w:p>
    <w:p>
      <w:pPr>
        <w:widowControl w:val="0"/>
        <w:snapToGrid w:val="0"/>
        <w:spacing w:before="0" w:after="0" w:line="510" w:lineRule="atLeast"/>
        <w:ind w:left="0" w:right="0" w:firstLine="640"/>
        <w:jc w:val="center"/>
        <w:textAlignment w:val="baseline"/>
        <w:rPr>
          <w:shd w:val="clear" w:color="auto" w:fill="auto"/>
        </w:rPr>
      </w:pPr>
      <w:r>
        <w:rPr>
          <w:rFonts w:ascii="仿宋_GB2312" w:eastAsia="仿宋_GB2312"/>
          <w:sz w:val="31"/>
          <w:shd w:val="clear" w:color="auto" w:fill="auto"/>
        </w:rPr>
        <w:t xml:space="preserve">                              乌苏市民政局</w:t>
      </w:r>
    </w:p>
    <w:p>
      <w:pPr>
        <w:widowControl w:val="0"/>
        <w:snapToGrid w:val="0"/>
        <w:spacing w:before="0" w:after="0" w:line="510" w:lineRule="atLeast"/>
        <w:ind w:left="0" w:right="0" w:firstLine="640"/>
        <w:jc w:val="right"/>
        <w:textAlignment w:val="baseline"/>
        <w:rPr>
          <w:shd w:val="clear" w:color="auto" w:fill="auto"/>
        </w:rPr>
      </w:pPr>
      <w:r>
        <w:rPr>
          <w:rFonts w:ascii="仿宋_GB2312" w:eastAsia="仿宋_GB2312"/>
          <w:sz w:val="31"/>
          <w:shd w:val="clear" w:color="auto" w:fill="auto"/>
        </w:rPr>
        <w:t>2024年1月16日</w:t>
      </w:r>
    </w:p>
    <w:p>
      <w:pPr>
        <w:rPr>
          <w:shd w:val="clear" w:color="auto" w:fill="auto"/>
        </w:rPr>
      </w:pPr>
    </w:p>
    <w:p>
      <w:pPr>
        <w:rPr>
          <w:shd w:val="clear" w:color="auto" w:fill="auto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5" w:h="16837"/>
      <w:pgMar w:top="1439" w:right="1797" w:bottom="1439" w:left="1797" w:header="850" w:footer="992" w:gutter="0"/>
      <w:pgNumType w:start="1"/>
      <w:cols w:num="1" w:space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1"/>
      <w:widowControl w:val="0"/>
      <w:snapToGrid w:val="0"/>
      <w:spacing w:before="0" w:after="0" w:line="0" w:lineRule="atLeast"/>
      <w:ind w:left="0" w:right="0" w:firstLine="0"/>
      <w:jc w:val="left"/>
      <w:textAlignment w:val="baseline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9856470</wp:posOffset>
              </wp:positionV>
              <wp:extent cx="5277485" cy="2051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2774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0" dist="0" dir="0" sx="100000" sy="100000" kx="0" ky="0"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415.55pt;height:16.15pt;margin-top:776.1pt;margin-left:89.85pt;mso-height-relative:page;mso-position-horizontal-relative:page;mso-position-vertical-relative:page;mso-width-relative:page;position:absolute;z-index:-251657216" coordsize="21600,21600" filled="f" stroked="f">
              <v:shadow on="t" color="#a0a0a4" origin="0,0" offset="0,0" matrix="1,0,0,1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napToGrid w:val="0"/>
      <w:spacing w:before="0" w:after="0" w:line="240" w:lineRule="auto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7485" cy="374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0" dist="0" dir="0" sx="100000" sy="100000" kx="0" ky="0"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415.55pt;height:29.45pt;margin-top:42.5pt;margin-left:89.85pt;mso-height-relative:page;mso-position-horizontal-relative:page;mso-position-vertical-relative:page;mso-width-relative:page;position:absolute;z-index:-251657216" coordsize="21600,21600" filled="f" stroked="f">
              <v:shadow on="t" color="#a0a0a4" origin="0,0" offset="0,0" matrix="1,0,0,1"/>
              <o:lock v:ext="edit" aspectratio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D23EE"/>
    <w:rsid w:val="1FD44D2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before="0" w:after="0" w:line="425" w:lineRule="atLeast"/>
      <w:ind w:left="0" w:right="0" w:firstLine="0"/>
      <w:jc w:val="both"/>
      <w:textAlignment w:val="baseline"/>
    </w:pPr>
    <w:rPr>
      <w:rFonts w:ascii="Calibri" w:eastAsia="宋体" w:hAnsi="Times New Roman" w:cstheme="minorBidi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页脚1"/>
    <w:basedOn w:val="Normal"/>
    <w:qFormat/>
    <w:pPr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dcterms:created xsi:type="dcterms:W3CDTF">2024-01-29T04:35:24Z</dcterms:created>
  <dcterms:modified xsi:type="dcterms:W3CDTF">2024-01-29T04:39:51Z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373a082292640b1ab6546d406fde3fc_correctwords">
    <vt:lpwstr>[]</vt:lpwstr>
  </property>
  <property fmtid="{D5CDD505-2E9C-101B-9397-08002B2CF9AE}" pid="4" name="hmcheck_result_0373a082292640b1ab6546d406fde3fc_errorword">
    <vt:lpwstr>计</vt:lpwstr>
  </property>
  <property fmtid="{D5CDD505-2E9C-101B-9397-08002B2CF9AE}" pid="5" name="hmcheck_result_0373a082292640b1ab6546d406fde3fc_level">
    <vt:i4>2</vt:i4>
  </property>
  <property fmtid="{D5CDD505-2E9C-101B-9397-08002B2CF9AE}" pid="6" name="hmcheck_result_0373a082292640b1ab6546d406fde3fc_modifiedtype">
    <vt:i4>1</vt:i4>
  </property>
  <property fmtid="{D5CDD505-2E9C-101B-9397-08002B2CF9AE}" pid="7" name="hmcheck_result_0373a082292640b1ab6546d406fde3fc_type">
    <vt:i4>0</vt:i4>
  </property>
  <property fmtid="{D5CDD505-2E9C-101B-9397-08002B2CF9AE}" pid="8" name="hmcheck_result_451c9404cc094b20b2082192c9a8a7b8_correctwords">
    <vt:lpwstr>["完全满足"]</vt:lpwstr>
  </property>
  <property fmtid="{D5CDD505-2E9C-101B-9397-08002B2CF9AE}" pid="9" name="hmcheck_result_451c9404cc094b20b2082192c9a8a7b8_errorword">
    <vt:lpwstr>完全满足满足</vt:lpwstr>
  </property>
  <property fmtid="{D5CDD505-2E9C-101B-9397-08002B2CF9AE}" pid="10" name="hmcheck_result_451c9404cc094b20b2082192c9a8a7b8_level">
    <vt:i4>1</vt:i4>
  </property>
  <property fmtid="{D5CDD505-2E9C-101B-9397-08002B2CF9AE}" pid="11" name="hmcheck_result_451c9404cc094b20b2082192c9a8a7b8_modifiedtype">
    <vt:i4>2</vt:i4>
  </property>
  <property fmtid="{D5CDD505-2E9C-101B-9397-08002B2CF9AE}" pid="12" name="hmcheck_result_451c9404cc094b20b2082192c9a8a7b8_modifiedword">
    <vt:lpwstr>完全满足</vt:lpwstr>
  </property>
  <property fmtid="{D5CDD505-2E9C-101B-9397-08002B2CF9AE}" pid="13" name="hmcheck_result_451c9404cc094b20b2082192c9a8a7b8_type">
    <vt:i4>0</vt:i4>
  </property>
  <property fmtid="{D5CDD505-2E9C-101B-9397-08002B2CF9AE}" pid="14" name="hmcheck_result_4e01cf70128b470aa617c062225e450e_correctwords">
    <vt:lpwstr>["底边","纸边"]</vt:lpwstr>
  </property>
  <property fmtid="{D5CDD505-2E9C-101B-9397-08002B2CF9AE}" pid="15" name="hmcheck_result_4e01cf70128b470aa617c062225e450e_errorword">
    <vt:lpwstr>低边</vt:lpwstr>
  </property>
  <property fmtid="{D5CDD505-2E9C-101B-9397-08002B2CF9AE}" pid="16" name="hmcheck_result_4e01cf70128b470aa617c062225e450e_level">
    <vt:i4>2</vt:i4>
  </property>
  <property fmtid="{D5CDD505-2E9C-101B-9397-08002B2CF9AE}" pid="17" name="hmcheck_result_4e01cf70128b470aa617c062225e450e_modifiedtype">
    <vt:i4>1</vt:i4>
  </property>
  <property fmtid="{D5CDD505-2E9C-101B-9397-08002B2CF9AE}" pid="18" name="hmcheck_result_4e01cf70128b470aa617c062225e450e_type">
    <vt:i4>0</vt:i4>
  </property>
  <property fmtid="{D5CDD505-2E9C-101B-9397-08002B2CF9AE}" pid="19" name="hmcheck_result_a5a8e2853b754cb6993b61394dadf65b_correctwords">
    <vt:lpwstr>[]</vt:lpwstr>
  </property>
  <property fmtid="{D5CDD505-2E9C-101B-9397-08002B2CF9AE}" pid="20" name="hmcheck_result_a5a8e2853b754cb6993b61394dadf65b_errorword">
    <vt:lpwstr>册</vt:lpwstr>
  </property>
  <property fmtid="{D5CDD505-2E9C-101B-9397-08002B2CF9AE}" pid="21" name="hmcheck_result_a5a8e2853b754cb6993b61394dadf65b_level">
    <vt:i4>2</vt:i4>
  </property>
  <property fmtid="{D5CDD505-2E9C-101B-9397-08002B2CF9AE}" pid="22" name="hmcheck_result_a5a8e2853b754cb6993b61394dadf65b_modifiedtype">
    <vt:i4>1</vt:i4>
  </property>
  <property fmtid="{D5CDD505-2E9C-101B-9397-08002B2CF9AE}" pid="23" name="hmcheck_result_a5a8e2853b754cb6993b61394dadf65b_type">
    <vt:i4>0</vt:i4>
  </property>
  <property fmtid="{D5CDD505-2E9C-101B-9397-08002B2CF9AE}" pid="24" name="hmcheck_result_f43fed1350bb43d4bd07e09cbfb27230_correctwords">
    <vt:lpwstr>["钩稽"]</vt:lpwstr>
  </property>
  <property fmtid="{D5CDD505-2E9C-101B-9397-08002B2CF9AE}" pid="25" name="hmcheck_result_f43fed1350bb43d4bd07e09cbfb27230_errorword">
    <vt:lpwstr>勾稽</vt:lpwstr>
  </property>
  <property fmtid="{D5CDD505-2E9C-101B-9397-08002B2CF9AE}" pid="26" name="hmcheck_result_f43fed1350bb43d4bd07e09cbfb27230_level">
    <vt:i4>1</vt:i4>
  </property>
  <property fmtid="{D5CDD505-2E9C-101B-9397-08002B2CF9AE}" pid="27" name="hmcheck_result_f43fed1350bb43d4bd07e09cbfb27230_modifiedtype">
    <vt:i4>1</vt:i4>
  </property>
  <property fmtid="{D5CDD505-2E9C-101B-9397-08002B2CF9AE}" pid="28" name="hmcheck_result_f43fed1350bb43d4bd07e09cbfb27230_type">
    <vt:i4>5</vt:i4>
  </property>
  <property fmtid="{D5CDD505-2E9C-101B-9397-08002B2CF9AE}" pid="29" name="ICV">
    <vt:lpwstr>C5B615D478E84083B7F8A34BBCDCBD84_12</vt:lpwstr>
  </property>
  <property fmtid="{D5CDD505-2E9C-101B-9397-08002B2CF9AE}" pid="30" name="KSOProductBuildVer">
    <vt:lpwstr>2052-12.1.0.15374</vt:lpwstr>
  </property>
</Properties>
</file>