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560" w:lineRule="exact"/>
        <w:jc w:val="center"/>
        <w:rPr>
          <w:rFonts w:ascii="方正小标宋_GBK" w:eastAsia="方正小标宋_GBK" w:hAnsi="仿宋_GB2312" w:cs="仿宋_GB2312" w:hint="eastAsia"/>
          <w:sz w:val="44"/>
          <w:szCs w:val="44"/>
          <w:lang w:eastAsia="zh-CN"/>
        </w:rPr>
      </w:pPr>
      <w:bookmarkStart w:id="0" w:name="_GoBack"/>
      <w:r>
        <w:rPr>
          <w:rFonts w:ascii="方正小标宋_GBK" w:eastAsia="方正小标宋_GBK" w:hAnsi="仿宋_GB2312" w:cs="仿宋_GB2312" w:hint="eastAsia"/>
          <w:sz w:val="44"/>
          <w:szCs w:val="44"/>
          <w:lang w:val="en-US" w:eastAsia="zh-CN"/>
        </w:rPr>
        <w:t>甘河子镇</w:t>
      </w:r>
      <w:r>
        <w:rPr>
          <w:rFonts w:ascii="方正小标宋_GBK" w:eastAsia="方正小标宋_GBK" w:hAnsi="仿宋_GB2312" w:cs="仿宋_GB2312" w:hint="eastAsia"/>
          <w:sz w:val="44"/>
          <w:szCs w:val="44"/>
        </w:rPr>
        <w:t>政府信息公开工作</w:t>
      </w:r>
      <w:r>
        <w:rPr>
          <w:rFonts w:ascii="方正小标宋_GBK" w:eastAsia="方正小标宋_GBK" w:hAnsi="仿宋_GB2312" w:cs="仿宋_GB2312" w:hint="eastAsia"/>
          <w:sz w:val="44"/>
          <w:szCs w:val="44"/>
          <w:lang w:val="en-US" w:eastAsia="zh-CN"/>
        </w:rPr>
        <w:t>2023</w:t>
      </w:r>
      <w:r>
        <w:rPr>
          <w:rFonts w:ascii="方正小标宋_GBK" w:eastAsia="方正小标宋_GBK" w:hAnsi="仿宋_GB2312" w:cs="仿宋_GB2312" w:hint="eastAsia"/>
          <w:sz w:val="44"/>
          <w:szCs w:val="44"/>
        </w:rPr>
        <w:t>年度报告</w:t>
      </w:r>
    </w:p>
    <w:bookmarkEnd w:id="0"/>
    <w:p>
      <w:pPr>
        <w:spacing w:line="560" w:lineRule="exact"/>
        <w:ind w:firstLine="880" w:firstLineChars="200"/>
        <w:jc w:val="center"/>
        <w:rPr>
          <w:rFonts w:ascii="方正小标宋_GBK" w:eastAsia="方正小标宋_GBK" w:hAnsi="仿宋_GB2312" w:cs="仿宋_GB2312"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宋体" w:cs="宋体" w:hint="eastAsia"/>
          <w:sz w:val="32"/>
          <w:szCs w:val="32"/>
          <w:lang w:eastAsia="zh-CN"/>
        </w:rPr>
      </w:pPr>
      <w:r>
        <w:rPr>
          <w:rFonts w:ascii="仿宋_GB2312" w:eastAsia="仿宋_GB2312" w:hAnsi="宋体" w:cs="宋体" w:hint="eastAsia"/>
          <w:sz w:val="32"/>
          <w:szCs w:val="32"/>
          <w:lang w:eastAsia="zh-CN"/>
        </w:rPr>
        <w:t>本年度报告是根据《中华人民共和国政府信息公开条例》有关规定编制。报告全文包括：总体情况，主动公开政府信息情况，收到和处理政府信息公开申请情况，政府信息公开行政复议、行政诉讼情况，存在的主要问题及改进措施，其他需要说明的事项等六个部分，</w:t>
      </w:r>
      <w:r>
        <w:rPr>
          <w:rFonts w:ascii="仿宋_GB2312" w:eastAsia="仿宋_GB2312" w:hAnsi="宋体" w:cs="宋体" w:hint="eastAsia"/>
          <w:sz w:val="32"/>
          <w:szCs w:val="32"/>
          <w:lang w:val="en-US" w:eastAsia="zh-CN"/>
        </w:rPr>
        <w:t>现将工作开展情况报告如下：</w:t>
      </w:r>
      <w:r>
        <w:rPr>
          <w:rFonts w:ascii="仿宋_GB2312" w:eastAsia="仿宋_GB2312" w:hAnsi="宋体" w:cs="宋体" w:hint="eastAsia"/>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eastAsia="黑体" w:hAnsi="黑体" w:cs="宋体" w:hint="eastAsia"/>
          <w:sz w:val="32"/>
          <w:szCs w:val="32"/>
        </w:rPr>
      </w:pPr>
      <w:r>
        <w:rPr>
          <w:rFonts w:ascii="黑体" w:eastAsia="黑体" w:hAnsi="黑体" w:cs="宋体" w:hint="eastAsia"/>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宋体" w:cs="宋体" w:hint="eastAsia"/>
          <w:sz w:val="32"/>
          <w:szCs w:val="32"/>
          <w:lang w:eastAsia="zh-CN"/>
        </w:rPr>
      </w:pPr>
      <w:r>
        <w:rPr>
          <w:rFonts w:ascii="仿宋_GB2312" w:eastAsia="仿宋_GB2312" w:hAnsi="宋体" w:cs="宋体" w:hint="eastAsia"/>
          <w:sz w:val="32"/>
          <w:szCs w:val="32"/>
          <w:lang w:eastAsia="zh-CN"/>
        </w:rPr>
        <w:t>202</w:t>
      </w:r>
      <w:r>
        <w:rPr>
          <w:rFonts w:ascii="仿宋_GB2312" w:eastAsia="仿宋_GB2312" w:hAnsi="宋体" w:cs="宋体" w:hint="eastAsia"/>
          <w:sz w:val="32"/>
          <w:szCs w:val="32"/>
          <w:lang w:val="en-US" w:eastAsia="zh-CN"/>
        </w:rPr>
        <w:t>3</w:t>
      </w:r>
      <w:r>
        <w:rPr>
          <w:rFonts w:ascii="仿宋_GB2312" w:eastAsia="仿宋_GB2312" w:hAnsi="宋体" w:cs="宋体" w:hint="eastAsia"/>
          <w:sz w:val="32"/>
          <w:szCs w:val="32"/>
          <w:lang w:eastAsia="zh-CN"/>
        </w:rPr>
        <w:t>年，乌苏市</w:t>
      </w:r>
      <w:r>
        <w:rPr>
          <w:rFonts w:ascii="仿宋_GB2312" w:eastAsia="仿宋_GB2312" w:hAnsi="宋体" w:cs="宋体" w:hint="eastAsia"/>
          <w:sz w:val="32"/>
          <w:szCs w:val="32"/>
          <w:lang w:val="en-US" w:eastAsia="zh-CN"/>
        </w:rPr>
        <w:t>甘河子镇</w:t>
      </w:r>
      <w:r>
        <w:rPr>
          <w:rFonts w:ascii="仿宋_GB2312" w:eastAsia="仿宋_GB2312" w:hAnsi="宋体" w:cs="宋体" w:hint="eastAsia"/>
          <w:sz w:val="32"/>
          <w:szCs w:val="32"/>
          <w:lang w:eastAsia="zh-CN"/>
        </w:rPr>
        <w:t xml:space="preserve">坚持以习近平新时代中国特色社会主义思想为指导，全面贯彻党的二十大精神，认真落实党中央、国务院、自治区及市委、市政府关于全面推进政务公开的决策部署，学习贯彻《条例》，依法做好政府信息公开各项工作，不断提升政务公开质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宋体" w:cs="宋体" w:hint="eastAsia"/>
          <w:sz w:val="32"/>
          <w:szCs w:val="32"/>
          <w:lang w:eastAsia="zh-CN"/>
        </w:rPr>
      </w:pPr>
      <w:r>
        <w:rPr>
          <w:rFonts w:ascii="楷体_GB2312" w:eastAsia="楷体_GB2312" w:hAnsi="楷体_GB2312" w:cs="楷体_GB2312" w:hint="eastAsia"/>
          <w:b/>
          <w:bCs/>
          <w:sz w:val="32"/>
          <w:szCs w:val="32"/>
          <w:lang w:eastAsia="zh-CN"/>
        </w:rPr>
        <w:t>（一）主动公开政府信息情况。</w:t>
      </w:r>
      <w:r>
        <w:rPr>
          <w:rFonts w:ascii="仿宋_GB2312" w:eastAsia="仿宋_GB2312" w:hint="eastAsia"/>
          <w:sz w:val="32"/>
          <w:szCs w:val="32"/>
        </w:rPr>
        <w:t>我镇依托乌苏市政府信息统一公开平台、乌苏市人民政府门户网站基层信息化应用平台实施政务公开工作，有力</w:t>
      </w:r>
      <w:r>
        <w:rPr>
          <w:rFonts w:ascii="仿宋_GB2312" w:eastAsia="仿宋_GB2312" w:hint="eastAsia"/>
          <w:sz w:val="32"/>
          <w:szCs w:val="32"/>
          <w:lang w:eastAsia="zh-CN"/>
        </w:rPr>
        <w:t>地</w:t>
      </w:r>
      <w:r>
        <w:rPr>
          <w:rFonts w:ascii="仿宋_GB2312" w:eastAsia="仿宋_GB2312" w:hint="eastAsia"/>
          <w:sz w:val="32"/>
          <w:szCs w:val="32"/>
        </w:rPr>
        <w:t>推进政府信息公开工作，政府信息公开工作得到了进一步的完善及规范发展。</w:t>
      </w:r>
      <w:r>
        <w:rPr>
          <w:rFonts w:ascii="仿宋_GB2312" w:eastAsia="仿宋_GB2312" w:hint="eastAsia"/>
          <w:sz w:val="32"/>
          <w:szCs w:val="32"/>
          <w:shd w:val="clear" w:color="auto" w:fill="FFFFFF"/>
          <w:lang w:eastAsia="zh-CN"/>
        </w:rPr>
        <w:t>截至2023年</w:t>
      </w:r>
      <w:r>
        <w:rPr>
          <w:rFonts w:ascii="仿宋_GB2312" w:eastAsia="仿宋_GB2312" w:hint="eastAsia"/>
          <w:sz w:val="32"/>
          <w:szCs w:val="32"/>
        </w:rPr>
        <w:t>12月31日，我镇在信息公开统一平台共规范发布了3条政府信息。</w:t>
      </w:r>
      <w:r>
        <w:rPr>
          <w:rFonts w:ascii="仿宋_GB2312" w:eastAsia="仿宋_GB2312" w:hAnsi="宋体" w:cs="宋体" w:hint="eastAsia"/>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宋体" w:cs="宋体" w:hint="eastAsia"/>
          <w:sz w:val="32"/>
          <w:szCs w:val="32"/>
          <w:lang w:eastAsia="zh-CN"/>
        </w:rPr>
      </w:pPr>
      <w:r>
        <w:rPr>
          <w:rFonts w:ascii="楷体_GB2312" w:eastAsia="楷体_GB2312" w:hAnsi="楷体_GB2312" w:cs="楷体_GB2312" w:hint="eastAsia"/>
          <w:b/>
          <w:bCs/>
          <w:sz w:val="32"/>
          <w:szCs w:val="32"/>
          <w:lang w:eastAsia="zh-CN"/>
        </w:rPr>
        <w:t>（二）依申请公开信息情况。</w:t>
      </w:r>
      <w:r>
        <w:rPr>
          <w:rFonts w:ascii="仿宋_GB2312" w:eastAsia="仿宋_GB2312" w:hAnsi="宋体" w:cs="宋体" w:hint="eastAsia"/>
          <w:sz w:val="32"/>
          <w:szCs w:val="32"/>
          <w:lang w:eastAsia="zh-CN"/>
        </w:rPr>
        <w:t>202</w:t>
      </w:r>
      <w:r>
        <w:rPr>
          <w:rFonts w:ascii="仿宋_GB2312" w:eastAsia="仿宋_GB2312" w:hAnsi="宋体" w:cs="宋体" w:hint="eastAsia"/>
          <w:sz w:val="32"/>
          <w:szCs w:val="32"/>
          <w:lang w:val="en-US" w:eastAsia="zh-CN"/>
        </w:rPr>
        <w:t>3</w:t>
      </w:r>
      <w:r>
        <w:rPr>
          <w:rFonts w:ascii="仿宋_GB2312" w:eastAsia="仿宋_GB2312" w:hAnsi="宋体" w:cs="宋体" w:hint="eastAsia"/>
          <w:sz w:val="32"/>
          <w:szCs w:val="32"/>
          <w:lang w:eastAsia="zh-CN"/>
        </w:rPr>
        <w:t>年，</w:t>
      </w:r>
      <w:r>
        <w:rPr>
          <w:rFonts w:ascii="仿宋_GB2312" w:eastAsia="仿宋_GB2312" w:hAnsi="宋体" w:cs="宋体" w:hint="eastAsia"/>
          <w:sz w:val="32"/>
          <w:szCs w:val="32"/>
          <w:lang w:val="en-US" w:eastAsia="zh-CN"/>
        </w:rPr>
        <w:t>甘河子镇</w:t>
      </w:r>
      <w:r>
        <w:rPr>
          <w:rFonts w:ascii="仿宋_GB2312" w:eastAsia="仿宋_GB2312" w:hAnsi="宋体" w:cs="宋体" w:hint="eastAsia"/>
          <w:sz w:val="32"/>
          <w:szCs w:val="32"/>
          <w:lang w:eastAsia="zh-CN"/>
        </w:rPr>
        <w:t xml:space="preserve">没有收到政府信息公开申请。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宋体" w:cs="宋体" w:hint="eastAsia"/>
          <w:sz w:val="32"/>
          <w:szCs w:val="32"/>
          <w:lang w:eastAsia="zh-CN"/>
        </w:rPr>
      </w:pPr>
      <w:r>
        <w:rPr>
          <w:rFonts w:ascii="楷体_GB2312" w:eastAsia="楷体_GB2312" w:hAnsi="楷体_GB2312" w:cs="楷体_GB2312" w:hint="eastAsia"/>
          <w:b/>
          <w:bCs/>
          <w:sz w:val="32"/>
          <w:szCs w:val="32"/>
          <w:lang w:eastAsia="zh-CN"/>
        </w:rPr>
        <w:t>（三）政府信息管理情况。</w:t>
      </w:r>
      <w:r>
        <w:rPr>
          <w:rFonts w:ascii="仿宋_GB2312" w:eastAsia="仿宋_GB2312" w:hAnsi="宋体" w:cs="宋体" w:hint="eastAsia"/>
          <w:sz w:val="32"/>
          <w:szCs w:val="32"/>
          <w:lang w:eastAsia="zh-CN"/>
        </w:rPr>
        <w:t>一是严格按照“谁主办、谁负责”“分级审核、先审后发”原则，严格执行发布内容审查程序；二是以办公室为政府信息公开日常工作机构，安排专人具体负责该项工作。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宋体" w:cs="宋体" w:hint="eastAsia"/>
          <w:sz w:val="32"/>
          <w:szCs w:val="32"/>
          <w:lang w:eastAsia="zh-CN"/>
        </w:rPr>
      </w:pPr>
      <w:r>
        <w:rPr>
          <w:rFonts w:ascii="楷体_GB2312" w:eastAsia="楷体_GB2312" w:hAnsi="楷体_GB2312" w:cs="楷体_GB2312" w:hint="eastAsia"/>
          <w:b/>
          <w:bCs/>
          <w:sz w:val="32"/>
          <w:szCs w:val="32"/>
          <w:lang w:eastAsia="zh-CN"/>
        </w:rPr>
        <w:t>（四）政府信息公开平台建设情况。</w:t>
      </w:r>
      <w:r>
        <w:rPr>
          <w:rFonts w:ascii="仿宋_GB2312" w:eastAsia="仿宋_GB2312" w:hAnsi="宋体" w:cs="宋体" w:hint="eastAsia"/>
          <w:sz w:val="32"/>
          <w:szCs w:val="32"/>
          <w:lang w:eastAsia="zh-CN"/>
        </w:rPr>
        <w:t xml:space="preserve">一是持续加强政府信息公开平台建设管理，做好法定主动公开内容专栏的日常检查、维护和更新工作；二是定期对各栏目信息开展自查，重点对栏目更新是否超期、发布内容是否存在严重表述错误等情况进行自查自纠，确保平台运行安全和政府信息的权威性和准确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hAnsi="楷体_GB2312" w:cs="楷体_GB2312" w:hint="eastAsia"/>
          <w:b/>
          <w:bCs/>
          <w:sz w:val="32"/>
          <w:szCs w:val="32"/>
          <w:lang w:eastAsia="zh-CN"/>
        </w:rPr>
      </w:pPr>
      <w:r>
        <w:rPr>
          <w:rFonts w:ascii="楷体_GB2312" w:eastAsia="楷体_GB2312" w:hAnsi="楷体_GB2312" w:cs="楷体_GB2312" w:hint="eastAsia"/>
          <w:b/>
          <w:bCs/>
          <w:sz w:val="32"/>
          <w:szCs w:val="32"/>
          <w:lang w:eastAsia="zh-CN"/>
        </w:rPr>
        <w:t>（五）政府信息公开工作考核、社会评议和责任追究结果等监督情况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宋体" w:cs="宋体" w:hint="eastAsia"/>
          <w:sz w:val="32"/>
          <w:szCs w:val="32"/>
          <w:lang w:eastAsia="zh-CN"/>
        </w:rPr>
      </w:pPr>
      <w:r>
        <w:rPr>
          <w:rFonts w:ascii="仿宋_GB2312" w:eastAsia="仿宋_GB2312" w:hint="eastAsia"/>
          <w:sz w:val="32"/>
          <w:szCs w:val="32"/>
        </w:rPr>
        <w:t>我镇严格贯彻落实《政府信息公开条例》规定要求，对不按照《政府信息公开条例》规定履行政府信息公开工作职责的，视情况追究相关责任人的责任。</w:t>
      </w:r>
    </w:p>
    <w:p>
      <w:pPr>
        <w:spacing w:line="560" w:lineRule="exact"/>
        <w:ind w:firstLine="640" w:firstLineChars="200"/>
        <w:jc w:val="left"/>
        <w:rPr>
          <w:rFonts w:ascii="黑体" w:eastAsia="黑体" w:hAnsi="黑体" w:cs="宋体" w:hint="eastAsia"/>
          <w:sz w:val="32"/>
          <w:szCs w:val="32"/>
        </w:rPr>
      </w:pPr>
      <w:r>
        <w:rPr>
          <w:rFonts w:ascii="黑体" w:eastAsia="黑体" w:hAnsi="黑体" w:cs="宋体" w:hint="eastAsia"/>
          <w:sz w:val="32"/>
          <w:szCs w:val="32"/>
        </w:rPr>
        <w:t>二、主动公开政府信息情况</w:t>
      </w:r>
    </w:p>
    <w:tbl>
      <w:tblPr>
        <w:tblStyle w:val="TableNormal"/>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7"/>
        <w:gridCol w:w="2058"/>
        <w:gridCol w:w="1686"/>
        <w:gridCol w:w="1881"/>
      </w:tblGrid>
      <w:tr>
        <w:tblPrEx>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4"/>
          <w:jc w:val="center"/>
        </w:trPr>
        <w:tc>
          <w:tcPr>
            <w:tcW w:w="8472" w:type="dxa"/>
            <w:gridSpan w:val="4"/>
            <w:noWrap/>
            <w:vAlign w:val="top"/>
          </w:tcPr>
          <w:p>
            <w:pPr>
              <w:widowControl/>
              <w:spacing w:after="144" w:line="300" w:lineRule="exact"/>
              <w:jc w:val="center"/>
              <w:rPr>
                <w:sz w:val="24"/>
              </w:rPr>
            </w:pPr>
            <w:r>
              <w:rPr>
                <w:rFonts w:ascii="宋体" w:hAnsi="宋体" w:cs="宋体" w:hint="eastAsia"/>
                <w:kern w:val="0"/>
                <w:sz w:val="24"/>
                <w:lang w:bidi="ar"/>
              </w:rPr>
              <w:t>第二十条第（一）项</w:t>
            </w:r>
          </w:p>
        </w:tc>
      </w:tr>
      <w:tr>
        <w:tblPrEx>
          <w:tblW w:w="8472" w:type="dxa"/>
          <w:jc w:val="center"/>
          <w:tblLayout w:type="fixed"/>
          <w:tblCellMar>
            <w:top w:w="0" w:type="dxa"/>
            <w:left w:w="108" w:type="dxa"/>
            <w:bottom w:w="0" w:type="dxa"/>
            <w:right w:w="108" w:type="dxa"/>
          </w:tblCellMar>
        </w:tblPrEx>
        <w:trPr>
          <w:trHeight w:val="547"/>
          <w:jc w:val="center"/>
        </w:trPr>
        <w:tc>
          <w:tcPr>
            <w:tcW w:w="2847" w:type="dxa"/>
            <w:noWrap/>
            <w:vAlign w:val="top"/>
          </w:tcPr>
          <w:p>
            <w:pPr>
              <w:widowControl/>
              <w:spacing w:after="144" w:line="300" w:lineRule="exact"/>
              <w:jc w:val="center"/>
              <w:rPr>
                <w:sz w:val="24"/>
              </w:rPr>
            </w:pPr>
            <w:r>
              <w:rPr>
                <w:rFonts w:ascii="宋体" w:hAnsi="宋体" w:cs="宋体" w:hint="eastAsia"/>
                <w:kern w:val="0"/>
                <w:sz w:val="24"/>
                <w:lang w:bidi="ar"/>
              </w:rPr>
              <w:t>信息内容</w:t>
            </w:r>
          </w:p>
        </w:tc>
        <w:tc>
          <w:tcPr>
            <w:tcW w:w="2058" w:type="dxa"/>
            <w:noWrap/>
            <w:vAlign w:val="top"/>
          </w:tcPr>
          <w:p>
            <w:pPr>
              <w:widowControl/>
              <w:spacing w:after="144" w:line="300" w:lineRule="exact"/>
              <w:jc w:val="center"/>
              <w:rPr>
                <w:rFonts w:eastAsia="宋体" w:hint="eastAsia"/>
                <w:sz w:val="24"/>
                <w:lang w:eastAsia="zh-CN"/>
              </w:rPr>
            </w:pPr>
            <w:r>
              <w:rPr>
                <w:rFonts w:ascii="宋体" w:hAnsi="宋体" w:cs="宋体" w:hint="eastAsia"/>
                <w:kern w:val="0"/>
                <w:sz w:val="24"/>
                <w:lang w:bidi="ar"/>
              </w:rPr>
              <w:t>本年</w:t>
            </w:r>
            <w:r>
              <w:rPr>
                <w:kern w:val="0"/>
                <w:sz w:val="24"/>
                <w:lang w:bidi="ar"/>
              </w:rPr>
              <w:t>制</w:t>
            </w:r>
            <w:r>
              <w:rPr>
                <w:rFonts w:hint="eastAsia"/>
                <w:kern w:val="0"/>
                <w:sz w:val="24"/>
                <w:lang w:eastAsia="zh-CN" w:bidi="ar"/>
              </w:rPr>
              <w:t>发件数</w:t>
            </w:r>
          </w:p>
        </w:tc>
        <w:tc>
          <w:tcPr>
            <w:tcW w:w="1686" w:type="dxa"/>
            <w:noWrap w:val="0"/>
            <w:vAlign w:val="top"/>
          </w:tcPr>
          <w:p>
            <w:pPr>
              <w:widowControl/>
              <w:spacing w:after="144" w:line="300" w:lineRule="exact"/>
              <w:jc w:val="center"/>
              <w:rPr>
                <w:rFonts w:eastAsia="宋体" w:hint="eastAsia"/>
                <w:sz w:val="24"/>
                <w:lang w:eastAsia="zh-CN"/>
              </w:rPr>
            </w:pPr>
            <w:r>
              <w:rPr>
                <w:rFonts w:ascii="宋体" w:hAnsi="宋体" w:cs="宋体" w:hint="eastAsia"/>
                <w:kern w:val="0"/>
                <w:sz w:val="24"/>
                <w:lang w:bidi="ar"/>
              </w:rPr>
              <w:t>本年</w:t>
            </w:r>
            <w:r>
              <w:rPr>
                <w:rFonts w:ascii="宋体" w:hAnsi="宋体" w:cs="宋体" w:hint="eastAsia"/>
                <w:kern w:val="0"/>
                <w:sz w:val="24"/>
                <w:lang w:eastAsia="zh-CN" w:bidi="ar"/>
              </w:rPr>
              <w:t>废止件数</w:t>
            </w:r>
          </w:p>
        </w:tc>
        <w:tc>
          <w:tcPr>
            <w:tcW w:w="1881" w:type="dxa"/>
            <w:noWrap/>
            <w:vAlign w:val="top"/>
          </w:tcPr>
          <w:p>
            <w:pPr>
              <w:widowControl/>
              <w:spacing w:after="144" w:line="300" w:lineRule="exact"/>
              <w:jc w:val="center"/>
              <w:rPr>
                <w:rFonts w:eastAsia="宋体" w:hint="eastAsia"/>
                <w:sz w:val="24"/>
                <w:lang w:eastAsia="zh-CN"/>
              </w:rPr>
            </w:pPr>
            <w:r>
              <w:rPr>
                <w:rFonts w:hint="eastAsia"/>
                <w:sz w:val="24"/>
                <w:lang w:eastAsia="zh-CN"/>
              </w:rPr>
              <w:t>现行有效件数</w:t>
            </w:r>
          </w:p>
        </w:tc>
      </w:tr>
      <w:tr>
        <w:tblPrEx>
          <w:tblW w:w="8472" w:type="dxa"/>
          <w:jc w:val="center"/>
          <w:tblLayout w:type="fixed"/>
          <w:tblCellMar>
            <w:top w:w="0" w:type="dxa"/>
            <w:left w:w="108" w:type="dxa"/>
            <w:bottom w:w="0" w:type="dxa"/>
            <w:right w:w="108" w:type="dxa"/>
          </w:tblCellMar>
        </w:tblPrEx>
        <w:trPr>
          <w:trHeight w:val="345"/>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规章</w:t>
            </w:r>
          </w:p>
        </w:tc>
        <w:tc>
          <w:tcPr>
            <w:tcW w:w="2058" w:type="dxa"/>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c>
          <w:tcPr>
            <w:tcW w:w="1686" w:type="dxa"/>
            <w:noWrap w:val="0"/>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c>
          <w:tcPr>
            <w:tcW w:w="1881" w:type="dxa"/>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182"/>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规范性文件</w:t>
            </w:r>
          </w:p>
        </w:tc>
        <w:tc>
          <w:tcPr>
            <w:tcW w:w="2058" w:type="dxa"/>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c>
          <w:tcPr>
            <w:tcW w:w="1686" w:type="dxa"/>
            <w:noWrap w:val="0"/>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c>
          <w:tcPr>
            <w:tcW w:w="1881" w:type="dxa"/>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480"/>
          <w:jc w:val="center"/>
        </w:trPr>
        <w:tc>
          <w:tcPr>
            <w:tcW w:w="8472" w:type="dxa"/>
            <w:gridSpan w:val="4"/>
            <w:noWrap/>
            <w:vAlign w:val="top"/>
          </w:tcPr>
          <w:p>
            <w:pPr>
              <w:widowControl/>
              <w:spacing w:after="144" w:line="300" w:lineRule="exact"/>
              <w:jc w:val="center"/>
              <w:rPr>
                <w:sz w:val="24"/>
              </w:rPr>
            </w:pPr>
            <w:r>
              <w:rPr>
                <w:rFonts w:ascii="宋体" w:hAnsi="宋体" w:cs="宋体" w:hint="eastAsia"/>
                <w:kern w:val="0"/>
                <w:sz w:val="24"/>
                <w:lang w:bidi="ar"/>
              </w:rPr>
              <w:t>第二十条第（五）项</w:t>
            </w:r>
          </w:p>
        </w:tc>
      </w:tr>
      <w:tr>
        <w:tblPrEx>
          <w:tblW w:w="8472" w:type="dxa"/>
          <w:jc w:val="center"/>
          <w:tblLayout w:type="fixed"/>
          <w:tblCellMar>
            <w:top w:w="0" w:type="dxa"/>
            <w:left w:w="108" w:type="dxa"/>
            <w:bottom w:w="0" w:type="dxa"/>
            <w:right w:w="108" w:type="dxa"/>
          </w:tblCellMar>
        </w:tblPrEx>
        <w:trPr>
          <w:trHeight w:val="54"/>
          <w:jc w:val="center"/>
        </w:trPr>
        <w:tc>
          <w:tcPr>
            <w:tcW w:w="2847" w:type="dxa"/>
            <w:noWrap/>
            <w:vAlign w:val="top"/>
          </w:tcPr>
          <w:p>
            <w:pPr>
              <w:widowControl/>
              <w:spacing w:after="144" w:line="300" w:lineRule="exact"/>
              <w:jc w:val="center"/>
              <w:rPr>
                <w:sz w:val="24"/>
              </w:rPr>
            </w:pPr>
            <w:r>
              <w:rPr>
                <w:rFonts w:ascii="宋体" w:hAnsi="宋体" w:cs="宋体" w:hint="eastAsia"/>
                <w:kern w:val="0"/>
                <w:sz w:val="24"/>
                <w:lang w:bidi="ar"/>
              </w:rPr>
              <w:t>信息内容</w:t>
            </w:r>
          </w:p>
        </w:tc>
        <w:tc>
          <w:tcPr>
            <w:tcW w:w="5625" w:type="dxa"/>
            <w:gridSpan w:val="3"/>
            <w:noWrap/>
            <w:vAlign w:val="top"/>
          </w:tcPr>
          <w:p>
            <w:pPr>
              <w:widowControl/>
              <w:spacing w:after="144" w:line="300" w:lineRule="exact"/>
              <w:jc w:val="center"/>
              <w:rPr>
                <w:rFonts w:eastAsia="宋体" w:hint="eastAsia"/>
                <w:sz w:val="24"/>
                <w:lang w:eastAsia="zh-CN"/>
              </w:rPr>
            </w:pPr>
            <w:r>
              <w:rPr>
                <w:rFonts w:hint="eastAsia"/>
                <w:sz w:val="24"/>
                <w:lang w:eastAsia="zh-CN"/>
              </w:rPr>
              <w:t>本年处理决定数量</w:t>
            </w:r>
          </w:p>
        </w:tc>
      </w:tr>
      <w:tr>
        <w:tblPrEx>
          <w:tblW w:w="8472" w:type="dxa"/>
          <w:jc w:val="center"/>
          <w:tblLayout w:type="fixed"/>
          <w:tblCellMar>
            <w:top w:w="0" w:type="dxa"/>
            <w:left w:w="108" w:type="dxa"/>
            <w:bottom w:w="0" w:type="dxa"/>
            <w:right w:w="108" w:type="dxa"/>
          </w:tblCellMar>
        </w:tblPrEx>
        <w:trPr>
          <w:trHeight w:val="174"/>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行政许可</w:t>
            </w:r>
          </w:p>
        </w:tc>
        <w:tc>
          <w:tcPr>
            <w:tcW w:w="5625" w:type="dxa"/>
            <w:gridSpan w:val="3"/>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406"/>
          <w:jc w:val="center"/>
        </w:trPr>
        <w:tc>
          <w:tcPr>
            <w:tcW w:w="8472" w:type="dxa"/>
            <w:gridSpan w:val="4"/>
            <w:noWrap/>
            <w:vAlign w:val="top"/>
          </w:tcPr>
          <w:p>
            <w:pPr>
              <w:widowControl/>
              <w:spacing w:after="144" w:line="300" w:lineRule="exact"/>
              <w:jc w:val="center"/>
              <w:rPr>
                <w:sz w:val="24"/>
              </w:rPr>
            </w:pPr>
            <w:r>
              <w:rPr>
                <w:rFonts w:ascii="宋体" w:hAnsi="宋体" w:cs="宋体" w:hint="eastAsia"/>
                <w:kern w:val="0"/>
                <w:sz w:val="24"/>
                <w:lang w:bidi="ar"/>
              </w:rPr>
              <w:t>第二十条第（六）项</w:t>
            </w:r>
          </w:p>
        </w:tc>
      </w:tr>
      <w:tr>
        <w:tblPrEx>
          <w:tblW w:w="8472" w:type="dxa"/>
          <w:jc w:val="center"/>
          <w:tblLayout w:type="fixed"/>
          <w:tblCellMar>
            <w:top w:w="0" w:type="dxa"/>
            <w:left w:w="108" w:type="dxa"/>
            <w:bottom w:w="0" w:type="dxa"/>
            <w:right w:w="108" w:type="dxa"/>
          </w:tblCellMar>
        </w:tblPrEx>
        <w:trPr>
          <w:trHeight w:val="317"/>
          <w:jc w:val="center"/>
        </w:trPr>
        <w:tc>
          <w:tcPr>
            <w:tcW w:w="2847" w:type="dxa"/>
            <w:noWrap/>
            <w:vAlign w:val="top"/>
          </w:tcPr>
          <w:p>
            <w:pPr>
              <w:widowControl/>
              <w:spacing w:after="144" w:line="300" w:lineRule="exact"/>
              <w:jc w:val="center"/>
              <w:rPr>
                <w:sz w:val="24"/>
              </w:rPr>
            </w:pPr>
            <w:r>
              <w:rPr>
                <w:rFonts w:ascii="宋体" w:hAnsi="宋体" w:cs="宋体" w:hint="eastAsia"/>
                <w:kern w:val="0"/>
                <w:sz w:val="24"/>
                <w:lang w:bidi="ar"/>
              </w:rPr>
              <w:t>信息内容</w:t>
            </w:r>
          </w:p>
        </w:tc>
        <w:tc>
          <w:tcPr>
            <w:tcW w:w="5625" w:type="dxa"/>
            <w:gridSpan w:val="3"/>
            <w:noWrap/>
            <w:vAlign w:val="top"/>
          </w:tcPr>
          <w:p>
            <w:pPr>
              <w:widowControl/>
              <w:spacing w:after="144" w:line="300" w:lineRule="exact"/>
              <w:jc w:val="center"/>
              <w:rPr>
                <w:sz w:val="24"/>
              </w:rPr>
            </w:pPr>
            <w:r>
              <w:rPr>
                <w:rFonts w:hint="eastAsia"/>
                <w:sz w:val="24"/>
                <w:lang w:eastAsia="zh-CN"/>
              </w:rPr>
              <w:t>本年处理决定数量</w:t>
            </w:r>
          </w:p>
        </w:tc>
      </w:tr>
      <w:tr>
        <w:tblPrEx>
          <w:tblW w:w="8472" w:type="dxa"/>
          <w:jc w:val="center"/>
          <w:tblLayout w:type="fixed"/>
          <w:tblCellMar>
            <w:top w:w="0" w:type="dxa"/>
            <w:left w:w="108" w:type="dxa"/>
            <w:bottom w:w="0" w:type="dxa"/>
            <w:right w:w="108" w:type="dxa"/>
          </w:tblCellMar>
        </w:tblPrEx>
        <w:trPr>
          <w:trHeight w:val="430"/>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行政处罚</w:t>
            </w:r>
          </w:p>
        </w:tc>
        <w:tc>
          <w:tcPr>
            <w:tcW w:w="5625" w:type="dxa"/>
            <w:gridSpan w:val="3"/>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250"/>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行政强制</w:t>
            </w:r>
          </w:p>
        </w:tc>
        <w:tc>
          <w:tcPr>
            <w:tcW w:w="5625" w:type="dxa"/>
            <w:gridSpan w:val="3"/>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474"/>
          <w:jc w:val="center"/>
        </w:trPr>
        <w:tc>
          <w:tcPr>
            <w:tcW w:w="8472" w:type="dxa"/>
            <w:gridSpan w:val="4"/>
            <w:noWrap/>
            <w:vAlign w:val="top"/>
          </w:tcPr>
          <w:p>
            <w:pPr>
              <w:widowControl/>
              <w:spacing w:after="144" w:line="300" w:lineRule="exact"/>
              <w:jc w:val="center"/>
              <w:rPr>
                <w:sz w:val="24"/>
              </w:rPr>
            </w:pPr>
            <w:r>
              <w:rPr>
                <w:rFonts w:ascii="宋体" w:hAnsi="宋体" w:cs="宋体" w:hint="eastAsia"/>
                <w:kern w:val="0"/>
                <w:sz w:val="24"/>
                <w:lang w:bidi="ar"/>
              </w:rPr>
              <w:t>第二十条第（八）项</w:t>
            </w:r>
          </w:p>
        </w:tc>
      </w:tr>
      <w:tr>
        <w:tblPrEx>
          <w:tblW w:w="8472" w:type="dxa"/>
          <w:jc w:val="center"/>
          <w:tblLayout w:type="fixed"/>
          <w:tblCellMar>
            <w:top w:w="0" w:type="dxa"/>
            <w:left w:w="108" w:type="dxa"/>
            <w:bottom w:w="0" w:type="dxa"/>
            <w:right w:w="108" w:type="dxa"/>
          </w:tblCellMar>
        </w:tblPrEx>
        <w:trPr>
          <w:trHeight w:val="321"/>
          <w:jc w:val="center"/>
        </w:trPr>
        <w:tc>
          <w:tcPr>
            <w:tcW w:w="2847" w:type="dxa"/>
            <w:noWrap/>
            <w:vAlign w:val="top"/>
          </w:tcPr>
          <w:p>
            <w:pPr>
              <w:widowControl/>
              <w:spacing w:after="144" w:line="300" w:lineRule="exact"/>
              <w:jc w:val="center"/>
              <w:rPr>
                <w:sz w:val="24"/>
              </w:rPr>
            </w:pPr>
            <w:r>
              <w:rPr>
                <w:rFonts w:ascii="宋体" w:hAnsi="宋体" w:cs="宋体" w:hint="eastAsia"/>
                <w:kern w:val="0"/>
                <w:sz w:val="24"/>
                <w:lang w:bidi="ar"/>
              </w:rPr>
              <w:t>信息内容</w:t>
            </w:r>
          </w:p>
        </w:tc>
        <w:tc>
          <w:tcPr>
            <w:tcW w:w="5625" w:type="dxa"/>
            <w:gridSpan w:val="3"/>
            <w:noWrap/>
            <w:vAlign w:val="top"/>
          </w:tcPr>
          <w:p>
            <w:pPr>
              <w:widowControl/>
              <w:spacing w:after="144" w:line="300" w:lineRule="exact"/>
              <w:jc w:val="center"/>
              <w:rPr>
                <w:sz w:val="24"/>
              </w:rPr>
            </w:pPr>
            <w:r>
              <w:rPr>
                <w:rFonts w:hint="eastAsia"/>
                <w:sz w:val="24"/>
                <w:lang w:eastAsia="zh-CN"/>
              </w:rPr>
              <w:t>本年收费金额（单位：万元）</w:t>
            </w:r>
          </w:p>
        </w:tc>
      </w:tr>
      <w:tr>
        <w:tblPrEx>
          <w:tblW w:w="8472" w:type="dxa"/>
          <w:jc w:val="center"/>
          <w:tblLayout w:type="fixed"/>
          <w:tblCellMar>
            <w:top w:w="0" w:type="dxa"/>
            <w:left w:w="108" w:type="dxa"/>
            <w:bottom w:w="0" w:type="dxa"/>
            <w:right w:w="108" w:type="dxa"/>
          </w:tblCellMar>
        </w:tblPrEx>
        <w:trPr>
          <w:trHeight w:val="114"/>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行政事业性收费</w:t>
            </w:r>
          </w:p>
        </w:tc>
        <w:tc>
          <w:tcPr>
            <w:tcW w:w="5625" w:type="dxa"/>
            <w:gridSpan w:val="3"/>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bl>
    <w:p>
      <w:pPr>
        <w:pStyle w:val="NormalWeb"/>
        <w:widowControl/>
        <w:spacing w:before="0" w:beforeAutospacing="0" w:after="0" w:afterAutospacing="0" w:line="560" w:lineRule="exact"/>
        <w:ind w:firstLine="640" w:firstLineChars="200"/>
        <w:jc w:val="both"/>
        <w:rPr>
          <w:rFonts w:ascii="黑体" w:eastAsia="黑体" w:hAnsi="黑体" w:cs="宋体" w:hint="eastAsia"/>
          <w:sz w:val="32"/>
          <w:szCs w:val="30"/>
        </w:rPr>
      </w:pPr>
      <w:r>
        <w:rPr>
          <w:rFonts w:ascii="黑体" w:eastAsia="黑体" w:hAnsi="黑体" w:cs="宋体" w:hint="eastAsia"/>
          <w:sz w:val="32"/>
          <w:szCs w:val="30"/>
        </w:rPr>
        <w:t>三、收到和处理政府信息公开申请情况</w:t>
      </w:r>
    </w:p>
    <w:tbl>
      <w:tblPr>
        <w:tblStyle w:val="TableNormal"/>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696"/>
        <w:gridCol w:w="936"/>
        <w:gridCol w:w="2756"/>
        <w:gridCol w:w="456"/>
        <w:gridCol w:w="652"/>
        <w:gridCol w:w="656"/>
        <w:gridCol w:w="655"/>
        <w:gridCol w:w="656"/>
        <w:gridCol w:w="464"/>
        <w:gridCol w:w="456"/>
      </w:tblGrid>
      <w:tr>
        <w:tblPrEx>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181"/>
          <w:jc w:val="center"/>
        </w:trPr>
        <w:tc>
          <w:tcPr>
            <w:tcW w:w="43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（本列数据的</w:t>
            </w:r>
            <w:bookmarkStart w:id="1" w:name="hmcheck_fc52e1b1dc5640fc86642de35108d2ed"/>
            <w:r>
              <w:rPr>
                <w:rFonts w:ascii="宋体" w:hAnsi="宋体" w:cs="宋体" w:hint="eastAsia"/>
                <w:kern w:val="0"/>
                <w:sz w:val="24"/>
                <w:shd w:val="clear" w:color="auto" w:fill="FFFFFF"/>
                <w:lang w:bidi="ar"/>
              </w:rPr>
              <w:t>勾稽</w:t>
            </w:r>
            <w:bookmarkEnd w:id="1"/>
            <w:r>
              <w:rPr>
                <w:rFonts w:ascii="宋体" w:hAnsi="宋体" w:cs="宋体" w:hint="eastAsia"/>
                <w:kern w:val="0"/>
                <w:sz w:val="24"/>
                <w:lang w:bidi="ar"/>
              </w:rPr>
              <w:t>关系为：第一项加第二项之和，等于第三项加第四项之和）</w:t>
            </w:r>
          </w:p>
        </w:tc>
        <w:tc>
          <w:tcPr>
            <w:tcW w:w="3995"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申请人情况</w:t>
            </w:r>
          </w:p>
        </w:tc>
      </w:tr>
      <w:tr>
        <w:tblPrEx>
          <w:tblW w:w="8383" w:type="dxa"/>
          <w:jc w:val="center"/>
          <w:tblLayout w:type="fixed"/>
          <w:tblCellMar>
            <w:top w:w="0" w:type="dxa"/>
            <w:left w:w="0" w:type="dxa"/>
            <w:bottom w:w="0" w:type="dxa"/>
            <w:right w:w="0" w:type="dxa"/>
          </w:tblCellMar>
        </w:tblPrEx>
        <w:trPr>
          <w:jc w:val="center"/>
        </w:trPr>
        <w:tc>
          <w:tcPr>
            <w:tcW w:w="4388" w:type="dxa"/>
            <w:gridSpan w:val="3"/>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自然人</w:t>
            </w:r>
          </w:p>
        </w:tc>
        <w:tc>
          <w:tcPr>
            <w:tcW w:w="3083"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法人或其他组织</w:t>
            </w: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总计</w:t>
            </w:r>
          </w:p>
        </w:tc>
      </w:tr>
      <w:tr>
        <w:tblPrEx>
          <w:tblW w:w="8383" w:type="dxa"/>
          <w:jc w:val="center"/>
          <w:tblLayout w:type="fixed"/>
          <w:tblCellMar>
            <w:top w:w="0" w:type="dxa"/>
            <w:left w:w="0" w:type="dxa"/>
            <w:bottom w:w="0" w:type="dxa"/>
            <w:right w:w="0" w:type="dxa"/>
          </w:tblCellMar>
        </w:tblPrEx>
        <w:trPr>
          <w:trHeight w:val="774"/>
          <w:jc w:val="center"/>
        </w:trPr>
        <w:tc>
          <w:tcPr>
            <w:tcW w:w="4388" w:type="dxa"/>
            <w:gridSpan w:val="3"/>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45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商业企业</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科研机构</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社会公益组织</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法律服务机构</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其他</w:t>
            </w:r>
          </w:p>
        </w:tc>
        <w:tc>
          <w:tcPr>
            <w:tcW w:w="45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r>
      <w:tr>
        <w:tblPrEx>
          <w:tblW w:w="8383" w:type="dxa"/>
          <w:jc w:val="center"/>
          <w:tblLayout w:type="fixed"/>
          <w:tblCellMar>
            <w:top w:w="0" w:type="dxa"/>
            <w:left w:w="0" w:type="dxa"/>
            <w:bottom w:w="0" w:type="dxa"/>
            <w:right w:w="0" w:type="dxa"/>
          </w:tblCellMar>
        </w:tblPrEx>
        <w:trPr>
          <w:trHeight w:val="357"/>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ascii="宋体" w:hAnsi="宋体" w:cs="宋体" w:hint="eastAsia"/>
                <w:kern w:val="0"/>
                <w:sz w:val="24"/>
                <w:lang w:bidi="ar"/>
              </w:rPr>
              <w:t>一、本年新收政府信息公开申请数量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400"/>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ascii="宋体" w:hAnsi="宋体" w:cs="宋体" w:hint="eastAsia"/>
                <w:kern w:val="0"/>
                <w:sz w:val="24"/>
                <w:lang w:bidi="ar"/>
              </w:rPr>
              <w:t>二、上年结转政府信息公开申请数量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287"/>
          <w:jc w:val="center"/>
        </w:trPr>
        <w:tc>
          <w:tcPr>
            <w:tcW w:w="69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三、本年度办理结果</w:t>
            </w: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（一）予以公开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435"/>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（二）部分公开（区分处理的，只</w:t>
            </w:r>
            <w:bookmarkStart w:id="2" w:name="hmcheck_150b35c11bce4f0a849077940bcbb721"/>
            <w:r>
              <w:rPr>
                <w:rFonts w:ascii="宋体" w:hAnsi="宋体" w:cs="宋体" w:hint="eastAsia"/>
                <w:kern w:val="0"/>
                <w:sz w:val="24"/>
                <w:shd w:val="clear" w:color="auto" w:fill="FFFFFF"/>
                <w:lang w:bidi="ar"/>
              </w:rPr>
              <w:t>计</w:t>
            </w:r>
            <w:bookmarkEnd w:id="2"/>
            <w:r>
              <w:rPr>
                <w:rFonts w:ascii="宋体" w:hAnsi="宋体" w:cs="宋体" w:hint="eastAsia"/>
                <w:kern w:val="0"/>
                <w:sz w:val="24"/>
                <w:lang w:bidi="ar"/>
              </w:rPr>
              <w:t>这一情形，不计其他情形）</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（三）不予公开</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1.属于国家秘密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479"/>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2.其他法律行政法规禁止公开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3.危及“三安全一稳定”</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4.保护第三方合法权益</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5.属于三类内部事务信息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6.属于四类过程性信息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7.属于行政执法案卷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150"/>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8.属于行政查询事项</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297"/>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（四）无法提供</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1.本机关不掌握相关政府信息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2.没有现成信息需要另行制作</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3.补正后申请内容仍不明确</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（五）不予处理</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1.信访举报投诉类申请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2.重复申请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3.要求提供公开出版物</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4.无正当理由大量反复申请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tcBorders>
              <w:bottom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tcBorders>
              <w:bottom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5.要求行政机关确认或重新出具已获取信息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val="restart"/>
            <w:tcBorders>
              <w:top w:val="single" w:sz="4" w:space="0" w:color="auto"/>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（六）其他处理</w:t>
            </w:r>
          </w:p>
        </w:tc>
        <w:tc>
          <w:tcPr>
            <w:tcW w:w="2756" w:type="dxa"/>
            <w:tcBorders>
              <w:top w:val="single" w:sz="4" w:space="0" w:color="auto"/>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default"/>
                <w:kern w:val="0"/>
                <w:sz w:val="24"/>
                <w:lang w:val="en-US" w:eastAsia="zh-CN" w:bidi="ar"/>
              </w:rPr>
            </w:pPr>
            <w:r>
              <w:rPr>
                <w:rFonts w:ascii="宋体" w:hAnsi="宋体" w:cs="宋体" w:hint="eastAsia"/>
                <w:kern w:val="0"/>
                <w:sz w:val="24"/>
                <w:lang w:val="en-US" w:eastAsia="zh-CN" w:bidi="ar"/>
              </w:rPr>
              <w:t>1.申请人无正当理由逾期不补正、行政机关不再处理其政府信息公开申请</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tcBorders>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tcBorders>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default"/>
                <w:kern w:val="0"/>
                <w:sz w:val="24"/>
                <w:lang w:val="en-US" w:eastAsia="zh-CN" w:bidi="ar"/>
              </w:rPr>
            </w:pPr>
            <w:r>
              <w:rPr>
                <w:rFonts w:ascii="宋体" w:hAnsi="宋体" w:cs="宋体" w:hint="eastAsia"/>
                <w:kern w:val="0"/>
                <w:sz w:val="24"/>
                <w:lang w:val="en-US" w:eastAsia="zh-CN" w:bidi="ar"/>
              </w:rPr>
              <w:t>2.申请人逾期未按收费通知要求缴纳费用、行政机关不再处理其政府信息公开申请</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tcBorders>
              <w:left w:val="single" w:sz="4" w:space="0" w:color="auto"/>
              <w:bottom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tcBorders>
              <w:left w:val="single" w:sz="4" w:space="0" w:color="auto"/>
              <w:bottom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default"/>
                <w:kern w:val="0"/>
                <w:sz w:val="24"/>
                <w:lang w:val="en-US" w:eastAsia="zh-CN" w:bidi="ar"/>
              </w:rPr>
            </w:pPr>
            <w:r>
              <w:rPr>
                <w:rFonts w:ascii="宋体" w:hAnsi="宋体" w:cs="宋体" w:hint="eastAsia"/>
                <w:kern w:val="0"/>
                <w:sz w:val="24"/>
                <w:lang w:val="en-US" w:eastAsia="zh-CN" w:bidi="ar"/>
              </w:rPr>
              <w:t>3.其他</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116"/>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3692" w:type="dxa"/>
            <w:gridSpan w:val="2"/>
            <w:tcBorders>
              <w:top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（七）总计</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ascii="宋体" w:hAnsi="宋体" w:cs="宋体" w:hint="eastAsia"/>
                <w:kern w:val="0"/>
                <w:sz w:val="24"/>
                <w:lang w:bidi="ar"/>
              </w:rPr>
              <w:t>四、结转下年度继续办理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int="eastAsia"/>
                <w:sz w:val="24"/>
              </w:rPr>
            </w:pPr>
            <w:r>
              <w:rPr>
                <w:rFonts w:hint="eastAsia"/>
                <w:sz w:val="24"/>
                <w:lang w:val="en-US" w:eastAsia="zh-CN"/>
              </w:rPr>
              <w:t>0</w:t>
            </w:r>
          </w:p>
        </w:tc>
      </w:tr>
    </w:tbl>
    <w:p>
      <w:pPr>
        <w:spacing w:line="560" w:lineRule="exact"/>
        <w:ind w:firstLine="637" w:firstLineChars="199"/>
        <w:rPr>
          <w:rFonts w:ascii="黑体" w:eastAsia="黑体" w:hAnsi="黑体" w:cs="宋体" w:hint="eastAsia"/>
          <w:sz w:val="32"/>
          <w:szCs w:val="32"/>
        </w:rPr>
      </w:pPr>
      <w:r>
        <w:rPr>
          <w:rFonts w:ascii="黑体" w:eastAsia="黑体" w:hAnsi="黑体" w:cs="宋体" w:hint="eastAsia"/>
          <w:sz w:val="32"/>
          <w:szCs w:val="32"/>
        </w:rPr>
        <w:t>四、政府信息公开行政复议、行政诉讼情况</w:t>
      </w:r>
    </w:p>
    <w:tbl>
      <w:tblPr>
        <w:tblStyle w:val="TableNormal"/>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502"/>
        <w:gridCol w:w="495"/>
        <w:gridCol w:w="510"/>
        <w:gridCol w:w="495"/>
        <w:gridCol w:w="555"/>
        <w:gridCol w:w="570"/>
        <w:gridCol w:w="525"/>
        <w:gridCol w:w="645"/>
        <w:gridCol w:w="555"/>
        <w:gridCol w:w="675"/>
        <w:gridCol w:w="645"/>
        <w:gridCol w:w="600"/>
        <w:gridCol w:w="600"/>
        <w:gridCol w:w="600"/>
        <w:gridCol w:w="532"/>
      </w:tblGrid>
      <w:tr>
        <w:tblPrEx>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jc w:val="center"/>
        </w:trPr>
        <w:tc>
          <w:tcPr>
            <w:tcW w:w="255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行政复议</w:t>
            </w:r>
          </w:p>
        </w:tc>
        <w:tc>
          <w:tcPr>
            <w:tcW w:w="5947"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行政诉讼</w:t>
            </w:r>
          </w:p>
        </w:tc>
      </w:tr>
      <w:tr>
        <w:tblPrEx>
          <w:tblW w:w="8504" w:type="dxa"/>
          <w:jc w:val="center"/>
          <w:tblLayout w:type="fixed"/>
          <w:tblCellMar>
            <w:top w:w="0" w:type="dxa"/>
            <w:left w:w="0" w:type="dxa"/>
            <w:bottom w:w="0" w:type="dxa"/>
            <w:right w:w="0" w:type="dxa"/>
          </w:tblCellMar>
        </w:tblPrEx>
        <w:trPr>
          <w:trHeight w:val="235"/>
          <w:jc w:val="center"/>
        </w:trPr>
        <w:tc>
          <w:tcPr>
            <w:tcW w:w="50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结果维持</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结果纠正</w:t>
            </w:r>
          </w:p>
        </w:tc>
        <w:tc>
          <w:tcPr>
            <w:tcW w:w="51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其他结果</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尚未审结</w:t>
            </w:r>
          </w:p>
        </w:tc>
        <w:tc>
          <w:tcPr>
            <w:tcW w:w="55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计</w:t>
            </w:r>
          </w:p>
        </w:tc>
        <w:tc>
          <w:tcPr>
            <w:tcW w:w="297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未经复议直接起诉</w:t>
            </w:r>
          </w:p>
        </w:tc>
        <w:tc>
          <w:tcPr>
            <w:tcW w:w="297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复议后起诉</w:t>
            </w:r>
          </w:p>
        </w:tc>
      </w:tr>
      <w:tr>
        <w:tblPrEx>
          <w:tblW w:w="8504" w:type="dxa"/>
          <w:jc w:val="center"/>
          <w:tblLayout w:type="fixed"/>
          <w:tblCellMar>
            <w:top w:w="0" w:type="dxa"/>
            <w:left w:w="0" w:type="dxa"/>
            <w:bottom w:w="0" w:type="dxa"/>
            <w:right w:w="0" w:type="dxa"/>
          </w:tblCellMar>
        </w:tblPrEx>
        <w:trPr>
          <w:jc w:val="center"/>
        </w:trPr>
        <w:tc>
          <w:tcPr>
            <w:tcW w:w="502" w:type="dxa"/>
            <w:vMerg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49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510"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49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55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结果维持</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结果纠正</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其他结果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尚未审结</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eastAsia="宋体" w:hAnsi="宋体" w:cs="宋体" w:hint="default"/>
                <w:kern w:val="0"/>
                <w:sz w:val="24"/>
                <w:lang w:val="en-US" w:eastAsia="zh-CN" w:bidi="ar"/>
              </w:rPr>
            </w:pPr>
            <w:r>
              <w:rPr>
                <w:rFonts w:ascii="宋体" w:hAnsi="宋体" w:cs="宋体" w:hint="eastAsia"/>
                <w:kern w:val="0"/>
                <w:sz w:val="24"/>
                <w:lang w:bidi="ar"/>
              </w:rPr>
              <w:t>总</w:t>
            </w:r>
            <w:r>
              <w:rPr>
                <w:rFonts w:ascii="宋体" w:hAnsi="宋体" w:cs="宋体" w:hint="eastAsia"/>
                <w:kern w:val="0"/>
                <w:sz w:val="24"/>
                <w:lang w:val="en-US" w:eastAsia="zh-CN" w:bidi="ar"/>
              </w:rPr>
              <w:t xml:space="preserve"> </w:t>
            </w:r>
            <w:r>
              <w:rPr>
                <w:rFonts w:ascii="宋体" w:hAnsi="宋体" w:cs="宋体" w:hint="eastAsia"/>
                <w:kern w:val="0"/>
                <w:sz w:val="24"/>
                <w:lang w:bidi="ar"/>
              </w:rPr>
              <w:t>计</w:t>
            </w:r>
            <w:r>
              <w:rPr>
                <w:rFonts w:ascii="宋体" w:hAnsi="宋体" w:cs="宋体" w:hint="eastAsia"/>
                <w:kern w:val="0"/>
                <w:sz w:val="24"/>
                <w:lang w:val="en-US" w:eastAsia="zh-CN" w:bidi="ar"/>
              </w:rPr>
              <w:t xml:space="preserve">   </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结果维持</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结果纠正</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其他结果</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尚未审结</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总计</w:t>
            </w:r>
          </w:p>
        </w:tc>
      </w:tr>
      <w:tr>
        <w:tblPrEx>
          <w:tblW w:w="8504" w:type="dxa"/>
          <w:jc w:val="center"/>
          <w:tblLayout w:type="fixed"/>
          <w:tblCellMar>
            <w:top w:w="0" w:type="dxa"/>
            <w:left w:w="0" w:type="dxa"/>
            <w:bottom w:w="0" w:type="dxa"/>
            <w:right w:w="0" w:type="dxa"/>
          </w:tblCellMar>
        </w:tblPrEx>
        <w:trPr>
          <w:trHeight w:val="560"/>
          <w:jc w:val="center"/>
        </w:trPr>
        <w:tc>
          <w:tcPr>
            <w:tcW w:w="50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1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eastAsia="宋体" w:hAnsi="宋体" w:cs="宋体" w:hint="eastAsia"/>
                <w:kern w:val="0"/>
                <w:sz w:val="24"/>
                <w:lang w:val="en-US" w:eastAsia="zh-CN" w:bidi="ar"/>
              </w:rPr>
            </w:pPr>
            <w:r>
              <w:rPr>
                <w:rFonts w:ascii="宋体" w:hAnsi="宋体" w:cs="宋体" w:hint="eastAsia"/>
                <w:kern w:val="0"/>
                <w:sz w:val="24"/>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37" w:firstLineChars="199"/>
        <w:textAlignment w:val="auto"/>
        <w:rPr>
          <w:rFonts w:ascii="黑体" w:eastAsia="黑体" w:hAnsi="黑体" w:cs="宋体" w:hint="eastAsia"/>
          <w:sz w:val="32"/>
          <w:szCs w:val="32"/>
        </w:rPr>
      </w:pPr>
      <w:r>
        <w:rPr>
          <w:rFonts w:ascii="黑体" w:eastAsia="黑体" w:hAnsi="黑体" w:cs="宋体" w:hint="eastAsia"/>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37" w:firstLineChars="199"/>
        <w:jc w:val="both"/>
        <w:textAlignment w:val="auto"/>
        <w:rPr>
          <w:rFonts w:ascii="仿宋_GB2312" w:eastAsia="仿宋_GB2312" w:hAnsi="宋体" w:cs="宋体" w:hint="eastAsia"/>
          <w:sz w:val="32"/>
          <w:szCs w:val="32"/>
          <w:lang w:eastAsia="zh-CN"/>
        </w:rPr>
      </w:pPr>
      <w:r>
        <w:rPr>
          <w:rFonts w:ascii="仿宋_GB2312" w:eastAsia="仿宋_GB2312" w:hAnsi="宋体" w:cs="宋体" w:hint="eastAsia"/>
          <w:sz w:val="32"/>
          <w:szCs w:val="32"/>
          <w:lang w:eastAsia="zh-CN"/>
        </w:rPr>
        <w:t>202</w:t>
      </w:r>
      <w:r>
        <w:rPr>
          <w:rFonts w:ascii="仿宋_GB2312" w:eastAsia="仿宋_GB2312" w:hAnsi="宋体" w:cs="宋体" w:hint="eastAsia"/>
          <w:sz w:val="32"/>
          <w:szCs w:val="32"/>
          <w:lang w:val="en-US" w:eastAsia="zh-CN"/>
        </w:rPr>
        <w:t>3</w:t>
      </w:r>
      <w:r>
        <w:rPr>
          <w:rFonts w:ascii="仿宋_GB2312" w:eastAsia="仿宋_GB2312" w:hAnsi="宋体" w:cs="宋体" w:hint="eastAsia"/>
          <w:sz w:val="32"/>
          <w:szCs w:val="32"/>
          <w:lang w:eastAsia="zh-CN"/>
        </w:rPr>
        <w:t>年，</w:t>
      </w:r>
      <w:r>
        <w:rPr>
          <w:rFonts w:ascii="仿宋_GB2312" w:eastAsia="仿宋_GB2312" w:hAnsi="宋体" w:cs="宋体" w:hint="eastAsia"/>
          <w:sz w:val="32"/>
          <w:szCs w:val="32"/>
          <w:lang w:val="en-US" w:eastAsia="zh-CN"/>
        </w:rPr>
        <w:t>甘河子镇</w:t>
      </w:r>
      <w:r>
        <w:rPr>
          <w:rFonts w:ascii="仿宋_GB2312" w:eastAsia="仿宋_GB2312" w:hAnsi="宋体" w:cs="宋体" w:hint="eastAsia"/>
          <w:sz w:val="32"/>
          <w:szCs w:val="32"/>
          <w:lang w:eastAsia="zh-CN"/>
        </w:rPr>
        <w:t>在政府信息公开工作上虽然取得了一定成效，但也存在一些不足，主要表现在：一是政府信息公开质量有待进一步加强，信息公开内容还不够全面；二是信息公开队伍还不够强，人员配置少，专业素质、理论水平有待进一步提高。</w:t>
      </w:r>
    </w:p>
    <w:p>
      <w:pPr>
        <w:keepNext w:val="0"/>
        <w:keepLines w:val="0"/>
        <w:pageBreakBefore w:val="0"/>
        <w:widowControl w:val="0"/>
        <w:kinsoku/>
        <w:wordWrap/>
        <w:overflowPunct/>
        <w:topLinePunct w:val="0"/>
        <w:autoSpaceDE/>
        <w:autoSpaceDN/>
        <w:bidi w:val="0"/>
        <w:adjustRightInd/>
        <w:snapToGrid/>
        <w:spacing w:line="560" w:lineRule="exact"/>
        <w:ind w:firstLine="637" w:firstLineChars="199"/>
        <w:jc w:val="both"/>
        <w:textAlignment w:val="auto"/>
        <w:rPr>
          <w:rFonts w:ascii="仿宋_GB2312" w:eastAsia="仿宋_GB2312" w:hAnsi="宋体" w:cs="宋体" w:hint="eastAsia"/>
          <w:sz w:val="32"/>
          <w:szCs w:val="32"/>
          <w:lang w:eastAsia="zh-CN"/>
        </w:rPr>
      </w:pPr>
      <w:r>
        <w:rPr>
          <w:rFonts w:ascii="仿宋_GB2312" w:eastAsia="仿宋_GB2312" w:hAnsi="宋体" w:cs="宋体" w:hint="eastAsia"/>
          <w:sz w:val="32"/>
          <w:szCs w:val="32"/>
          <w:lang w:eastAsia="zh-CN"/>
        </w:rPr>
        <w:t>下一步，</w:t>
      </w:r>
      <w:r>
        <w:rPr>
          <w:rFonts w:ascii="仿宋_GB2312" w:eastAsia="仿宋_GB2312" w:hAnsi="宋体" w:cs="宋体" w:hint="eastAsia"/>
          <w:sz w:val="32"/>
          <w:szCs w:val="32"/>
          <w:lang w:val="en-US" w:eastAsia="zh-CN"/>
        </w:rPr>
        <w:t>甘河子镇</w:t>
      </w:r>
      <w:r>
        <w:rPr>
          <w:rFonts w:ascii="仿宋_GB2312" w:eastAsia="仿宋_GB2312" w:hAnsi="宋体" w:cs="宋体" w:hint="eastAsia"/>
          <w:sz w:val="32"/>
          <w:szCs w:val="32"/>
          <w:lang w:eastAsia="zh-CN"/>
        </w:rPr>
        <w:t xml:space="preserve">将着力做好以下工作：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宋体" w:cs="宋体" w:hint="eastAsia"/>
          <w:sz w:val="32"/>
          <w:szCs w:val="32"/>
          <w:lang w:eastAsia="zh-CN"/>
        </w:rPr>
      </w:pPr>
      <w:r>
        <w:rPr>
          <w:rFonts w:ascii="仿宋_GB2312" w:eastAsia="仿宋_GB2312" w:hAnsi="宋体" w:cs="宋体" w:hint="eastAsia"/>
          <w:sz w:val="32"/>
          <w:szCs w:val="32"/>
          <w:lang w:eastAsia="zh-CN"/>
        </w:rPr>
        <w:t xml:space="preserve">一是进一步加大政府信息公开力度，聚焦政府关心、群众关切的热点问题，及时、准确回应人民群众和社会舆论的监督需要，扩大信息公开的覆盖面和影响力。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宋体" w:cs="宋体" w:hint="eastAsia"/>
          <w:sz w:val="32"/>
          <w:szCs w:val="32"/>
          <w:lang w:eastAsia="zh-CN"/>
        </w:rPr>
      </w:pPr>
      <w:r>
        <w:rPr>
          <w:rFonts w:ascii="仿宋_GB2312" w:eastAsia="仿宋_GB2312" w:hAnsi="宋体" w:cs="宋体" w:hint="eastAsia"/>
          <w:sz w:val="32"/>
          <w:szCs w:val="32"/>
          <w:lang w:eastAsia="zh-CN"/>
        </w:rPr>
        <w:t xml:space="preserve">二是持续加强政府信息公开工作人员专业技能和理论知识的培训力度，不断提升队伍能力水平。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宋体" w:cs="宋体" w:hint="eastAsia"/>
          <w:sz w:val="32"/>
          <w:szCs w:val="32"/>
          <w:lang w:eastAsia="zh-CN"/>
        </w:rPr>
      </w:pPr>
      <w:r>
        <w:rPr>
          <w:rFonts w:ascii="仿宋_GB2312" w:eastAsia="仿宋_GB2312" w:hAnsi="宋体" w:cs="宋体" w:hint="eastAsia"/>
          <w:sz w:val="32"/>
          <w:szCs w:val="32"/>
          <w:lang w:eastAsia="zh-CN"/>
        </w:rPr>
        <w:t>三是</w:t>
      </w:r>
      <w:r>
        <w:rPr>
          <w:rFonts w:ascii="仿宋_GB2312" w:eastAsia="仿宋_GB2312" w:hint="eastAsia"/>
          <w:sz w:val="32"/>
          <w:szCs w:val="32"/>
        </w:rPr>
        <w:t>进一步拓展信息公开途径，结合我镇政务工作特色，丰富公开形式，拓宽公开渠道，充分运用网络新媒体，提高政府服务中心政府信息公开力度，提高便民性。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sz w:val="32"/>
          <w:szCs w:val="32"/>
        </w:rPr>
      </w:pPr>
      <w:r>
        <w:rPr>
          <w:rFonts w:ascii="黑体" w:eastAsia="黑体" w:hAnsi="黑体" w:hint="eastAsia"/>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hint="eastAsia"/>
          <w:sz w:val="32"/>
          <w:szCs w:val="32"/>
        </w:rPr>
        <w:t>我镇无需要说明的其他事项。</w:t>
      </w:r>
    </w:p>
    <w:p>
      <w:pPr>
        <w:keepNext w:val="0"/>
        <w:keepLines w:val="0"/>
        <w:pageBreakBefore w:val="0"/>
        <w:widowControl w:val="0"/>
        <w:kinsoku/>
        <w:wordWrap/>
        <w:overflowPunct/>
        <w:topLinePunct w:val="0"/>
        <w:autoSpaceDE/>
        <w:autoSpaceDN/>
        <w:bidi w:val="0"/>
        <w:adjustRightInd/>
        <w:snapToGrid/>
        <w:spacing w:line="560" w:lineRule="exact"/>
        <w:ind w:firstLine="637" w:firstLineChars="199"/>
        <w:jc w:val="both"/>
        <w:textAlignment w:val="auto"/>
        <w:rPr>
          <w:rFonts w:ascii="仿宋_GB2312" w:eastAsia="仿宋_GB2312" w:hAnsi="宋体" w:cs="宋体" w:hint="eastAsia"/>
          <w:sz w:val="32"/>
          <w:szCs w:val="32"/>
          <w:lang w:val="en-US" w:eastAsia="zh-CN"/>
        </w:rPr>
      </w:pPr>
      <w:r>
        <w:rPr>
          <w:rFonts w:ascii="仿宋_GB2312" w:eastAsia="仿宋_GB2312" w:hAnsi="宋体" w:cs="宋体" w:hint="eastAsia"/>
          <w:sz w:val="32"/>
          <w:szCs w:val="32"/>
          <w:lang w:val="en-US" w:eastAsia="zh-CN"/>
        </w:rPr>
        <w:t xml:space="preserve"> </w:t>
      </w:r>
    </w:p>
    <w:p>
      <w:pPr>
        <w:spacing w:line="560" w:lineRule="exact"/>
        <w:ind w:firstLine="637" w:firstLineChars="199"/>
        <w:jc w:val="both"/>
        <w:rPr>
          <w:rFonts w:ascii="仿宋_GB2312" w:eastAsia="仿宋_GB2312" w:hAnsi="宋体" w:cs="宋体" w:hint="default"/>
          <w:sz w:val="32"/>
          <w:szCs w:val="32"/>
          <w:lang w:val="en-US" w:eastAsia="zh-CN"/>
        </w:rPr>
      </w:pPr>
      <w:r>
        <w:rPr>
          <w:rFonts w:ascii="仿宋_GB2312" w:eastAsia="仿宋_GB2312" w:hAnsi="宋体" w:cs="宋体" w:hint="eastAsia"/>
          <w:sz w:val="32"/>
          <w:szCs w:val="32"/>
          <w:lang w:val="en-US" w:eastAsia="zh-CN"/>
        </w:rPr>
        <w:t xml:space="preserve">                         乌苏市甘河子镇人民政府</w:t>
      </w:r>
    </w:p>
    <w:p>
      <w:r>
        <w:rPr>
          <w:rFonts w:ascii="仿宋_GB2312" w:eastAsia="仿宋_GB2312" w:hAnsi="宋体" w:cs="宋体" w:hint="eastAsia"/>
          <w:sz w:val="32"/>
          <w:szCs w:val="32"/>
          <w:lang w:val="en-US" w:eastAsia="zh-CN"/>
        </w:rPr>
        <w:t xml:space="preserve">                                   2024年1月15日</w:t>
      </w:r>
    </w:p>
    <w:sectPr>
      <w:footerReference w:type="default" r:id="rId5"/>
      <w:pgSz w:w="11906" w:h="16838"/>
      <w:pgMar w:top="1440" w:right="1800" w:bottom="1440" w:left="1800" w:header="851" w:footer="992" w:gutter="0"/>
      <w:pgNumType w:fmt="numberInDash" w:start="1"/>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ascii="宋体" w:eastAsia="宋体" w:hAnsi="宋体" w:cs="宋体" w:hint="eastAsia"/>
                              <w:sz w:val="28"/>
                              <w:szCs w:val="44"/>
                            </w:rPr>
                          </w:pP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Pr>
                              <w:rFonts w:ascii="宋体" w:hAnsi="宋体" w:cs="宋体" w:hint="eastAsia"/>
                              <w:sz w:val="28"/>
                              <w:szCs w:val="44"/>
                            </w:rPr>
                            <w:t>4</w:t>
                          </w:r>
                          <w:r>
                            <w:rPr>
                              <w:rFonts w:ascii="宋体" w:hAnsi="宋体" w:cs="宋体" w:hint="eastAsia"/>
                              <w:sz w:val="28"/>
                              <w:szCs w:val="4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ascii="宋体" w:eastAsia="宋体" w:hAnsi="宋体" w:cs="宋体" w:hint="eastAsia"/>
                        <w:sz w:val="28"/>
                        <w:szCs w:val="44"/>
                      </w:rPr>
                    </w:pPr>
                    <w:r>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Pr>
                        <w:rFonts w:ascii="宋体" w:hAnsi="宋体" w:cs="宋体" w:hint="eastAsia"/>
                        <w:sz w:val="28"/>
                        <w:szCs w:val="44"/>
                      </w:rPr>
                      <w:fldChar w:fldCharType="separate"/>
                    </w:r>
                    <w:r>
                      <w:rPr>
                        <w:rFonts w:ascii="宋体" w:hAnsi="宋体" w:cs="宋体" w:hint="eastAsia"/>
                        <w:sz w:val="28"/>
                        <w:szCs w:val="44"/>
                      </w:rPr>
                      <w:t>4</w:t>
                    </w:r>
                    <w:r>
                      <w:rPr>
                        <w:rFonts w:ascii="宋体" w:hAnsi="宋体" w:cs="宋体" w:hint="eastAsia"/>
                        <w:sz w:val="28"/>
                        <w:szCs w:val="44"/>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5525E6"/>
    <w:rsid w:val="355A7D02"/>
    <w:rsid w:val="448B49F7"/>
    <w:rsid w:val="56B92CF4"/>
    <w:rsid w:val="6D5525E6"/>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NormalWeb">
    <w:name w:val="Normal (Web)"/>
    <w:basedOn w:val="Normal"/>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1</cp:revision>
  <dcterms:created xsi:type="dcterms:W3CDTF">2024-01-17T05:01:00Z</dcterms:created>
  <dcterms:modified xsi:type="dcterms:W3CDTF">2024-01-29T08:58:58Z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50b35c11bce4f0a849077940bcbb721_correctwords">
    <vt:lpwstr>[]</vt:lpwstr>
  </property>
  <property fmtid="{D5CDD505-2E9C-101B-9397-08002B2CF9AE}" pid="4" name="hmcheck_result_150b35c11bce4f0a849077940bcbb721_errorword">
    <vt:lpwstr>计</vt:lpwstr>
  </property>
  <property fmtid="{D5CDD505-2E9C-101B-9397-08002B2CF9AE}" pid="5" name="hmcheck_result_150b35c11bce4f0a849077940bcbb721_level">
    <vt:i4>2</vt:i4>
  </property>
  <property fmtid="{D5CDD505-2E9C-101B-9397-08002B2CF9AE}" pid="6" name="hmcheck_result_150b35c11bce4f0a849077940bcbb721_modifiedtype">
    <vt:i4>1</vt:i4>
  </property>
  <property fmtid="{D5CDD505-2E9C-101B-9397-08002B2CF9AE}" pid="7" name="hmcheck_result_150b35c11bce4f0a849077940bcbb721_type">
    <vt:i4>0</vt:i4>
  </property>
  <property fmtid="{D5CDD505-2E9C-101B-9397-08002B2CF9AE}" pid="8" name="hmcheck_result_fc52e1b1dc5640fc86642de35108d2ed_correctwords">
    <vt:lpwstr>["钩稽"]</vt:lpwstr>
  </property>
  <property fmtid="{D5CDD505-2E9C-101B-9397-08002B2CF9AE}" pid="9" name="hmcheck_result_fc52e1b1dc5640fc86642de35108d2ed_errorword">
    <vt:lpwstr>勾稽</vt:lpwstr>
  </property>
  <property fmtid="{D5CDD505-2E9C-101B-9397-08002B2CF9AE}" pid="10" name="hmcheck_result_fc52e1b1dc5640fc86642de35108d2ed_level">
    <vt:i4>1</vt:i4>
  </property>
  <property fmtid="{D5CDD505-2E9C-101B-9397-08002B2CF9AE}" pid="11" name="hmcheck_result_fc52e1b1dc5640fc86642de35108d2ed_modifiedtype">
    <vt:i4>1</vt:i4>
  </property>
  <property fmtid="{D5CDD505-2E9C-101B-9397-08002B2CF9AE}" pid="12" name="hmcheck_result_fc52e1b1dc5640fc86642de35108d2ed_type">
    <vt:i4>5</vt:i4>
  </property>
  <property fmtid="{D5CDD505-2E9C-101B-9397-08002B2CF9AE}" pid="13" name="ICV">
    <vt:lpwstr>B26CF5F7DB35451A88B006B7D4921014_12</vt:lpwstr>
  </property>
  <property fmtid="{D5CDD505-2E9C-101B-9397-08002B2CF9AE}" pid="14" name="KSOProductBuildVer">
    <vt:lpwstr>2052-12.1.0.15374</vt:lpwstr>
  </property>
</Properties>
</file>