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Heading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方正小标宋简体" w:eastAsia="方正小标宋简体" w:hAnsi="方正小标宋简体" w:cs="方正小标宋简体" w:hint="eastAsia"/>
          <w:color w:val="auto"/>
          <w:sz w:val="44"/>
          <w:szCs w:val="44"/>
          <w:highlight w:val="none"/>
        </w:rPr>
      </w:pPr>
      <w:bookmarkStart w:id="0" w:name="_GoBack"/>
      <w:r>
        <w:rPr>
          <w:rFonts w:ascii="方正小标宋简体" w:eastAsia="方正小标宋简体" w:hAnsi="方正小标宋简体" w:cs="方正小标宋简体" w:hint="eastAsia"/>
          <w:color w:val="auto"/>
          <w:sz w:val="44"/>
          <w:szCs w:val="44"/>
          <w:highlight w:val="none"/>
          <w:lang w:eastAsia="zh-CN"/>
        </w:rPr>
        <w:t>乌苏市</w:t>
      </w:r>
      <w:r>
        <w:rPr>
          <w:rFonts w:ascii="方正小标宋简体" w:eastAsia="方正小标宋简体" w:hAnsi="方正小标宋简体" w:cs="方正小标宋简体" w:hint="eastAsia"/>
          <w:color w:val="auto"/>
          <w:sz w:val="44"/>
          <w:szCs w:val="44"/>
          <w:highlight w:val="none"/>
        </w:rPr>
        <w:t>发展和改革委员会</w:t>
      </w:r>
    </w:p>
    <w:p>
      <w:pPr>
        <w:pStyle w:val="Heading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方正小标宋简体" w:eastAsia="方正小标宋简体" w:hAnsi="方正小标宋简体" w:cs="方正小标宋简体" w:hint="eastAsia"/>
          <w:color w:val="auto"/>
          <w:sz w:val="44"/>
          <w:szCs w:val="44"/>
          <w:highlight w:val="none"/>
        </w:rPr>
      </w:pPr>
      <w:r>
        <w:rPr>
          <w:rFonts w:ascii="方正小标宋简体" w:eastAsia="方正小标宋简体" w:hAnsi="方正小标宋简体" w:cs="方正小标宋简体" w:hint="eastAsia"/>
          <w:color w:val="auto"/>
          <w:sz w:val="44"/>
          <w:szCs w:val="44"/>
          <w:highlight w:val="none"/>
        </w:rPr>
        <w:t>政府信息公开工作20</w:t>
      </w:r>
      <w:r>
        <w:rPr>
          <w:rFonts w:ascii="方正小标宋简体" w:eastAsia="方正小标宋简体" w:hAnsi="方正小标宋简体" w:cs="方正小标宋简体" w:hint="eastAsia"/>
          <w:color w:val="auto"/>
          <w:sz w:val="44"/>
          <w:szCs w:val="44"/>
          <w:highlight w:val="none"/>
          <w:lang w:val="en-US" w:eastAsia="zh-CN"/>
        </w:rPr>
        <w:t>23</w:t>
      </w:r>
      <w:r>
        <w:rPr>
          <w:rFonts w:ascii="方正小标宋简体" w:eastAsia="方正小标宋简体" w:hAnsi="方正小标宋简体" w:cs="方正小标宋简体" w:hint="eastAsia"/>
          <w:color w:val="auto"/>
          <w:sz w:val="44"/>
          <w:szCs w:val="44"/>
          <w:highlight w:val="none"/>
        </w:rPr>
        <w:t>年度报告</w:t>
      </w:r>
    </w:p>
    <w:bookmarkEnd w:id="0"/>
    <w:p>
      <w:pPr>
        <w:rPr>
          <w:rFonts w:hint="eastAsia"/>
          <w:highlight w:val="none"/>
        </w:rPr>
      </w:pP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left="0" w:right="0"/>
        <w:textAlignment w:val="auto"/>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z w:val="32"/>
          <w:szCs w:val="32"/>
          <w:highlight w:val="none"/>
        </w:rPr>
        <w:t>　　本年度报告是根据《中华人民共和国政府信息公开条例》</w:t>
      </w:r>
      <w:r>
        <w:rPr>
          <w:rFonts w:ascii="仿宋_GB2312" w:eastAsia="仿宋_GB2312" w:hAnsi="仿宋_GB2312" w:cs="仿宋_GB2312" w:hint="eastAsia"/>
          <w:color w:val="auto"/>
          <w:sz w:val="32"/>
          <w:szCs w:val="32"/>
          <w:highlight w:val="none"/>
          <w:lang w:eastAsia="zh-CN"/>
        </w:rPr>
        <w:t>和乌苏市</w:t>
      </w:r>
      <w:r>
        <w:rPr>
          <w:rFonts w:ascii="仿宋_GB2312" w:eastAsia="仿宋_GB2312" w:hAnsi="仿宋_GB2312" w:cs="仿宋_GB2312" w:hint="eastAsia"/>
          <w:color w:val="auto"/>
          <w:sz w:val="32"/>
          <w:szCs w:val="32"/>
          <w:highlight w:val="none"/>
        </w:rPr>
        <w:t>政府信息公开</w:t>
      </w:r>
      <w:r>
        <w:rPr>
          <w:rFonts w:ascii="仿宋_GB2312" w:eastAsia="仿宋_GB2312" w:hAnsi="仿宋_GB2312" w:cs="仿宋_GB2312" w:hint="eastAsia"/>
          <w:color w:val="auto"/>
          <w:sz w:val="32"/>
          <w:szCs w:val="32"/>
          <w:highlight w:val="none"/>
          <w:lang w:eastAsia="zh-CN"/>
        </w:rPr>
        <w:t>相关</w:t>
      </w:r>
      <w:r>
        <w:rPr>
          <w:rFonts w:ascii="仿宋_GB2312" w:eastAsia="仿宋_GB2312" w:hAnsi="仿宋_GB2312" w:cs="仿宋_GB2312" w:hint="eastAsia"/>
          <w:color w:val="auto"/>
          <w:sz w:val="32"/>
          <w:szCs w:val="32"/>
          <w:highlight w:val="none"/>
        </w:rPr>
        <w:t>规定编制，报告所列的数据统计期限自20</w:t>
      </w:r>
      <w:r>
        <w:rPr>
          <w:rFonts w:ascii="仿宋_GB2312" w:eastAsia="仿宋_GB2312" w:hAnsi="仿宋_GB2312" w:cs="仿宋_GB2312" w:hint="eastAsia"/>
          <w:color w:val="auto"/>
          <w:sz w:val="32"/>
          <w:szCs w:val="32"/>
          <w:highlight w:val="none"/>
          <w:lang w:val="en-US" w:eastAsia="zh-CN"/>
        </w:rPr>
        <w:t>23</w:t>
      </w:r>
      <w:r>
        <w:rPr>
          <w:rFonts w:ascii="仿宋_GB2312" w:eastAsia="仿宋_GB2312" w:hAnsi="仿宋_GB2312" w:cs="仿宋_GB2312" w:hint="eastAsia"/>
          <w:color w:val="auto"/>
          <w:sz w:val="32"/>
          <w:szCs w:val="32"/>
          <w:highlight w:val="none"/>
        </w:rPr>
        <w:t>年1月1日起至20</w:t>
      </w:r>
      <w:r>
        <w:rPr>
          <w:rFonts w:ascii="仿宋_GB2312" w:eastAsia="仿宋_GB2312" w:hAnsi="仿宋_GB2312" w:cs="仿宋_GB2312" w:hint="eastAsia"/>
          <w:color w:val="auto"/>
          <w:sz w:val="32"/>
          <w:szCs w:val="32"/>
          <w:highlight w:val="none"/>
          <w:lang w:val="en-US" w:eastAsia="zh-CN"/>
        </w:rPr>
        <w:t>23</w:t>
      </w:r>
      <w:r>
        <w:rPr>
          <w:rFonts w:ascii="仿宋_GB2312" w:eastAsia="仿宋_GB2312" w:hAnsi="仿宋_GB2312" w:cs="仿宋_GB2312" w:hint="eastAsia"/>
          <w:color w:val="auto"/>
          <w:sz w:val="32"/>
          <w:szCs w:val="32"/>
          <w:highlight w:val="none"/>
        </w:rPr>
        <w:t>年12月31日止</w:t>
      </w:r>
      <w:r>
        <w:rPr>
          <w:rFonts w:ascii="仿宋_GB2312" w:eastAsia="仿宋_GB2312" w:hAnsi="仿宋_GB2312" w:cs="仿宋_GB2312" w:hint="eastAsia"/>
          <w:color w:val="auto"/>
          <w:sz w:val="32"/>
          <w:szCs w:val="32"/>
          <w:highlight w:val="none"/>
          <w:lang w:eastAsia="zh-CN"/>
        </w:rPr>
        <w:t>，</w:t>
      </w:r>
      <w:r>
        <w:rPr>
          <w:rFonts w:ascii="仿宋_GB2312" w:eastAsia="仿宋_GB2312" w:hAnsi="宋体" w:cs="宋体" w:hint="eastAsia"/>
          <w:sz w:val="32"/>
          <w:szCs w:val="32"/>
          <w:lang w:eastAsia="zh-CN"/>
        </w:rPr>
        <w:t>全文包括：总体情况，主动公开政府信息情况，收到和处理政府信息公开申请情况，政府信息公开行政复议、行政诉讼情况，存在的主要问题及改进措施，其他需要说明的事项等六个部分。</w:t>
      </w:r>
    </w:p>
    <w:p>
      <w:pPr>
        <w:keepNext w:val="0"/>
        <w:keepLines w:val="0"/>
        <w:pageBreakBefore w:val="0"/>
        <w:kinsoku/>
        <w:wordWrap/>
        <w:overflowPunct/>
        <w:topLinePunct w:val="0"/>
        <w:autoSpaceDE/>
        <w:autoSpaceDN/>
        <w:bidi w:val="0"/>
        <w:adjustRightInd/>
        <w:snapToGrid/>
        <w:spacing w:line="560" w:lineRule="atLeast"/>
        <w:ind w:firstLine="640" w:firstLineChars="200"/>
        <w:jc w:val="left"/>
        <w:textAlignment w:val="auto"/>
        <w:rPr>
          <w:rFonts w:ascii="仿宋_GB2312" w:eastAsia="仿宋_GB2312" w:hAnsi="仿宋_GB2312" w:cs="仿宋_GB2312" w:hint="eastAsia"/>
          <w:color w:val="auto"/>
          <w:kern w:val="0"/>
          <w:sz w:val="32"/>
          <w:szCs w:val="32"/>
          <w:highlight w:val="none"/>
          <w:lang w:val="en-US" w:eastAsia="zh-CN" w:bidi="ar"/>
        </w:rPr>
      </w:pPr>
      <w:r>
        <w:rPr>
          <w:rFonts w:ascii="黑体" w:eastAsia="黑体" w:hAnsi="黑体" w:cs="宋体" w:hint="eastAsia"/>
          <w:sz w:val="32"/>
          <w:szCs w:val="32"/>
        </w:rPr>
        <w:t>一、总体情况</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ascii="仿宋_GB2312" w:eastAsia="仿宋_GB2312" w:hAnsi="仿宋_GB2312" w:cs="仿宋_GB2312" w:hint="eastAsia"/>
          <w:color w:val="auto"/>
          <w:kern w:val="0"/>
          <w:sz w:val="32"/>
          <w:szCs w:val="32"/>
          <w:highlight w:val="none"/>
          <w:lang w:val="en-US" w:eastAsia="zh-CN" w:bidi="ar"/>
        </w:rPr>
      </w:pPr>
      <w:r>
        <w:rPr>
          <w:rFonts w:ascii="Times New Roman" w:eastAsia="仿宋_GB2312" w:hAnsi="Times New Roman" w:cs="Times New Roman" w:hint="default"/>
          <w:color w:val="auto"/>
          <w:sz w:val="32"/>
          <w:szCs w:val="32"/>
          <w:highlight w:val="none"/>
          <w:lang w:val="en-US" w:eastAsia="zh-CN"/>
        </w:rPr>
        <w:t>今年以来</w:t>
      </w:r>
      <w:r>
        <w:rPr>
          <w:rFonts w:eastAsia="仿宋_GB2312" w:cs="Times New Roman" w:hint="eastAsia"/>
          <w:color w:val="auto"/>
          <w:sz w:val="32"/>
          <w:szCs w:val="32"/>
          <w:highlight w:val="none"/>
          <w:lang w:val="en-US" w:eastAsia="zh-CN"/>
        </w:rPr>
        <w:t>，</w:t>
      </w:r>
      <w:r>
        <w:rPr>
          <w:rFonts w:ascii="Times New Roman" w:eastAsia="仿宋_GB2312" w:hAnsi="Times New Roman" w:cs="Times New Roman" w:hint="default"/>
          <w:color w:val="auto"/>
          <w:sz w:val="32"/>
          <w:szCs w:val="32"/>
          <w:highlight w:val="none"/>
          <w:lang w:val="en-US" w:eastAsia="zh-CN"/>
        </w:rPr>
        <w:t>市</w:t>
      </w:r>
      <w:r>
        <w:rPr>
          <w:rFonts w:ascii="Times New Roman" w:eastAsia="仿宋_GB2312" w:hAnsi="Times New Roman" w:cs="Times New Roman" w:hint="eastAsia"/>
          <w:color w:val="auto"/>
          <w:sz w:val="32"/>
          <w:szCs w:val="32"/>
          <w:highlight w:val="none"/>
          <w:shd w:val="clear" w:color="auto" w:fill="FFFFFF"/>
          <w:lang w:val="en-US" w:eastAsia="zh-CN"/>
        </w:rPr>
        <w:t>国家发展改革委</w:t>
      </w:r>
      <w:r>
        <w:rPr>
          <w:rFonts w:ascii="Times New Roman" w:eastAsia="仿宋_GB2312" w:hAnsi="Times New Roman" w:cs="Times New Roman" w:hint="default"/>
          <w:color w:val="auto"/>
          <w:sz w:val="32"/>
          <w:szCs w:val="32"/>
          <w:highlight w:val="none"/>
        </w:rPr>
        <w:t>在</w:t>
      </w:r>
      <w:r>
        <w:rPr>
          <w:rFonts w:ascii="Times New Roman" w:eastAsia="仿宋_GB2312" w:hAnsi="Times New Roman" w:cs="Times New Roman" w:hint="eastAsia"/>
          <w:color w:val="auto"/>
          <w:sz w:val="32"/>
          <w:szCs w:val="32"/>
          <w:highlight w:val="none"/>
          <w:shd w:val="clear" w:color="auto" w:fill="FFFFFF"/>
          <w:lang w:eastAsia="zh-CN"/>
        </w:rPr>
        <w:t>市委、市政府</w:t>
      </w:r>
      <w:r>
        <w:rPr>
          <w:rFonts w:ascii="Times New Roman" w:eastAsia="仿宋_GB2312" w:hAnsi="Times New Roman" w:cs="Times New Roman" w:hint="default"/>
          <w:color w:val="auto"/>
          <w:sz w:val="32"/>
          <w:szCs w:val="32"/>
          <w:highlight w:val="none"/>
        </w:rPr>
        <w:t>的坚强领导下，</w:t>
      </w:r>
      <w:r>
        <w:rPr>
          <w:rFonts w:ascii="Times New Roman" w:eastAsia="仿宋_GB2312" w:hAnsi="Times New Roman" w:cs="Times New Roman" w:hint="default"/>
          <w:color w:val="auto"/>
          <w:sz w:val="32"/>
          <w:szCs w:val="32"/>
          <w:highlight w:val="none"/>
          <w:lang w:val="en-US" w:eastAsia="zh-CN"/>
        </w:rPr>
        <w:t>以</w:t>
      </w:r>
      <w:r>
        <w:rPr>
          <w:rFonts w:ascii="Times New Roman" w:eastAsia="仿宋_GB2312" w:hAnsi="Times New Roman" w:cs="Times New Roman" w:hint="default"/>
          <w:color w:val="auto"/>
          <w:sz w:val="32"/>
          <w:szCs w:val="32"/>
          <w:highlight w:val="none"/>
        </w:rPr>
        <w:t>习近平新时代中国特色社会主义思想</w:t>
      </w:r>
      <w:r>
        <w:rPr>
          <w:rFonts w:ascii="Times New Roman" w:eastAsia="仿宋_GB2312" w:hAnsi="Times New Roman" w:cs="Times New Roman" w:hint="default"/>
          <w:color w:val="auto"/>
          <w:sz w:val="32"/>
          <w:szCs w:val="32"/>
          <w:highlight w:val="none"/>
          <w:lang w:val="en-US" w:eastAsia="zh-CN"/>
        </w:rPr>
        <w:t>为指导，深入学习贯彻</w:t>
      </w:r>
      <w:r>
        <w:rPr>
          <w:rFonts w:ascii="Times New Roman" w:eastAsia="仿宋_GB2312" w:hAnsi="Times New Roman" w:cs="Times New Roman" w:hint="default"/>
          <w:color w:val="auto"/>
          <w:sz w:val="32"/>
          <w:szCs w:val="32"/>
          <w:highlight w:val="none"/>
        </w:rPr>
        <w:t>党的</w:t>
      </w:r>
      <w:r>
        <w:rPr>
          <w:rFonts w:ascii="Times New Roman" w:eastAsia="仿宋_GB2312" w:hAnsi="Times New Roman" w:cs="Times New Roman" w:hint="default"/>
          <w:color w:val="auto"/>
          <w:sz w:val="32"/>
          <w:szCs w:val="32"/>
          <w:highlight w:val="none"/>
          <w:lang w:eastAsia="zh-CN"/>
        </w:rPr>
        <w:t>二十</w:t>
      </w:r>
      <w:r>
        <w:rPr>
          <w:rFonts w:ascii="Times New Roman" w:eastAsia="仿宋_GB2312" w:hAnsi="Times New Roman" w:cs="Times New Roman" w:hint="default"/>
          <w:color w:val="auto"/>
          <w:sz w:val="32"/>
          <w:szCs w:val="32"/>
          <w:highlight w:val="none"/>
        </w:rPr>
        <w:t>大精神</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rPr>
        <w:t>贯彻落实习近平总书记关于新疆工作的重要讲话和重要指示批示精神，聚焦新时代党的治疆方略</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lang w:val="en-US" w:eastAsia="zh-CN"/>
        </w:rPr>
        <w:t>坚定不移贯彻新发展理念，</w:t>
      </w:r>
      <w:r>
        <w:rPr>
          <w:rFonts w:ascii="仿宋_GB2312" w:eastAsia="仿宋_GB2312" w:hAnsi="仿宋_GB2312" w:cs="仿宋_GB2312" w:hint="eastAsia"/>
          <w:color w:val="auto"/>
          <w:kern w:val="0"/>
          <w:sz w:val="32"/>
          <w:szCs w:val="32"/>
          <w:highlight w:val="none"/>
          <w:lang w:val="en-US" w:eastAsia="zh-CN" w:bidi="ar"/>
        </w:rPr>
        <w:t>高度重视政府信息公开工作，扎实推进政务公开和政府信息公开工作，确保政府信息全面、及时、准确公开，各项任务均按时按质按量完成。</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ascii="仿宋_GB2312" w:eastAsia="仿宋_GB2312" w:hAnsi="宋体" w:cs="宋体" w:hint="default"/>
          <w:sz w:val="32"/>
          <w:szCs w:val="32"/>
          <w:highlight w:val="green"/>
          <w:lang w:val="en-US" w:eastAsia="zh-CN"/>
        </w:rPr>
      </w:pPr>
      <w:r>
        <w:rPr>
          <w:rFonts w:ascii="楷体_GB2312" w:eastAsia="楷体_GB2312" w:hAnsi="楷体_GB2312" w:cs="楷体_GB2312" w:hint="eastAsia"/>
          <w:b/>
          <w:bCs/>
          <w:sz w:val="32"/>
          <w:szCs w:val="32"/>
          <w:lang w:val="en-US" w:eastAsia="zh-CN"/>
        </w:rPr>
        <w:t>（一）主动公开情况。</w:t>
      </w:r>
      <w:r>
        <w:rPr>
          <w:rFonts w:ascii="仿宋_GB2312" w:eastAsia="仿宋_GB2312" w:hAnsi="仿宋_GB2312" w:cs="仿宋_GB2312" w:hint="eastAsia"/>
          <w:color w:val="auto"/>
          <w:kern w:val="0"/>
          <w:sz w:val="32"/>
          <w:szCs w:val="32"/>
          <w:highlight w:val="none"/>
          <w:lang w:val="en-US" w:eastAsia="zh-CN" w:bidi="ar"/>
        </w:rPr>
        <w:t>2023年，市发展改革委通过乌苏市人民政府网站政府信息公开平台主动公开政府信息数共8条。其中2022年度决算及2023年度预算公开信息1条，价格管理和价格认证公开信息7条。</w:t>
      </w:r>
    </w:p>
    <w:p>
      <w:pPr>
        <w:keepNext w:val="0"/>
        <w:keepLines w:val="0"/>
        <w:pageBreakBefore w:val="0"/>
        <w:numPr>
          <w:ilvl w:val="0"/>
          <w:numId w:val="0"/>
        </w:numPr>
        <w:kinsoku/>
        <w:wordWrap/>
        <w:overflowPunct/>
        <w:topLinePunct w:val="0"/>
        <w:autoSpaceDE/>
        <w:autoSpaceDN/>
        <w:bidi w:val="0"/>
        <w:adjustRightInd/>
        <w:snapToGrid/>
        <w:spacing w:line="560" w:lineRule="atLeast"/>
        <w:ind w:firstLine="640" w:firstLineChars="200"/>
        <w:jc w:val="left"/>
        <w:textAlignment w:val="auto"/>
        <w:rPr>
          <w:rFonts w:ascii="仿宋_GB2312" w:eastAsia="仿宋_GB2312" w:hAnsi="宋体" w:cs="宋体" w:hint="eastAsia"/>
          <w:sz w:val="32"/>
          <w:szCs w:val="32"/>
          <w:lang w:eastAsia="zh-CN"/>
        </w:rPr>
      </w:pPr>
      <w:r>
        <w:rPr>
          <w:rFonts w:ascii="楷体_GB2312" w:eastAsia="楷体_GB2312" w:hAnsi="楷体_GB2312" w:cs="楷体_GB2312" w:hint="eastAsia"/>
          <w:b/>
          <w:bCs/>
          <w:sz w:val="32"/>
          <w:szCs w:val="32"/>
          <w:lang w:eastAsia="zh-CN"/>
        </w:rPr>
        <w:t>（二）依申请公开信息情况。</w:t>
      </w:r>
      <w:r>
        <w:rPr>
          <w:rFonts w:ascii="仿宋_GB2312" w:eastAsia="仿宋_GB2312" w:hAnsi="宋体" w:cs="宋体" w:hint="eastAsia"/>
          <w:sz w:val="32"/>
          <w:szCs w:val="32"/>
          <w:lang w:eastAsia="zh-CN"/>
        </w:rPr>
        <w:t>202</w:t>
      </w:r>
      <w:r>
        <w:rPr>
          <w:rFonts w:ascii="仿宋_GB2312" w:eastAsia="仿宋_GB2312" w:hAnsi="宋体" w:cs="宋体" w:hint="eastAsia"/>
          <w:sz w:val="32"/>
          <w:szCs w:val="32"/>
          <w:lang w:val="en-US" w:eastAsia="zh-CN"/>
        </w:rPr>
        <w:t>3</w:t>
      </w:r>
      <w:r>
        <w:rPr>
          <w:rFonts w:ascii="仿宋_GB2312" w:eastAsia="仿宋_GB2312" w:hAnsi="宋体" w:cs="宋体" w:hint="eastAsia"/>
          <w:sz w:val="32"/>
          <w:szCs w:val="32"/>
          <w:lang w:eastAsia="zh-CN"/>
        </w:rPr>
        <w:t>年，市</w:t>
      </w:r>
      <w:r>
        <w:rPr>
          <w:rFonts w:ascii="仿宋_GB2312" w:eastAsia="仿宋_GB2312" w:hAnsi="宋体" w:cs="宋体" w:hint="eastAsia"/>
          <w:sz w:val="32"/>
          <w:szCs w:val="32"/>
          <w:lang w:val="en-US" w:eastAsia="zh-CN"/>
        </w:rPr>
        <w:t>发展改革委未</w:t>
      </w:r>
      <w:r>
        <w:rPr>
          <w:rFonts w:ascii="仿宋_GB2312" w:eastAsia="仿宋_GB2312" w:hAnsi="宋体" w:cs="宋体" w:hint="eastAsia"/>
          <w:sz w:val="32"/>
          <w:szCs w:val="32"/>
          <w:lang w:eastAsia="zh-CN"/>
        </w:rPr>
        <w:t xml:space="preserve">收到政府信息公开申请。 </w:t>
      </w:r>
    </w:p>
    <w:p>
      <w:pPr>
        <w:keepNext w:val="0"/>
        <w:keepLines w:val="0"/>
        <w:pageBreakBefore w:val="0"/>
        <w:kinsoku/>
        <w:wordWrap/>
        <w:overflowPunct/>
        <w:topLinePunct w:val="0"/>
        <w:autoSpaceDE/>
        <w:autoSpaceDN/>
        <w:bidi w:val="0"/>
        <w:adjustRightInd/>
        <w:snapToGrid/>
        <w:spacing w:line="560" w:lineRule="atLeast"/>
        <w:ind w:firstLine="640" w:firstLineChars="200"/>
        <w:jc w:val="left"/>
        <w:textAlignment w:val="auto"/>
        <w:rPr>
          <w:rFonts w:ascii="仿宋_GB2312" w:eastAsia="仿宋_GB2312" w:hAnsi="宋体" w:cs="宋体" w:hint="eastAsia"/>
          <w:sz w:val="32"/>
          <w:szCs w:val="32"/>
          <w:lang w:val="en-US" w:eastAsia="zh-CN"/>
        </w:rPr>
      </w:pPr>
      <w:r>
        <w:rPr>
          <w:rFonts w:ascii="楷体_GB2312" w:eastAsia="楷体_GB2312" w:hAnsi="楷体_GB2312" w:cs="楷体_GB2312" w:hint="eastAsia"/>
          <w:b/>
          <w:bCs/>
          <w:sz w:val="32"/>
          <w:szCs w:val="32"/>
          <w:lang w:eastAsia="zh-CN"/>
        </w:rPr>
        <w:t>（三）政府信息管理情况。</w:t>
      </w:r>
      <w:r>
        <w:rPr>
          <w:rFonts w:ascii="仿宋_GB2312" w:eastAsia="仿宋_GB2312" w:hAnsi="宋体" w:cs="宋体" w:hint="eastAsia"/>
          <w:b/>
          <w:bCs/>
          <w:sz w:val="32"/>
          <w:szCs w:val="32"/>
          <w:lang w:eastAsia="zh-CN"/>
        </w:rPr>
        <w:t>一是</w:t>
      </w:r>
      <w:r>
        <w:rPr>
          <w:rFonts w:ascii="仿宋_GB2312" w:eastAsia="仿宋_GB2312" w:hAnsi="宋体" w:cs="宋体" w:hint="eastAsia"/>
          <w:sz w:val="32"/>
          <w:szCs w:val="32"/>
          <w:lang w:eastAsia="zh-CN"/>
        </w:rPr>
        <w:t>高度重视政府信息公开工作，建立主要领导</w:t>
      </w:r>
      <w:bookmarkStart w:id="1" w:name="hmcheck_d2d05e09d62d4ba69edd2acabaaf457c"/>
      <w:r>
        <w:rPr>
          <w:rFonts w:ascii="仿宋_GB2312" w:eastAsia="仿宋_GB2312" w:hAnsi="宋体" w:cs="宋体" w:hint="eastAsia"/>
          <w:sz w:val="32"/>
          <w:szCs w:val="32"/>
          <w:shd w:val="clear" w:color="auto" w:fill="FFFFFF"/>
          <w:lang w:eastAsia="zh-CN"/>
        </w:rPr>
        <w:t>抓</w:t>
      </w:r>
      <w:bookmarkEnd w:id="1"/>
      <w:r>
        <w:rPr>
          <w:rFonts w:ascii="仿宋_GB2312" w:eastAsia="仿宋_GB2312" w:hAnsi="宋体" w:cs="宋体" w:hint="eastAsia"/>
          <w:sz w:val="32"/>
          <w:szCs w:val="32"/>
          <w:lang w:eastAsia="zh-CN"/>
        </w:rPr>
        <w:t>，分管领导负责抓，办公室统筹抓，其他科室协调配合的政务公开工作机制。</w:t>
      </w:r>
      <w:r>
        <w:rPr>
          <w:rFonts w:ascii="仿宋_GB2312" w:eastAsia="仿宋_GB2312" w:hAnsi="宋体" w:cs="宋体" w:hint="eastAsia"/>
          <w:b/>
          <w:bCs/>
          <w:sz w:val="32"/>
          <w:szCs w:val="32"/>
          <w:lang w:eastAsia="zh-CN"/>
        </w:rPr>
        <w:t>二是</w:t>
      </w:r>
      <w:r>
        <w:rPr>
          <w:rFonts w:ascii="仿宋_GB2312" w:eastAsia="仿宋_GB2312" w:hAnsi="宋体" w:cs="宋体" w:hint="eastAsia"/>
          <w:sz w:val="32"/>
          <w:szCs w:val="32"/>
          <w:lang w:eastAsia="zh-CN"/>
        </w:rPr>
        <w:t>及时调整政府</w:t>
      </w:r>
      <w:r>
        <w:rPr>
          <w:rFonts w:ascii="仿宋_GB2312" w:eastAsia="仿宋_GB2312" w:hAnsi="宋体" w:cs="宋体" w:hint="eastAsia"/>
          <w:sz w:val="32"/>
          <w:szCs w:val="32"/>
          <w:shd w:val="clear" w:color="auto" w:fill="FFFFFF"/>
          <w:lang w:eastAsia="zh-CN"/>
        </w:rPr>
        <w:t>信息公开</w:t>
      </w:r>
      <w:r>
        <w:rPr>
          <w:rFonts w:ascii="仿宋_GB2312" w:eastAsia="仿宋_GB2312" w:hAnsi="宋体" w:cs="宋体" w:hint="eastAsia"/>
          <w:sz w:val="32"/>
          <w:szCs w:val="32"/>
          <w:lang w:eastAsia="zh-CN"/>
        </w:rPr>
        <w:t>指南和公开目录，并不断细化调整目录的条目。</w:t>
      </w:r>
      <w:r>
        <w:rPr>
          <w:rFonts w:ascii="仿宋_GB2312" w:eastAsia="仿宋_GB2312" w:hAnsi="宋体" w:cs="宋体" w:hint="eastAsia"/>
          <w:b/>
          <w:bCs/>
          <w:sz w:val="32"/>
          <w:szCs w:val="32"/>
          <w:lang w:eastAsia="zh-CN"/>
        </w:rPr>
        <w:t>三是</w:t>
      </w:r>
      <w:r>
        <w:rPr>
          <w:rFonts w:ascii="仿宋_GB2312" w:eastAsia="仿宋_GB2312" w:hAnsi="宋体" w:cs="宋体" w:hint="eastAsia"/>
          <w:sz w:val="32"/>
          <w:szCs w:val="32"/>
          <w:lang w:eastAsia="zh-CN"/>
        </w:rPr>
        <w:t>定期对单位政务公开栏信息公开情况进行督查，确保信息及时更新并接受广大人民群众监督。</w:t>
      </w:r>
    </w:p>
    <w:p>
      <w:pPr>
        <w:keepNext w:val="0"/>
        <w:keepLines w:val="0"/>
        <w:pageBreakBefore w:val="0"/>
        <w:kinsoku/>
        <w:wordWrap/>
        <w:overflowPunct/>
        <w:topLinePunct w:val="0"/>
        <w:autoSpaceDE/>
        <w:autoSpaceDN/>
        <w:bidi w:val="0"/>
        <w:adjustRightInd/>
        <w:snapToGrid/>
        <w:spacing w:line="560" w:lineRule="atLeast"/>
        <w:ind w:firstLine="640" w:firstLineChars="200"/>
        <w:jc w:val="left"/>
        <w:textAlignment w:val="auto"/>
        <w:rPr>
          <w:rFonts w:ascii="仿宋_GB2312" w:eastAsia="仿宋_GB2312" w:hAnsi="宋体" w:cs="宋体" w:hint="eastAsia"/>
          <w:sz w:val="32"/>
          <w:szCs w:val="32"/>
          <w:lang w:eastAsia="zh-CN"/>
        </w:rPr>
      </w:pPr>
      <w:r>
        <w:rPr>
          <w:rFonts w:ascii="楷体_GB2312" w:eastAsia="楷体_GB2312" w:hAnsi="楷体_GB2312" w:cs="楷体_GB2312" w:hint="eastAsia"/>
          <w:b/>
          <w:bCs/>
          <w:sz w:val="32"/>
          <w:szCs w:val="32"/>
          <w:lang w:eastAsia="zh-CN"/>
        </w:rPr>
        <w:t>（四）政府信息公开平台建设情况。</w:t>
      </w:r>
      <w:r>
        <w:rPr>
          <w:rFonts w:ascii="仿宋_GB2312" w:eastAsia="仿宋_GB2312" w:hAnsi="宋体" w:cs="宋体" w:hint="eastAsia"/>
          <w:sz w:val="32"/>
          <w:szCs w:val="32"/>
          <w:lang w:eastAsia="zh-CN"/>
        </w:rPr>
        <w:t>202</w:t>
      </w:r>
      <w:r>
        <w:rPr>
          <w:rFonts w:ascii="仿宋_GB2312" w:eastAsia="仿宋_GB2312" w:hAnsi="宋体" w:cs="宋体" w:hint="eastAsia"/>
          <w:sz w:val="32"/>
          <w:szCs w:val="32"/>
          <w:lang w:val="en-US" w:eastAsia="zh-CN"/>
        </w:rPr>
        <w:t>3</w:t>
      </w:r>
      <w:r>
        <w:rPr>
          <w:rFonts w:ascii="仿宋_GB2312" w:eastAsia="仿宋_GB2312" w:hAnsi="宋体" w:cs="宋体" w:hint="eastAsia"/>
          <w:sz w:val="32"/>
          <w:szCs w:val="32"/>
          <w:lang w:eastAsia="zh-CN"/>
        </w:rPr>
        <w:t>年度我</w:t>
      </w:r>
      <w:r>
        <w:rPr>
          <w:rFonts w:ascii="仿宋_GB2312" w:eastAsia="仿宋_GB2312" w:hAnsi="宋体" w:cs="宋体" w:hint="eastAsia"/>
          <w:sz w:val="32"/>
          <w:szCs w:val="32"/>
          <w:lang w:val="en-US" w:eastAsia="zh-CN"/>
        </w:rPr>
        <w:t>委</w:t>
      </w:r>
      <w:r>
        <w:rPr>
          <w:rFonts w:ascii="仿宋_GB2312" w:eastAsia="仿宋_GB2312" w:hAnsi="宋体" w:cs="宋体" w:hint="eastAsia"/>
          <w:sz w:val="32"/>
          <w:szCs w:val="32"/>
          <w:lang w:eastAsia="zh-CN"/>
        </w:rPr>
        <w:t>无新增平台建设，主要是通过单位公示栏和政府网站发布政府主动公开信息。</w:t>
      </w:r>
    </w:p>
    <w:p>
      <w:pPr>
        <w:keepNext w:val="0"/>
        <w:keepLines w:val="0"/>
        <w:pageBreakBefore w:val="0"/>
        <w:kinsoku/>
        <w:wordWrap/>
        <w:overflowPunct/>
        <w:topLinePunct w:val="0"/>
        <w:autoSpaceDE/>
        <w:autoSpaceDN/>
        <w:bidi w:val="0"/>
        <w:adjustRightInd/>
        <w:snapToGrid/>
        <w:spacing w:line="560" w:lineRule="atLeast"/>
        <w:ind w:firstLine="640" w:firstLineChars="200"/>
        <w:jc w:val="left"/>
        <w:textAlignment w:val="auto"/>
        <w:rPr>
          <w:rFonts w:ascii="仿宋_GB2312" w:eastAsia="仿宋_GB2312" w:hAnsi="宋体" w:cs="宋体" w:hint="eastAsia"/>
          <w:sz w:val="32"/>
          <w:szCs w:val="32"/>
          <w:lang w:eastAsia="zh-CN"/>
        </w:rPr>
      </w:pPr>
      <w:r>
        <w:rPr>
          <w:rFonts w:ascii="楷体_GB2312" w:eastAsia="楷体_GB2312" w:hAnsi="楷体_GB2312" w:cs="楷体_GB2312" w:hint="eastAsia"/>
          <w:b/>
          <w:bCs/>
          <w:sz w:val="32"/>
          <w:szCs w:val="32"/>
          <w:lang w:eastAsia="zh-CN"/>
        </w:rPr>
        <w:t>（5）监督保障情况。</w:t>
      </w:r>
      <w:r>
        <w:rPr>
          <w:rFonts w:ascii="仿宋_GB2312" w:eastAsia="仿宋_GB2312" w:hAnsi="宋体" w:cs="宋体" w:hint="eastAsia"/>
          <w:sz w:val="32"/>
          <w:szCs w:val="32"/>
          <w:lang w:eastAsia="zh-CN"/>
        </w:rPr>
        <w:t>202</w:t>
      </w:r>
      <w:r>
        <w:rPr>
          <w:rFonts w:ascii="仿宋_GB2312" w:eastAsia="仿宋_GB2312" w:hAnsi="宋体" w:cs="宋体" w:hint="eastAsia"/>
          <w:sz w:val="32"/>
          <w:szCs w:val="32"/>
          <w:lang w:val="en-US" w:eastAsia="zh-CN"/>
        </w:rPr>
        <w:t>3</w:t>
      </w:r>
      <w:r>
        <w:rPr>
          <w:rFonts w:ascii="仿宋_GB2312" w:eastAsia="仿宋_GB2312" w:hAnsi="宋体" w:cs="宋体" w:hint="eastAsia"/>
          <w:sz w:val="32"/>
          <w:szCs w:val="32"/>
          <w:lang w:eastAsia="zh-CN"/>
        </w:rPr>
        <w:t>年度我</w:t>
      </w:r>
      <w:r>
        <w:rPr>
          <w:rFonts w:ascii="仿宋_GB2312" w:eastAsia="仿宋_GB2312" w:hAnsi="宋体" w:cs="宋体" w:hint="eastAsia"/>
          <w:sz w:val="32"/>
          <w:szCs w:val="32"/>
          <w:lang w:val="en-US" w:eastAsia="zh-CN"/>
        </w:rPr>
        <w:t>委</w:t>
      </w:r>
      <w:r>
        <w:rPr>
          <w:rFonts w:ascii="仿宋_GB2312" w:eastAsia="仿宋_GB2312" w:hAnsi="宋体" w:cs="宋体" w:hint="eastAsia"/>
          <w:sz w:val="32"/>
          <w:szCs w:val="32"/>
          <w:lang w:eastAsia="zh-CN"/>
        </w:rPr>
        <w:t>认真落实各项信息公开要求，由各分管领导审核把关，各科室积极配合，</w:t>
      </w:r>
      <w:r>
        <w:rPr>
          <w:rFonts w:ascii="仿宋_GB2312" w:eastAsia="仿宋_GB2312" w:hAnsi="宋体" w:cs="宋体" w:hint="eastAsia"/>
          <w:sz w:val="32"/>
          <w:szCs w:val="32"/>
          <w:lang w:val="en-US" w:eastAsia="zh-CN"/>
        </w:rPr>
        <w:t>委</w:t>
      </w:r>
      <w:r>
        <w:rPr>
          <w:rFonts w:ascii="仿宋_GB2312" w:eastAsia="仿宋_GB2312" w:hAnsi="宋体" w:cs="宋体" w:hint="eastAsia"/>
          <w:sz w:val="32"/>
          <w:szCs w:val="32"/>
          <w:lang w:eastAsia="zh-CN"/>
        </w:rPr>
        <w:t>办公室指定专人严格按照三审三校的发文制度负责对信息公布，并定期对网站内容进行维护和更新，确保信息内容真实准确。</w:t>
      </w:r>
    </w:p>
    <w:p>
      <w:pPr>
        <w:spacing w:line="560" w:lineRule="exact"/>
        <w:ind w:firstLine="640" w:firstLineChars="200"/>
        <w:jc w:val="left"/>
        <w:rPr>
          <w:rFonts w:ascii="黑体" w:eastAsia="黑体" w:hAnsi="黑体" w:cs="宋体" w:hint="eastAsia"/>
          <w:sz w:val="32"/>
          <w:szCs w:val="32"/>
        </w:rPr>
      </w:pPr>
      <w:r>
        <w:rPr>
          <w:rFonts w:ascii="黑体" w:eastAsia="黑体" w:hAnsi="黑体" w:cs="宋体" w:hint="eastAsia"/>
          <w:sz w:val="32"/>
          <w:szCs w:val="32"/>
        </w:rPr>
        <w:t>二、主动公开政府信息情况</w:t>
      </w:r>
    </w:p>
    <w:tbl>
      <w:tblPr>
        <w:tblStyle w:val="TableNormal"/>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47"/>
        <w:gridCol w:w="2058"/>
        <w:gridCol w:w="1686"/>
        <w:gridCol w:w="1881"/>
      </w:tblGrid>
      <w:tr>
        <w:tblPrEx>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4"/>
          <w:jc w:val="center"/>
        </w:trPr>
        <w:tc>
          <w:tcPr>
            <w:tcW w:w="8472" w:type="dxa"/>
            <w:gridSpan w:val="4"/>
            <w:noWrap/>
            <w:vAlign w:val="top"/>
          </w:tcPr>
          <w:p>
            <w:pPr>
              <w:widowControl/>
              <w:spacing w:after="144" w:line="300" w:lineRule="exact"/>
              <w:jc w:val="center"/>
              <w:rPr>
                <w:sz w:val="24"/>
              </w:rPr>
            </w:pPr>
            <w:r>
              <w:rPr>
                <w:rFonts w:ascii="宋体" w:hAnsi="宋体" w:cs="宋体" w:hint="eastAsia"/>
                <w:kern w:val="0"/>
                <w:sz w:val="24"/>
                <w:lang w:bidi="ar"/>
              </w:rPr>
              <w:t>第二十条第（一）项</w:t>
            </w:r>
          </w:p>
        </w:tc>
      </w:tr>
      <w:tr>
        <w:tblPrEx>
          <w:tblW w:w="8472" w:type="dxa"/>
          <w:jc w:val="center"/>
          <w:tblLayout w:type="fixed"/>
          <w:tblCellMar>
            <w:top w:w="0" w:type="dxa"/>
            <w:left w:w="108" w:type="dxa"/>
            <w:bottom w:w="0" w:type="dxa"/>
            <w:right w:w="108" w:type="dxa"/>
          </w:tblCellMar>
        </w:tblPrEx>
        <w:trPr>
          <w:trHeight w:val="547"/>
          <w:jc w:val="center"/>
        </w:trPr>
        <w:tc>
          <w:tcPr>
            <w:tcW w:w="2847" w:type="dxa"/>
            <w:noWrap/>
            <w:vAlign w:val="top"/>
          </w:tcPr>
          <w:p>
            <w:pPr>
              <w:widowControl/>
              <w:spacing w:after="144" w:line="300" w:lineRule="exact"/>
              <w:jc w:val="center"/>
              <w:rPr>
                <w:sz w:val="24"/>
              </w:rPr>
            </w:pPr>
            <w:r>
              <w:rPr>
                <w:rFonts w:ascii="宋体" w:hAnsi="宋体" w:cs="宋体" w:hint="eastAsia"/>
                <w:kern w:val="0"/>
                <w:sz w:val="24"/>
                <w:lang w:bidi="ar"/>
              </w:rPr>
              <w:t>信息内容</w:t>
            </w:r>
          </w:p>
        </w:tc>
        <w:tc>
          <w:tcPr>
            <w:tcW w:w="2058" w:type="dxa"/>
            <w:noWrap/>
            <w:vAlign w:val="top"/>
          </w:tcPr>
          <w:p>
            <w:pPr>
              <w:widowControl/>
              <w:spacing w:after="144" w:line="300" w:lineRule="exact"/>
              <w:jc w:val="center"/>
              <w:rPr>
                <w:rFonts w:eastAsia="宋体" w:hint="eastAsia"/>
                <w:sz w:val="24"/>
                <w:lang w:eastAsia="zh-CN"/>
              </w:rPr>
            </w:pPr>
            <w:r>
              <w:rPr>
                <w:rFonts w:ascii="宋体" w:hAnsi="宋体" w:cs="宋体" w:hint="eastAsia"/>
                <w:kern w:val="0"/>
                <w:sz w:val="24"/>
                <w:lang w:bidi="ar"/>
              </w:rPr>
              <w:t>本年</w:t>
            </w:r>
            <w:r>
              <w:rPr>
                <w:kern w:val="0"/>
                <w:sz w:val="24"/>
                <w:lang w:bidi="ar"/>
              </w:rPr>
              <w:t>制</w:t>
            </w:r>
            <w:r>
              <w:rPr>
                <w:rFonts w:hint="eastAsia"/>
                <w:kern w:val="0"/>
                <w:sz w:val="24"/>
                <w:lang w:eastAsia="zh-CN" w:bidi="ar"/>
              </w:rPr>
              <w:t>发件数</w:t>
            </w:r>
          </w:p>
        </w:tc>
        <w:tc>
          <w:tcPr>
            <w:tcW w:w="1686" w:type="dxa"/>
            <w:noWrap w:val="0"/>
            <w:vAlign w:val="top"/>
          </w:tcPr>
          <w:p>
            <w:pPr>
              <w:widowControl/>
              <w:spacing w:after="144" w:line="300" w:lineRule="exact"/>
              <w:jc w:val="center"/>
              <w:rPr>
                <w:rFonts w:eastAsia="宋体" w:hint="eastAsia"/>
                <w:sz w:val="24"/>
                <w:lang w:eastAsia="zh-CN"/>
              </w:rPr>
            </w:pPr>
            <w:r>
              <w:rPr>
                <w:rFonts w:ascii="宋体" w:hAnsi="宋体" w:cs="宋体" w:hint="eastAsia"/>
                <w:kern w:val="0"/>
                <w:sz w:val="24"/>
                <w:lang w:bidi="ar"/>
              </w:rPr>
              <w:t>本年</w:t>
            </w:r>
            <w:r>
              <w:rPr>
                <w:rFonts w:ascii="宋体" w:hAnsi="宋体" w:cs="宋体" w:hint="eastAsia"/>
                <w:kern w:val="0"/>
                <w:sz w:val="24"/>
                <w:lang w:eastAsia="zh-CN" w:bidi="ar"/>
              </w:rPr>
              <w:t>废止件数</w:t>
            </w:r>
          </w:p>
        </w:tc>
        <w:tc>
          <w:tcPr>
            <w:tcW w:w="1881" w:type="dxa"/>
            <w:noWrap/>
            <w:vAlign w:val="top"/>
          </w:tcPr>
          <w:p>
            <w:pPr>
              <w:widowControl/>
              <w:spacing w:after="144" w:line="300" w:lineRule="exact"/>
              <w:jc w:val="center"/>
              <w:rPr>
                <w:rFonts w:eastAsia="宋体" w:hint="eastAsia"/>
                <w:sz w:val="24"/>
                <w:lang w:eastAsia="zh-CN"/>
              </w:rPr>
            </w:pPr>
            <w:r>
              <w:rPr>
                <w:rFonts w:hint="eastAsia"/>
                <w:sz w:val="24"/>
                <w:lang w:eastAsia="zh-CN"/>
              </w:rPr>
              <w:t>现行有效件数</w:t>
            </w:r>
          </w:p>
        </w:tc>
      </w:tr>
      <w:tr>
        <w:tblPrEx>
          <w:tblW w:w="8472" w:type="dxa"/>
          <w:jc w:val="center"/>
          <w:tblLayout w:type="fixed"/>
          <w:tblCellMar>
            <w:top w:w="0" w:type="dxa"/>
            <w:left w:w="108" w:type="dxa"/>
            <w:bottom w:w="0" w:type="dxa"/>
            <w:right w:w="108" w:type="dxa"/>
          </w:tblCellMar>
        </w:tblPrEx>
        <w:trPr>
          <w:trHeight w:val="345"/>
          <w:jc w:val="center"/>
        </w:trPr>
        <w:tc>
          <w:tcPr>
            <w:tcW w:w="2847" w:type="dxa"/>
            <w:noWrap/>
            <w:vAlign w:val="top"/>
          </w:tcPr>
          <w:p>
            <w:pPr>
              <w:widowControl/>
              <w:spacing w:after="144" w:line="300" w:lineRule="exact"/>
              <w:jc w:val="left"/>
              <w:rPr>
                <w:sz w:val="24"/>
              </w:rPr>
            </w:pPr>
            <w:r>
              <w:rPr>
                <w:rFonts w:ascii="宋体" w:hAnsi="宋体" w:cs="宋体" w:hint="eastAsia"/>
                <w:kern w:val="0"/>
                <w:sz w:val="24"/>
                <w:lang w:bidi="ar"/>
              </w:rPr>
              <w:t>规章</w:t>
            </w:r>
          </w:p>
        </w:tc>
        <w:tc>
          <w:tcPr>
            <w:tcW w:w="2058" w:type="dxa"/>
            <w:noWrap/>
            <w:vAlign w:val="top"/>
          </w:tcPr>
          <w:p>
            <w:pPr>
              <w:widowControl/>
              <w:spacing w:after="144" w:line="300" w:lineRule="exact"/>
              <w:jc w:val="center"/>
              <w:rPr>
                <w:rFonts w:eastAsia="宋体" w:hint="eastAsia"/>
                <w:sz w:val="24"/>
                <w:lang w:val="en-US" w:eastAsia="zh-CN"/>
              </w:rPr>
            </w:pPr>
            <w:r>
              <w:rPr>
                <w:rFonts w:hint="eastAsia"/>
                <w:sz w:val="24"/>
                <w:lang w:val="en-US" w:eastAsia="zh-CN"/>
              </w:rPr>
              <w:t>0</w:t>
            </w:r>
          </w:p>
        </w:tc>
        <w:tc>
          <w:tcPr>
            <w:tcW w:w="1686" w:type="dxa"/>
            <w:noWrap w:val="0"/>
            <w:vAlign w:val="top"/>
          </w:tcPr>
          <w:p>
            <w:pPr>
              <w:widowControl/>
              <w:spacing w:after="144" w:line="300" w:lineRule="exact"/>
              <w:jc w:val="center"/>
              <w:rPr>
                <w:rFonts w:eastAsia="宋体" w:hint="eastAsia"/>
                <w:sz w:val="24"/>
                <w:lang w:val="en-US" w:eastAsia="zh-CN"/>
              </w:rPr>
            </w:pPr>
            <w:r>
              <w:rPr>
                <w:rFonts w:hint="eastAsia"/>
                <w:sz w:val="24"/>
                <w:lang w:val="en-US" w:eastAsia="zh-CN"/>
              </w:rPr>
              <w:t>0</w:t>
            </w:r>
          </w:p>
        </w:tc>
        <w:tc>
          <w:tcPr>
            <w:tcW w:w="1881" w:type="dxa"/>
            <w:noWrap/>
            <w:vAlign w:val="top"/>
          </w:tcPr>
          <w:p>
            <w:pPr>
              <w:widowControl/>
              <w:spacing w:after="144" w:line="300" w:lineRule="exact"/>
              <w:jc w:val="center"/>
              <w:rPr>
                <w:rFonts w:eastAsia="宋体" w:hint="eastAsia"/>
                <w:sz w:val="24"/>
                <w:lang w:val="en-US" w:eastAsia="zh-CN"/>
              </w:rPr>
            </w:pPr>
            <w:r>
              <w:rPr>
                <w:rFonts w:hint="eastAsia"/>
                <w:sz w:val="24"/>
                <w:lang w:val="en-US" w:eastAsia="zh-CN"/>
              </w:rPr>
              <w:t>0</w:t>
            </w:r>
          </w:p>
        </w:tc>
      </w:tr>
      <w:tr>
        <w:tblPrEx>
          <w:tblW w:w="8472" w:type="dxa"/>
          <w:jc w:val="center"/>
          <w:tblLayout w:type="fixed"/>
          <w:tblCellMar>
            <w:top w:w="0" w:type="dxa"/>
            <w:left w:w="108" w:type="dxa"/>
            <w:bottom w:w="0" w:type="dxa"/>
            <w:right w:w="108" w:type="dxa"/>
          </w:tblCellMar>
        </w:tblPrEx>
        <w:trPr>
          <w:trHeight w:val="182"/>
          <w:jc w:val="center"/>
        </w:trPr>
        <w:tc>
          <w:tcPr>
            <w:tcW w:w="2847" w:type="dxa"/>
            <w:noWrap/>
            <w:vAlign w:val="top"/>
          </w:tcPr>
          <w:p>
            <w:pPr>
              <w:widowControl/>
              <w:spacing w:after="144" w:line="300" w:lineRule="exact"/>
              <w:jc w:val="left"/>
              <w:rPr>
                <w:sz w:val="24"/>
              </w:rPr>
            </w:pPr>
            <w:r>
              <w:rPr>
                <w:rFonts w:ascii="宋体" w:hAnsi="宋体" w:cs="宋体" w:hint="eastAsia"/>
                <w:kern w:val="0"/>
                <w:sz w:val="24"/>
                <w:lang w:bidi="ar"/>
              </w:rPr>
              <w:t>规范性文件</w:t>
            </w:r>
          </w:p>
        </w:tc>
        <w:tc>
          <w:tcPr>
            <w:tcW w:w="2058" w:type="dxa"/>
            <w:noWrap/>
            <w:vAlign w:val="top"/>
          </w:tcPr>
          <w:p>
            <w:pPr>
              <w:widowControl/>
              <w:spacing w:after="144" w:line="300" w:lineRule="exact"/>
              <w:jc w:val="center"/>
              <w:rPr>
                <w:rFonts w:eastAsia="宋体" w:hint="eastAsia"/>
                <w:sz w:val="24"/>
                <w:lang w:val="en-US" w:eastAsia="zh-CN"/>
              </w:rPr>
            </w:pPr>
            <w:r>
              <w:rPr>
                <w:rFonts w:hint="eastAsia"/>
                <w:sz w:val="24"/>
                <w:lang w:val="en-US" w:eastAsia="zh-CN"/>
              </w:rPr>
              <w:t>0</w:t>
            </w:r>
          </w:p>
        </w:tc>
        <w:tc>
          <w:tcPr>
            <w:tcW w:w="1686" w:type="dxa"/>
            <w:noWrap w:val="0"/>
            <w:vAlign w:val="top"/>
          </w:tcPr>
          <w:p>
            <w:pPr>
              <w:widowControl/>
              <w:spacing w:after="144" w:line="300" w:lineRule="exact"/>
              <w:jc w:val="center"/>
              <w:rPr>
                <w:rFonts w:eastAsia="宋体" w:hint="eastAsia"/>
                <w:sz w:val="24"/>
                <w:lang w:val="en-US" w:eastAsia="zh-CN"/>
              </w:rPr>
            </w:pPr>
            <w:r>
              <w:rPr>
                <w:rFonts w:hint="eastAsia"/>
                <w:sz w:val="24"/>
                <w:lang w:val="en-US" w:eastAsia="zh-CN"/>
              </w:rPr>
              <w:t>0</w:t>
            </w:r>
          </w:p>
        </w:tc>
        <w:tc>
          <w:tcPr>
            <w:tcW w:w="1881" w:type="dxa"/>
            <w:noWrap/>
            <w:vAlign w:val="top"/>
          </w:tcPr>
          <w:p>
            <w:pPr>
              <w:widowControl/>
              <w:spacing w:after="144" w:line="300" w:lineRule="exact"/>
              <w:jc w:val="center"/>
              <w:rPr>
                <w:rFonts w:eastAsia="宋体" w:hint="eastAsia"/>
                <w:sz w:val="24"/>
                <w:lang w:val="en-US" w:eastAsia="zh-CN"/>
              </w:rPr>
            </w:pPr>
            <w:r>
              <w:rPr>
                <w:rFonts w:hint="eastAsia"/>
                <w:sz w:val="24"/>
                <w:lang w:val="en-US" w:eastAsia="zh-CN"/>
              </w:rPr>
              <w:t>0</w:t>
            </w:r>
          </w:p>
        </w:tc>
      </w:tr>
      <w:tr>
        <w:tblPrEx>
          <w:tblW w:w="8472" w:type="dxa"/>
          <w:jc w:val="center"/>
          <w:tblLayout w:type="fixed"/>
          <w:tblCellMar>
            <w:top w:w="0" w:type="dxa"/>
            <w:left w:w="108" w:type="dxa"/>
            <w:bottom w:w="0" w:type="dxa"/>
            <w:right w:w="108" w:type="dxa"/>
          </w:tblCellMar>
        </w:tblPrEx>
        <w:trPr>
          <w:trHeight w:val="480"/>
          <w:jc w:val="center"/>
        </w:trPr>
        <w:tc>
          <w:tcPr>
            <w:tcW w:w="8472" w:type="dxa"/>
            <w:gridSpan w:val="4"/>
            <w:noWrap/>
            <w:vAlign w:val="top"/>
          </w:tcPr>
          <w:p>
            <w:pPr>
              <w:widowControl/>
              <w:spacing w:after="144" w:line="300" w:lineRule="exact"/>
              <w:jc w:val="center"/>
              <w:rPr>
                <w:sz w:val="24"/>
              </w:rPr>
            </w:pPr>
            <w:r>
              <w:rPr>
                <w:rFonts w:ascii="宋体" w:hAnsi="宋体" w:cs="宋体" w:hint="eastAsia"/>
                <w:kern w:val="0"/>
                <w:sz w:val="24"/>
                <w:lang w:bidi="ar"/>
              </w:rPr>
              <w:t>第二十条第（五）项</w:t>
            </w:r>
          </w:p>
        </w:tc>
      </w:tr>
      <w:tr>
        <w:tblPrEx>
          <w:tblW w:w="8472" w:type="dxa"/>
          <w:jc w:val="center"/>
          <w:tblLayout w:type="fixed"/>
          <w:tblCellMar>
            <w:top w:w="0" w:type="dxa"/>
            <w:left w:w="108" w:type="dxa"/>
            <w:bottom w:w="0" w:type="dxa"/>
            <w:right w:w="108" w:type="dxa"/>
          </w:tblCellMar>
        </w:tblPrEx>
        <w:trPr>
          <w:trHeight w:val="54"/>
          <w:jc w:val="center"/>
        </w:trPr>
        <w:tc>
          <w:tcPr>
            <w:tcW w:w="2847" w:type="dxa"/>
            <w:noWrap/>
            <w:vAlign w:val="top"/>
          </w:tcPr>
          <w:p>
            <w:pPr>
              <w:widowControl/>
              <w:spacing w:after="144" w:line="300" w:lineRule="exact"/>
              <w:jc w:val="center"/>
              <w:rPr>
                <w:sz w:val="24"/>
              </w:rPr>
            </w:pPr>
            <w:r>
              <w:rPr>
                <w:rFonts w:ascii="宋体" w:hAnsi="宋体" w:cs="宋体" w:hint="eastAsia"/>
                <w:kern w:val="0"/>
                <w:sz w:val="24"/>
                <w:lang w:bidi="ar"/>
              </w:rPr>
              <w:t>信息内容</w:t>
            </w:r>
          </w:p>
        </w:tc>
        <w:tc>
          <w:tcPr>
            <w:tcW w:w="5625" w:type="dxa"/>
            <w:gridSpan w:val="3"/>
            <w:noWrap/>
            <w:vAlign w:val="top"/>
          </w:tcPr>
          <w:p>
            <w:pPr>
              <w:widowControl/>
              <w:spacing w:after="144" w:line="300" w:lineRule="exact"/>
              <w:jc w:val="center"/>
              <w:rPr>
                <w:rFonts w:eastAsia="宋体" w:hint="eastAsia"/>
                <w:sz w:val="24"/>
                <w:lang w:eastAsia="zh-CN"/>
              </w:rPr>
            </w:pPr>
            <w:r>
              <w:rPr>
                <w:rFonts w:hint="eastAsia"/>
                <w:sz w:val="24"/>
                <w:lang w:eastAsia="zh-CN"/>
              </w:rPr>
              <w:t>本年处理决定数量</w:t>
            </w:r>
          </w:p>
        </w:tc>
      </w:tr>
      <w:tr>
        <w:tblPrEx>
          <w:tblW w:w="8472" w:type="dxa"/>
          <w:jc w:val="center"/>
          <w:tblLayout w:type="fixed"/>
          <w:tblCellMar>
            <w:top w:w="0" w:type="dxa"/>
            <w:left w:w="108" w:type="dxa"/>
            <w:bottom w:w="0" w:type="dxa"/>
            <w:right w:w="108" w:type="dxa"/>
          </w:tblCellMar>
        </w:tblPrEx>
        <w:trPr>
          <w:trHeight w:val="174"/>
          <w:jc w:val="center"/>
        </w:trPr>
        <w:tc>
          <w:tcPr>
            <w:tcW w:w="2847" w:type="dxa"/>
            <w:noWrap/>
            <w:vAlign w:val="top"/>
          </w:tcPr>
          <w:p>
            <w:pPr>
              <w:widowControl/>
              <w:spacing w:after="144" w:line="300" w:lineRule="exact"/>
              <w:jc w:val="left"/>
              <w:rPr>
                <w:sz w:val="24"/>
              </w:rPr>
            </w:pPr>
            <w:r>
              <w:rPr>
                <w:rFonts w:ascii="宋体" w:hAnsi="宋体" w:cs="宋体" w:hint="eastAsia"/>
                <w:kern w:val="0"/>
                <w:sz w:val="24"/>
                <w:lang w:bidi="ar"/>
              </w:rPr>
              <w:t>行政许可</w:t>
            </w:r>
          </w:p>
        </w:tc>
        <w:tc>
          <w:tcPr>
            <w:tcW w:w="5625" w:type="dxa"/>
            <w:gridSpan w:val="3"/>
            <w:noWrap/>
            <w:vAlign w:val="top"/>
          </w:tcPr>
          <w:p>
            <w:pPr>
              <w:widowControl/>
              <w:spacing w:after="144" w:line="300" w:lineRule="exact"/>
              <w:jc w:val="center"/>
              <w:rPr>
                <w:rFonts w:eastAsia="宋体" w:hint="eastAsia"/>
                <w:sz w:val="24"/>
                <w:lang w:val="en-US" w:eastAsia="zh-CN"/>
              </w:rPr>
            </w:pPr>
            <w:r>
              <w:rPr>
                <w:rFonts w:hint="eastAsia"/>
                <w:sz w:val="24"/>
                <w:lang w:val="en-US" w:eastAsia="zh-CN"/>
              </w:rPr>
              <w:t>0</w:t>
            </w:r>
          </w:p>
        </w:tc>
      </w:tr>
      <w:tr>
        <w:tblPrEx>
          <w:tblW w:w="8472" w:type="dxa"/>
          <w:jc w:val="center"/>
          <w:tblLayout w:type="fixed"/>
          <w:tblCellMar>
            <w:top w:w="0" w:type="dxa"/>
            <w:left w:w="108" w:type="dxa"/>
            <w:bottom w:w="0" w:type="dxa"/>
            <w:right w:w="108" w:type="dxa"/>
          </w:tblCellMar>
        </w:tblPrEx>
        <w:trPr>
          <w:trHeight w:val="406"/>
          <w:jc w:val="center"/>
        </w:trPr>
        <w:tc>
          <w:tcPr>
            <w:tcW w:w="8472" w:type="dxa"/>
            <w:gridSpan w:val="4"/>
            <w:noWrap/>
            <w:vAlign w:val="top"/>
          </w:tcPr>
          <w:p>
            <w:pPr>
              <w:widowControl/>
              <w:spacing w:after="144" w:line="300" w:lineRule="exact"/>
              <w:jc w:val="center"/>
              <w:rPr>
                <w:sz w:val="24"/>
              </w:rPr>
            </w:pPr>
            <w:r>
              <w:rPr>
                <w:rFonts w:ascii="宋体" w:hAnsi="宋体" w:cs="宋体" w:hint="eastAsia"/>
                <w:kern w:val="0"/>
                <w:sz w:val="24"/>
                <w:lang w:bidi="ar"/>
              </w:rPr>
              <w:t>第二十条第（六）项</w:t>
            </w:r>
          </w:p>
        </w:tc>
      </w:tr>
      <w:tr>
        <w:tblPrEx>
          <w:tblW w:w="8472" w:type="dxa"/>
          <w:jc w:val="center"/>
          <w:tblLayout w:type="fixed"/>
          <w:tblCellMar>
            <w:top w:w="0" w:type="dxa"/>
            <w:left w:w="108" w:type="dxa"/>
            <w:bottom w:w="0" w:type="dxa"/>
            <w:right w:w="108" w:type="dxa"/>
          </w:tblCellMar>
        </w:tblPrEx>
        <w:trPr>
          <w:trHeight w:val="317"/>
          <w:jc w:val="center"/>
        </w:trPr>
        <w:tc>
          <w:tcPr>
            <w:tcW w:w="2847" w:type="dxa"/>
            <w:noWrap/>
            <w:vAlign w:val="top"/>
          </w:tcPr>
          <w:p>
            <w:pPr>
              <w:widowControl/>
              <w:spacing w:after="144" w:line="300" w:lineRule="exact"/>
              <w:jc w:val="center"/>
              <w:rPr>
                <w:sz w:val="24"/>
              </w:rPr>
            </w:pPr>
            <w:r>
              <w:rPr>
                <w:rFonts w:ascii="宋体" w:hAnsi="宋体" w:cs="宋体" w:hint="eastAsia"/>
                <w:kern w:val="0"/>
                <w:sz w:val="24"/>
                <w:lang w:bidi="ar"/>
              </w:rPr>
              <w:t>信息内容</w:t>
            </w:r>
          </w:p>
        </w:tc>
        <w:tc>
          <w:tcPr>
            <w:tcW w:w="5625" w:type="dxa"/>
            <w:gridSpan w:val="3"/>
            <w:noWrap/>
            <w:vAlign w:val="top"/>
          </w:tcPr>
          <w:p>
            <w:pPr>
              <w:widowControl/>
              <w:spacing w:after="144" w:line="300" w:lineRule="exact"/>
              <w:jc w:val="center"/>
              <w:rPr>
                <w:sz w:val="24"/>
              </w:rPr>
            </w:pPr>
            <w:r>
              <w:rPr>
                <w:rFonts w:hint="eastAsia"/>
                <w:sz w:val="24"/>
                <w:lang w:eastAsia="zh-CN"/>
              </w:rPr>
              <w:t>本年处理决定数量</w:t>
            </w:r>
          </w:p>
        </w:tc>
      </w:tr>
      <w:tr>
        <w:tblPrEx>
          <w:tblW w:w="8472" w:type="dxa"/>
          <w:jc w:val="center"/>
          <w:tblLayout w:type="fixed"/>
          <w:tblCellMar>
            <w:top w:w="0" w:type="dxa"/>
            <w:left w:w="108" w:type="dxa"/>
            <w:bottom w:w="0" w:type="dxa"/>
            <w:right w:w="108" w:type="dxa"/>
          </w:tblCellMar>
        </w:tblPrEx>
        <w:trPr>
          <w:trHeight w:val="430"/>
          <w:jc w:val="center"/>
        </w:trPr>
        <w:tc>
          <w:tcPr>
            <w:tcW w:w="2847" w:type="dxa"/>
            <w:noWrap/>
            <w:vAlign w:val="top"/>
          </w:tcPr>
          <w:p>
            <w:pPr>
              <w:widowControl/>
              <w:spacing w:after="144" w:line="300" w:lineRule="exact"/>
              <w:jc w:val="left"/>
              <w:rPr>
                <w:sz w:val="24"/>
              </w:rPr>
            </w:pPr>
            <w:r>
              <w:rPr>
                <w:rFonts w:ascii="宋体" w:hAnsi="宋体" w:cs="宋体" w:hint="eastAsia"/>
                <w:kern w:val="0"/>
                <w:sz w:val="24"/>
                <w:lang w:bidi="ar"/>
              </w:rPr>
              <w:t>行政处罚</w:t>
            </w:r>
          </w:p>
        </w:tc>
        <w:tc>
          <w:tcPr>
            <w:tcW w:w="5625" w:type="dxa"/>
            <w:gridSpan w:val="3"/>
            <w:noWrap/>
            <w:vAlign w:val="top"/>
          </w:tcPr>
          <w:p>
            <w:pPr>
              <w:widowControl/>
              <w:spacing w:after="144" w:line="300" w:lineRule="exact"/>
              <w:jc w:val="center"/>
              <w:rPr>
                <w:rFonts w:eastAsia="宋体" w:hint="default"/>
                <w:sz w:val="24"/>
                <w:lang w:val="en-US" w:eastAsia="zh-CN"/>
              </w:rPr>
            </w:pPr>
            <w:r>
              <w:rPr>
                <w:rFonts w:hint="eastAsia"/>
                <w:sz w:val="24"/>
                <w:lang w:val="en-US" w:eastAsia="zh-CN"/>
              </w:rPr>
              <w:t>12</w:t>
            </w:r>
          </w:p>
        </w:tc>
      </w:tr>
      <w:tr>
        <w:tblPrEx>
          <w:tblW w:w="8472" w:type="dxa"/>
          <w:jc w:val="center"/>
          <w:tblLayout w:type="fixed"/>
          <w:tblCellMar>
            <w:top w:w="0" w:type="dxa"/>
            <w:left w:w="108" w:type="dxa"/>
            <w:bottom w:w="0" w:type="dxa"/>
            <w:right w:w="108" w:type="dxa"/>
          </w:tblCellMar>
        </w:tblPrEx>
        <w:trPr>
          <w:trHeight w:val="250"/>
          <w:jc w:val="center"/>
        </w:trPr>
        <w:tc>
          <w:tcPr>
            <w:tcW w:w="2847" w:type="dxa"/>
            <w:noWrap/>
            <w:vAlign w:val="top"/>
          </w:tcPr>
          <w:p>
            <w:pPr>
              <w:widowControl/>
              <w:spacing w:after="144" w:line="300" w:lineRule="exact"/>
              <w:jc w:val="left"/>
              <w:rPr>
                <w:sz w:val="24"/>
              </w:rPr>
            </w:pPr>
            <w:r>
              <w:rPr>
                <w:rFonts w:ascii="宋体" w:hAnsi="宋体" w:cs="宋体" w:hint="eastAsia"/>
                <w:kern w:val="0"/>
                <w:sz w:val="24"/>
                <w:lang w:bidi="ar"/>
              </w:rPr>
              <w:t>行政强制</w:t>
            </w:r>
          </w:p>
        </w:tc>
        <w:tc>
          <w:tcPr>
            <w:tcW w:w="5625" w:type="dxa"/>
            <w:gridSpan w:val="3"/>
            <w:noWrap/>
            <w:vAlign w:val="top"/>
          </w:tcPr>
          <w:p>
            <w:pPr>
              <w:widowControl/>
              <w:spacing w:after="144" w:line="300" w:lineRule="exact"/>
              <w:jc w:val="center"/>
              <w:rPr>
                <w:rFonts w:eastAsia="宋体" w:hint="eastAsia"/>
                <w:sz w:val="24"/>
                <w:lang w:val="en-US" w:eastAsia="zh-CN"/>
              </w:rPr>
            </w:pPr>
            <w:r>
              <w:rPr>
                <w:rFonts w:hint="eastAsia"/>
                <w:sz w:val="24"/>
                <w:lang w:val="en-US" w:eastAsia="zh-CN"/>
              </w:rPr>
              <w:t>0</w:t>
            </w:r>
          </w:p>
        </w:tc>
      </w:tr>
      <w:tr>
        <w:tblPrEx>
          <w:tblW w:w="8472" w:type="dxa"/>
          <w:jc w:val="center"/>
          <w:tblLayout w:type="fixed"/>
          <w:tblCellMar>
            <w:top w:w="0" w:type="dxa"/>
            <w:left w:w="108" w:type="dxa"/>
            <w:bottom w:w="0" w:type="dxa"/>
            <w:right w:w="108" w:type="dxa"/>
          </w:tblCellMar>
        </w:tblPrEx>
        <w:trPr>
          <w:trHeight w:val="474"/>
          <w:jc w:val="center"/>
        </w:trPr>
        <w:tc>
          <w:tcPr>
            <w:tcW w:w="8472" w:type="dxa"/>
            <w:gridSpan w:val="4"/>
            <w:noWrap/>
            <w:vAlign w:val="top"/>
          </w:tcPr>
          <w:p>
            <w:pPr>
              <w:widowControl/>
              <w:spacing w:after="144" w:line="300" w:lineRule="exact"/>
              <w:jc w:val="center"/>
              <w:rPr>
                <w:sz w:val="24"/>
              </w:rPr>
            </w:pPr>
            <w:r>
              <w:rPr>
                <w:rFonts w:ascii="宋体" w:hAnsi="宋体" w:cs="宋体" w:hint="eastAsia"/>
                <w:kern w:val="0"/>
                <w:sz w:val="24"/>
                <w:lang w:bidi="ar"/>
              </w:rPr>
              <w:t>第二十条第（八）项</w:t>
            </w:r>
          </w:p>
        </w:tc>
      </w:tr>
      <w:tr>
        <w:tblPrEx>
          <w:tblW w:w="8472" w:type="dxa"/>
          <w:jc w:val="center"/>
          <w:tblLayout w:type="fixed"/>
          <w:tblCellMar>
            <w:top w:w="0" w:type="dxa"/>
            <w:left w:w="108" w:type="dxa"/>
            <w:bottom w:w="0" w:type="dxa"/>
            <w:right w:w="108" w:type="dxa"/>
          </w:tblCellMar>
        </w:tblPrEx>
        <w:trPr>
          <w:trHeight w:val="321"/>
          <w:jc w:val="center"/>
        </w:trPr>
        <w:tc>
          <w:tcPr>
            <w:tcW w:w="2847" w:type="dxa"/>
            <w:noWrap/>
            <w:vAlign w:val="top"/>
          </w:tcPr>
          <w:p>
            <w:pPr>
              <w:widowControl/>
              <w:spacing w:after="144" w:line="300" w:lineRule="exact"/>
              <w:jc w:val="center"/>
              <w:rPr>
                <w:sz w:val="24"/>
              </w:rPr>
            </w:pPr>
            <w:r>
              <w:rPr>
                <w:rFonts w:ascii="宋体" w:hAnsi="宋体" w:cs="宋体" w:hint="eastAsia"/>
                <w:kern w:val="0"/>
                <w:sz w:val="24"/>
                <w:lang w:bidi="ar"/>
              </w:rPr>
              <w:t>信息内容</w:t>
            </w:r>
          </w:p>
        </w:tc>
        <w:tc>
          <w:tcPr>
            <w:tcW w:w="5625" w:type="dxa"/>
            <w:gridSpan w:val="3"/>
            <w:noWrap/>
            <w:vAlign w:val="top"/>
          </w:tcPr>
          <w:p>
            <w:pPr>
              <w:widowControl/>
              <w:spacing w:after="144" w:line="300" w:lineRule="exact"/>
              <w:jc w:val="center"/>
              <w:rPr>
                <w:sz w:val="24"/>
              </w:rPr>
            </w:pPr>
            <w:r>
              <w:rPr>
                <w:rFonts w:hint="eastAsia"/>
                <w:sz w:val="24"/>
                <w:lang w:eastAsia="zh-CN"/>
              </w:rPr>
              <w:t>本年收费金额（单位：万元）</w:t>
            </w:r>
          </w:p>
        </w:tc>
      </w:tr>
      <w:tr>
        <w:tblPrEx>
          <w:tblW w:w="8472" w:type="dxa"/>
          <w:jc w:val="center"/>
          <w:tblLayout w:type="fixed"/>
          <w:tblCellMar>
            <w:top w:w="0" w:type="dxa"/>
            <w:left w:w="108" w:type="dxa"/>
            <w:bottom w:w="0" w:type="dxa"/>
            <w:right w:w="108" w:type="dxa"/>
          </w:tblCellMar>
        </w:tblPrEx>
        <w:trPr>
          <w:trHeight w:val="114"/>
          <w:jc w:val="center"/>
        </w:trPr>
        <w:tc>
          <w:tcPr>
            <w:tcW w:w="2847" w:type="dxa"/>
            <w:noWrap/>
            <w:vAlign w:val="top"/>
          </w:tcPr>
          <w:p>
            <w:pPr>
              <w:widowControl/>
              <w:spacing w:after="144" w:line="300" w:lineRule="exact"/>
              <w:jc w:val="left"/>
              <w:rPr>
                <w:sz w:val="24"/>
              </w:rPr>
            </w:pPr>
            <w:r>
              <w:rPr>
                <w:rFonts w:ascii="宋体" w:hAnsi="宋体" w:cs="宋体" w:hint="eastAsia"/>
                <w:kern w:val="0"/>
                <w:sz w:val="24"/>
                <w:lang w:bidi="ar"/>
              </w:rPr>
              <w:t>行政事业性收费</w:t>
            </w:r>
          </w:p>
        </w:tc>
        <w:tc>
          <w:tcPr>
            <w:tcW w:w="5625" w:type="dxa"/>
            <w:gridSpan w:val="3"/>
            <w:noWrap/>
            <w:vAlign w:val="top"/>
          </w:tcPr>
          <w:p>
            <w:pPr>
              <w:widowControl/>
              <w:spacing w:after="144" w:line="300" w:lineRule="exact"/>
              <w:jc w:val="center"/>
              <w:rPr>
                <w:rFonts w:eastAsia="宋体" w:hint="eastAsia"/>
                <w:sz w:val="24"/>
                <w:lang w:val="en-US" w:eastAsia="zh-CN"/>
              </w:rPr>
            </w:pPr>
            <w:r>
              <w:rPr>
                <w:rFonts w:hint="eastAsia"/>
                <w:sz w:val="24"/>
                <w:lang w:val="en-US" w:eastAsia="zh-CN"/>
              </w:rPr>
              <w:t>0</w:t>
            </w:r>
          </w:p>
        </w:tc>
      </w:tr>
    </w:tbl>
    <w:p>
      <w:pPr>
        <w:pStyle w:val="NormalWeb"/>
        <w:widowControl/>
        <w:spacing w:before="0" w:beforeAutospacing="0" w:after="0" w:afterAutospacing="0" w:line="560" w:lineRule="exact"/>
        <w:ind w:firstLine="640" w:firstLineChars="200"/>
        <w:jc w:val="both"/>
        <w:rPr>
          <w:rFonts w:ascii="黑体" w:eastAsia="黑体" w:hAnsi="黑体" w:cs="宋体" w:hint="eastAsia"/>
          <w:sz w:val="32"/>
          <w:szCs w:val="30"/>
        </w:rPr>
      </w:pPr>
      <w:r>
        <w:rPr>
          <w:rFonts w:ascii="黑体" w:eastAsia="黑体" w:hAnsi="黑体" w:cs="宋体" w:hint="eastAsia"/>
          <w:sz w:val="32"/>
          <w:szCs w:val="30"/>
        </w:rPr>
        <w:t>三、收到和处理政府信息公开申请情况</w:t>
      </w:r>
    </w:p>
    <w:tbl>
      <w:tblPr>
        <w:tblStyle w:val="TableNormal"/>
        <w:tblW w:w="8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696"/>
        <w:gridCol w:w="936"/>
        <w:gridCol w:w="2756"/>
        <w:gridCol w:w="456"/>
        <w:gridCol w:w="652"/>
        <w:gridCol w:w="656"/>
        <w:gridCol w:w="655"/>
        <w:gridCol w:w="656"/>
        <w:gridCol w:w="464"/>
        <w:gridCol w:w="456"/>
      </w:tblGrid>
      <w:tr>
        <w:tblPrEx>
          <w:tblW w:w="8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trHeight w:val="181"/>
          <w:jc w:val="center"/>
        </w:trPr>
        <w:tc>
          <w:tcPr>
            <w:tcW w:w="4388"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ascii="宋体" w:hAnsi="宋体" w:cs="宋体" w:hint="eastAsia"/>
                <w:kern w:val="0"/>
                <w:sz w:val="24"/>
                <w:lang w:bidi="ar"/>
              </w:rPr>
              <w:t>（本列数据的</w:t>
            </w:r>
            <w:bookmarkStart w:id="2" w:name="hmcheck_d23fa960324240ffb4392d3b38986509"/>
            <w:r>
              <w:rPr>
                <w:rFonts w:ascii="宋体" w:hAnsi="宋体" w:cs="宋体" w:hint="eastAsia"/>
                <w:kern w:val="0"/>
                <w:sz w:val="24"/>
                <w:shd w:val="clear" w:color="auto" w:fill="FFFFFF"/>
                <w:lang w:bidi="ar"/>
              </w:rPr>
              <w:t>勾稽</w:t>
            </w:r>
            <w:bookmarkEnd w:id="2"/>
            <w:r>
              <w:rPr>
                <w:rFonts w:ascii="宋体" w:hAnsi="宋体" w:cs="宋体" w:hint="eastAsia"/>
                <w:kern w:val="0"/>
                <w:sz w:val="24"/>
                <w:lang w:bidi="ar"/>
              </w:rPr>
              <w:t>关系为：第一项加第二项之和，等于第三项加第四项之和）</w:t>
            </w:r>
          </w:p>
        </w:tc>
        <w:tc>
          <w:tcPr>
            <w:tcW w:w="3995" w:type="dxa"/>
            <w:gridSpan w:val="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ascii="宋体" w:hAnsi="宋体" w:cs="宋体" w:hint="eastAsia"/>
                <w:kern w:val="0"/>
                <w:sz w:val="24"/>
                <w:lang w:bidi="ar"/>
              </w:rPr>
              <w:t>申请人情况</w:t>
            </w:r>
          </w:p>
        </w:tc>
      </w:tr>
      <w:tr>
        <w:tblPrEx>
          <w:tblW w:w="8383" w:type="dxa"/>
          <w:jc w:val="center"/>
          <w:tblLayout w:type="fixed"/>
          <w:tblCellMar>
            <w:top w:w="0" w:type="dxa"/>
            <w:left w:w="0" w:type="dxa"/>
            <w:bottom w:w="0" w:type="dxa"/>
            <w:right w:w="0" w:type="dxa"/>
          </w:tblCellMar>
        </w:tblPrEx>
        <w:trPr>
          <w:jc w:val="center"/>
        </w:trPr>
        <w:tc>
          <w:tcPr>
            <w:tcW w:w="4388" w:type="dxa"/>
            <w:gridSpan w:val="3"/>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45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ascii="宋体" w:hAnsi="宋体" w:cs="宋体" w:hint="eastAsia"/>
                <w:kern w:val="0"/>
                <w:sz w:val="24"/>
                <w:lang w:bidi="ar"/>
              </w:rPr>
              <w:t>自然人</w:t>
            </w:r>
          </w:p>
        </w:tc>
        <w:tc>
          <w:tcPr>
            <w:tcW w:w="3083"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ascii="宋体" w:hAnsi="宋体" w:cs="宋体" w:hint="eastAsia"/>
                <w:kern w:val="0"/>
                <w:sz w:val="24"/>
                <w:lang w:bidi="ar"/>
              </w:rPr>
              <w:t>法人或其他组织</w:t>
            </w:r>
          </w:p>
        </w:tc>
        <w:tc>
          <w:tcPr>
            <w:tcW w:w="45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ascii="宋体" w:hAnsi="宋体" w:cs="宋体" w:hint="eastAsia"/>
                <w:kern w:val="0"/>
                <w:sz w:val="24"/>
                <w:lang w:bidi="ar"/>
              </w:rPr>
              <w:t>总计</w:t>
            </w:r>
          </w:p>
        </w:tc>
      </w:tr>
      <w:tr>
        <w:tblPrEx>
          <w:tblW w:w="8383" w:type="dxa"/>
          <w:jc w:val="center"/>
          <w:tblLayout w:type="fixed"/>
          <w:tblCellMar>
            <w:top w:w="0" w:type="dxa"/>
            <w:left w:w="0" w:type="dxa"/>
            <w:bottom w:w="0" w:type="dxa"/>
            <w:right w:w="0" w:type="dxa"/>
          </w:tblCellMar>
        </w:tblPrEx>
        <w:trPr>
          <w:trHeight w:val="774"/>
          <w:jc w:val="center"/>
        </w:trPr>
        <w:tc>
          <w:tcPr>
            <w:tcW w:w="4388" w:type="dxa"/>
            <w:gridSpan w:val="3"/>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45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ascii="宋体" w:hAnsi="宋体" w:cs="宋体" w:hint="eastAsia"/>
                <w:kern w:val="0"/>
                <w:sz w:val="24"/>
                <w:lang w:bidi="ar"/>
              </w:rPr>
              <w:t>商业企业</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ascii="宋体" w:hAnsi="宋体" w:cs="宋体" w:hint="eastAsia"/>
                <w:kern w:val="0"/>
                <w:sz w:val="24"/>
                <w:lang w:bidi="ar"/>
              </w:rPr>
              <w:t>科研机构</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ascii="宋体" w:hAnsi="宋体" w:cs="宋体" w:hint="eastAsia"/>
                <w:kern w:val="0"/>
                <w:sz w:val="24"/>
                <w:lang w:bidi="ar"/>
              </w:rPr>
              <w:t>社会公益组织</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ascii="宋体" w:hAnsi="宋体" w:cs="宋体" w:hint="eastAsia"/>
                <w:kern w:val="0"/>
                <w:sz w:val="24"/>
                <w:lang w:bidi="ar"/>
              </w:rPr>
              <w:t>法律服务机构</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ascii="宋体" w:hAnsi="宋体" w:cs="宋体" w:hint="eastAsia"/>
                <w:kern w:val="0"/>
                <w:sz w:val="24"/>
                <w:lang w:bidi="ar"/>
              </w:rPr>
              <w:t>其他</w:t>
            </w:r>
          </w:p>
        </w:tc>
        <w:tc>
          <w:tcPr>
            <w:tcW w:w="45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r>
      <w:tr>
        <w:tblPrEx>
          <w:tblW w:w="8383" w:type="dxa"/>
          <w:jc w:val="center"/>
          <w:tblLayout w:type="fixed"/>
          <w:tblCellMar>
            <w:top w:w="0" w:type="dxa"/>
            <w:left w:w="0" w:type="dxa"/>
            <w:bottom w:w="0" w:type="dxa"/>
            <w:right w:w="0" w:type="dxa"/>
          </w:tblCellMar>
        </w:tblPrEx>
        <w:trPr>
          <w:trHeight w:val="357"/>
          <w:jc w:val="center"/>
        </w:trPr>
        <w:tc>
          <w:tcPr>
            <w:tcW w:w="4388"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sz w:val="24"/>
              </w:rPr>
            </w:pPr>
            <w:r>
              <w:rPr>
                <w:rFonts w:ascii="宋体" w:hAnsi="宋体" w:cs="宋体" w:hint="eastAsia"/>
                <w:kern w:val="0"/>
                <w:sz w:val="24"/>
                <w:lang w:bidi="ar"/>
              </w:rPr>
              <w:t>一、本年新收政府信息公开申请数量</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hint="eastAsia"/>
                <w:sz w:val="24"/>
                <w:lang w:val="en-US" w:eastAsia="zh-CN"/>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hint="eastAsia"/>
                <w:sz w:val="24"/>
                <w:lang w:val="en-US" w:eastAsia="zh-CN"/>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hint="eastAsia"/>
                <w:sz w:val="24"/>
                <w:lang w:val="en-US" w:eastAsia="zh-CN"/>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hint="eastAsia"/>
                <w:sz w:val="24"/>
                <w:lang w:val="en-US" w:eastAsia="zh-CN"/>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hint="eastAsia"/>
                <w:sz w:val="24"/>
                <w:lang w:val="en-US" w:eastAsia="zh-CN"/>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hint="eastAsia"/>
                <w:sz w:val="24"/>
                <w:lang w:val="en-US" w:eastAsia="zh-CN"/>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hint="eastAsia"/>
                <w:sz w:val="24"/>
                <w:lang w:val="en-US" w:eastAsia="zh-CN"/>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trHeight w:val="400"/>
          <w:jc w:val="center"/>
        </w:trPr>
        <w:tc>
          <w:tcPr>
            <w:tcW w:w="4388"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sz w:val="24"/>
              </w:rPr>
            </w:pPr>
            <w:r>
              <w:rPr>
                <w:rFonts w:ascii="宋体" w:hAnsi="宋体" w:cs="宋体" w:hint="eastAsia"/>
                <w:kern w:val="0"/>
                <w:sz w:val="24"/>
                <w:lang w:bidi="ar"/>
              </w:rPr>
              <w:t>二、上年结转政府信息公开申请数量</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trHeight w:val="287"/>
          <w:jc w:val="center"/>
        </w:trPr>
        <w:tc>
          <w:tcPr>
            <w:tcW w:w="69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hint="eastAsia"/>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ascii="宋体" w:hAnsi="宋体" w:cs="宋体" w:hint="eastAsia"/>
                <w:kern w:val="0"/>
                <w:sz w:val="24"/>
                <w:lang w:bidi="ar"/>
              </w:rPr>
              <w:t>三、本年度办理结果</w:t>
            </w:r>
          </w:p>
        </w:tc>
        <w:tc>
          <w:tcPr>
            <w:tcW w:w="369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（一）予以公开</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trHeight w:val="435"/>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369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（二）部分公开（区分处理的，只</w:t>
            </w:r>
            <w:bookmarkStart w:id="3" w:name="hmcheck_31c0f92ed1f54ef78c799af6025677bb"/>
            <w:r>
              <w:rPr>
                <w:rFonts w:ascii="宋体" w:hAnsi="宋体" w:cs="宋体" w:hint="eastAsia"/>
                <w:kern w:val="0"/>
                <w:sz w:val="24"/>
                <w:shd w:val="clear" w:color="auto" w:fill="FFFFFF"/>
                <w:lang w:bidi="ar"/>
              </w:rPr>
              <w:t>计</w:t>
            </w:r>
            <w:bookmarkEnd w:id="3"/>
            <w:r>
              <w:rPr>
                <w:rFonts w:ascii="宋体" w:hAnsi="宋体" w:cs="宋体" w:hint="eastAsia"/>
                <w:kern w:val="0"/>
                <w:sz w:val="24"/>
                <w:lang w:bidi="ar"/>
              </w:rPr>
              <w:t>这一情形，不计其他情形）</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（三）不予公开</w:t>
            </w: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1.属于国家秘密</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trHeight w:val="479"/>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2.其他法律行政法规禁止公开</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3.危及“三安全一稳定”</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4.保护第三方合法权益</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5.属于三类内部事务信息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6.属于四类过程性信息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7.属于行政执法案卷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trHeight w:val="150"/>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8.属于行政查询事项</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trHeight w:val="297"/>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（四）无法提供</w:t>
            </w: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1.本机关不掌握相关政府信息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2.没有现成信息需要另行制作</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3.补正后申请内容仍不明确</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（五）不予处理</w:t>
            </w: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1.信访举报投诉类申请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2.重复申请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3.要求提供公开出版物</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4.无正当理由大量反复申请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tcBorders>
              <w:bottom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tcBorders>
              <w:bottom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5.要求行政机关确认或重新出具已获取信息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tcBorders>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val="restart"/>
            <w:tcBorders>
              <w:top w:val="single" w:sz="4" w:space="0" w:color="auto"/>
              <w:left w:val="single" w:sz="4" w:space="0" w:color="auto"/>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（六）其他处理</w:t>
            </w:r>
          </w:p>
        </w:tc>
        <w:tc>
          <w:tcPr>
            <w:tcW w:w="2756" w:type="dxa"/>
            <w:tcBorders>
              <w:top w:val="single" w:sz="4" w:space="0" w:color="auto"/>
              <w:left w:val="single" w:sz="4" w:space="0" w:color="auto"/>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default"/>
                <w:kern w:val="0"/>
                <w:sz w:val="24"/>
                <w:lang w:val="en-US" w:eastAsia="zh-CN" w:bidi="ar"/>
              </w:rPr>
            </w:pPr>
            <w:r>
              <w:rPr>
                <w:rFonts w:ascii="宋体" w:hAnsi="宋体" w:cs="宋体" w:hint="eastAsia"/>
                <w:kern w:val="0"/>
                <w:sz w:val="24"/>
                <w:lang w:val="en-US" w:eastAsia="zh-CN" w:bidi="ar"/>
              </w:rPr>
              <w:t>1.申请人无正当理由逾期不补正、行政机关不再处理其政府信息公开申请</w:t>
            </w:r>
          </w:p>
        </w:tc>
        <w:tc>
          <w:tcPr>
            <w:tcW w:w="456" w:type="dxa"/>
            <w:tcBorders>
              <w:lef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tcBorders>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tcBorders>
              <w:left w:val="single" w:sz="4" w:space="0" w:color="auto"/>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tcBorders>
              <w:left w:val="single" w:sz="4" w:space="0" w:color="auto"/>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default"/>
                <w:kern w:val="0"/>
                <w:sz w:val="24"/>
                <w:lang w:val="en-US" w:eastAsia="zh-CN" w:bidi="ar"/>
              </w:rPr>
            </w:pPr>
            <w:r>
              <w:rPr>
                <w:rFonts w:ascii="宋体" w:hAnsi="宋体" w:cs="宋体" w:hint="eastAsia"/>
                <w:kern w:val="0"/>
                <w:sz w:val="24"/>
                <w:lang w:val="en-US" w:eastAsia="zh-CN" w:bidi="ar"/>
              </w:rPr>
              <w:t>2.申请人逾期未按收费通知要求缴纳费用、行政机关不再处理其政府信息公开申请</w:t>
            </w:r>
          </w:p>
        </w:tc>
        <w:tc>
          <w:tcPr>
            <w:tcW w:w="456" w:type="dxa"/>
            <w:tcBorders>
              <w:lef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696" w:type="dxa"/>
            <w:vMerge/>
            <w:tcBorders>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936" w:type="dxa"/>
            <w:vMerge/>
            <w:tcBorders>
              <w:left w:val="single" w:sz="4" w:space="0" w:color="auto"/>
              <w:bottom w:val="single" w:sz="4" w:space="0" w:color="auto"/>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2756" w:type="dxa"/>
            <w:tcBorders>
              <w:left w:val="single" w:sz="4" w:space="0" w:color="auto"/>
              <w:bottom w:val="single" w:sz="4" w:space="0" w:color="auto"/>
              <w:righ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default"/>
                <w:kern w:val="0"/>
                <w:sz w:val="24"/>
                <w:lang w:val="en-US" w:eastAsia="zh-CN" w:bidi="ar"/>
              </w:rPr>
            </w:pPr>
            <w:r>
              <w:rPr>
                <w:rFonts w:ascii="宋体" w:hAnsi="宋体" w:cs="宋体" w:hint="eastAsia"/>
                <w:kern w:val="0"/>
                <w:sz w:val="24"/>
                <w:lang w:val="en-US" w:eastAsia="zh-CN" w:bidi="ar"/>
              </w:rPr>
              <w:t>3.其他</w:t>
            </w:r>
          </w:p>
        </w:tc>
        <w:tc>
          <w:tcPr>
            <w:tcW w:w="456" w:type="dxa"/>
            <w:tcBorders>
              <w:left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trHeight w:val="116"/>
          <w:jc w:val="center"/>
        </w:trPr>
        <w:tc>
          <w:tcPr>
            <w:tcW w:w="696"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int="eastAsia"/>
                <w:sz w:val="24"/>
              </w:rPr>
            </w:pPr>
          </w:p>
        </w:tc>
        <w:tc>
          <w:tcPr>
            <w:tcW w:w="3692" w:type="dxa"/>
            <w:gridSpan w:val="2"/>
            <w:tcBorders>
              <w:top w:val="single" w:sz="4" w:space="0" w:color="auto"/>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（七）总计</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W w:w="8383" w:type="dxa"/>
          <w:jc w:val="center"/>
          <w:tblLayout w:type="fixed"/>
          <w:tblCellMar>
            <w:top w:w="0" w:type="dxa"/>
            <w:left w:w="0" w:type="dxa"/>
            <w:bottom w:w="0" w:type="dxa"/>
            <w:right w:w="0" w:type="dxa"/>
          </w:tblCellMar>
        </w:tblPrEx>
        <w:trPr>
          <w:jc w:val="center"/>
        </w:trPr>
        <w:tc>
          <w:tcPr>
            <w:tcW w:w="4388"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sz w:val="24"/>
              </w:rPr>
            </w:pPr>
            <w:r>
              <w:rPr>
                <w:rFonts w:ascii="宋体" w:hAnsi="宋体" w:cs="宋体" w:hint="eastAsia"/>
                <w:kern w:val="0"/>
                <w:sz w:val="24"/>
                <w:lang w:bidi="ar"/>
              </w:rPr>
              <w:t>四、结转下年度继续办理</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int="eastAsia"/>
                <w:sz w:val="24"/>
              </w:rPr>
            </w:pPr>
            <w:r>
              <w:rPr>
                <w:rFonts w:hint="eastAsia"/>
                <w:sz w:val="24"/>
                <w:lang w:val="en-US" w:eastAsia="zh-CN"/>
              </w:rPr>
              <w:t>0</w:t>
            </w:r>
          </w:p>
        </w:tc>
      </w:tr>
    </w:tbl>
    <w:p>
      <w:pPr>
        <w:spacing w:line="560" w:lineRule="exact"/>
        <w:ind w:firstLine="637" w:firstLineChars="199"/>
        <w:rPr>
          <w:rFonts w:ascii="黑体" w:eastAsia="黑体" w:hAnsi="黑体" w:cs="宋体" w:hint="eastAsia"/>
          <w:sz w:val="32"/>
          <w:szCs w:val="32"/>
        </w:rPr>
      </w:pPr>
      <w:r>
        <w:rPr>
          <w:rFonts w:ascii="黑体" w:eastAsia="黑体" w:hAnsi="黑体" w:cs="宋体" w:hint="eastAsia"/>
          <w:sz w:val="32"/>
          <w:szCs w:val="32"/>
        </w:rPr>
        <w:t>四、政府信息公开行政复议、行政诉讼情况</w:t>
      </w:r>
    </w:p>
    <w:tbl>
      <w:tblPr>
        <w:tblStyle w:val="TableNormal"/>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502"/>
        <w:gridCol w:w="495"/>
        <w:gridCol w:w="510"/>
        <w:gridCol w:w="495"/>
        <w:gridCol w:w="555"/>
        <w:gridCol w:w="570"/>
        <w:gridCol w:w="525"/>
        <w:gridCol w:w="645"/>
        <w:gridCol w:w="555"/>
        <w:gridCol w:w="675"/>
        <w:gridCol w:w="645"/>
        <w:gridCol w:w="600"/>
        <w:gridCol w:w="600"/>
        <w:gridCol w:w="600"/>
        <w:gridCol w:w="532"/>
      </w:tblGrid>
      <w:tr>
        <w:tblPrEx>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jc w:val="center"/>
        </w:trPr>
        <w:tc>
          <w:tcPr>
            <w:tcW w:w="2557"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lang w:bidi="ar"/>
              </w:rPr>
            </w:pPr>
            <w:r>
              <w:rPr>
                <w:rFonts w:ascii="宋体" w:hAnsi="宋体" w:cs="宋体" w:hint="eastAsia"/>
                <w:kern w:val="0"/>
                <w:sz w:val="24"/>
                <w:lang w:bidi="ar"/>
              </w:rPr>
              <w:t>行政复议</w:t>
            </w:r>
          </w:p>
        </w:tc>
        <w:tc>
          <w:tcPr>
            <w:tcW w:w="5947" w:type="dxa"/>
            <w:gridSpan w:val="10"/>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lang w:bidi="ar"/>
              </w:rPr>
            </w:pPr>
            <w:r>
              <w:rPr>
                <w:rFonts w:ascii="宋体" w:hAnsi="宋体" w:cs="宋体" w:hint="eastAsia"/>
                <w:kern w:val="0"/>
                <w:sz w:val="24"/>
                <w:lang w:bidi="ar"/>
              </w:rPr>
              <w:t>行政诉讼</w:t>
            </w:r>
          </w:p>
        </w:tc>
      </w:tr>
      <w:tr>
        <w:tblPrEx>
          <w:tblW w:w="8504" w:type="dxa"/>
          <w:jc w:val="center"/>
          <w:tblLayout w:type="fixed"/>
          <w:tblCellMar>
            <w:top w:w="0" w:type="dxa"/>
            <w:left w:w="0" w:type="dxa"/>
            <w:bottom w:w="0" w:type="dxa"/>
            <w:right w:w="0" w:type="dxa"/>
          </w:tblCellMar>
        </w:tblPrEx>
        <w:trPr>
          <w:trHeight w:val="235"/>
          <w:jc w:val="center"/>
        </w:trPr>
        <w:tc>
          <w:tcPr>
            <w:tcW w:w="50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结果维持</w:t>
            </w:r>
          </w:p>
        </w:tc>
        <w:tc>
          <w:tcPr>
            <w:tcW w:w="49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结果纠正</w:t>
            </w:r>
          </w:p>
        </w:tc>
        <w:tc>
          <w:tcPr>
            <w:tcW w:w="510"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其他结果</w:t>
            </w:r>
          </w:p>
        </w:tc>
        <w:tc>
          <w:tcPr>
            <w:tcW w:w="49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尚未审结</w:t>
            </w:r>
          </w:p>
        </w:tc>
        <w:tc>
          <w:tcPr>
            <w:tcW w:w="55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r>
              <w:rPr>
                <w:rFonts w:ascii="宋体" w:hAnsi="宋体" w:cs="宋体" w:hint="eastAsia"/>
                <w:kern w:val="0"/>
                <w:sz w:val="24"/>
                <w:lang w:bidi="ar"/>
              </w:rPr>
              <w:t>总</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计</w:t>
            </w:r>
          </w:p>
        </w:tc>
        <w:tc>
          <w:tcPr>
            <w:tcW w:w="2970"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lang w:bidi="ar"/>
              </w:rPr>
            </w:pPr>
            <w:r>
              <w:rPr>
                <w:rFonts w:ascii="宋体" w:hAnsi="宋体" w:cs="宋体" w:hint="eastAsia"/>
                <w:kern w:val="0"/>
                <w:sz w:val="24"/>
                <w:lang w:bidi="ar"/>
              </w:rPr>
              <w:t>未经复议直接起诉</w:t>
            </w:r>
          </w:p>
        </w:tc>
        <w:tc>
          <w:tcPr>
            <w:tcW w:w="2977"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lang w:bidi="ar"/>
              </w:rPr>
            </w:pPr>
            <w:r>
              <w:rPr>
                <w:rFonts w:ascii="宋体" w:hAnsi="宋体" w:cs="宋体" w:hint="eastAsia"/>
                <w:kern w:val="0"/>
                <w:sz w:val="24"/>
                <w:lang w:bidi="ar"/>
              </w:rPr>
              <w:t>复议后起诉</w:t>
            </w:r>
          </w:p>
        </w:tc>
      </w:tr>
      <w:tr>
        <w:tblPrEx>
          <w:tblW w:w="8504" w:type="dxa"/>
          <w:jc w:val="center"/>
          <w:tblLayout w:type="fixed"/>
          <w:tblCellMar>
            <w:top w:w="0" w:type="dxa"/>
            <w:left w:w="0" w:type="dxa"/>
            <w:bottom w:w="0" w:type="dxa"/>
            <w:right w:w="0" w:type="dxa"/>
          </w:tblCellMar>
        </w:tblPrEx>
        <w:trPr>
          <w:jc w:val="center"/>
        </w:trPr>
        <w:tc>
          <w:tcPr>
            <w:tcW w:w="502" w:type="dxa"/>
            <w:vMerge/>
            <w:tcBorders>
              <w:top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495"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510"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495"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555" w:type="dxa"/>
            <w:vMerg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hint="eastAsia"/>
                <w:kern w:val="0"/>
                <w:sz w:val="24"/>
                <w:lang w:bidi="ar"/>
              </w:rPr>
            </w:pP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结果维持</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结果纠正</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lang w:bidi="ar"/>
              </w:rPr>
            </w:pPr>
            <w:r>
              <w:rPr>
                <w:rFonts w:ascii="宋体" w:hAnsi="宋体" w:cs="宋体" w:hint="eastAsia"/>
                <w:kern w:val="0"/>
                <w:sz w:val="24"/>
                <w:lang w:bidi="ar"/>
              </w:rPr>
              <w:t>其他结果</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尚未审结</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eastAsia="宋体" w:hAnsi="宋体" w:cs="宋体" w:hint="default"/>
                <w:kern w:val="0"/>
                <w:sz w:val="24"/>
                <w:lang w:val="en-US" w:eastAsia="zh-CN" w:bidi="ar"/>
              </w:rPr>
            </w:pPr>
            <w:r>
              <w:rPr>
                <w:rFonts w:ascii="宋体" w:hAnsi="宋体" w:cs="宋体" w:hint="eastAsia"/>
                <w:kern w:val="0"/>
                <w:sz w:val="24"/>
                <w:lang w:bidi="ar"/>
              </w:rPr>
              <w:t>总</w:t>
            </w:r>
            <w:r>
              <w:rPr>
                <w:rFonts w:ascii="宋体" w:hAnsi="宋体" w:cs="宋体" w:hint="eastAsia"/>
                <w:kern w:val="0"/>
                <w:sz w:val="24"/>
                <w:lang w:val="en-US" w:eastAsia="zh-CN" w:bidi="ar"/>
              </w:rPr>
              <w:t xml:space="preserve"> </w:t>
            </w:r>
            <w:r>
              <w:rPr>
                <w:rFonts w:ascii="宋体" w:hAnsi="宋体" w:cs="宋体" w:hint="eastAsia"/>
                <w:kern w:val="0"/>
                <w:sz w:val="24"/>
                <w:lang w:bidi="ar"/>
              </w:rPr>
              <w:t>计</w:t>
            </w:r>
            <w:r>
              <w:rPr>
                <w:rFonts w:ascii="宋体" w:hAnsi="宋体" w:cs="宋体" w:hint="eastAsia"/>
                <w:kern w:val="0"/>
                <w:sz w:val="24"/>
                <w:lang w:val="en-US" w:eastAsia="zh-CN" w:bidi="ar"/>
              </w:rPr>
              <w:t xml:space="preserve">   </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结果维持</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结果纠正</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其他结果</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尚未审结</w:t>
            </w:r>
          </w:p>
        </w:tc>
        <w:tc>
          <w:tcPr>
            <w:tcW w:w="53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ascii="宋体" w:hAnsi="宋体" w:cs="宋体" w:hint="eastAsia"/>
                <w:kern w:val="0"/>
                <w:sz w:val="24"/>
                <w:lang w:bidi="ar"/>
              </w:rPr>
              <w:t>总计</w:t>
            </w:r>
          </w:p>
        </w:tc>
      </w:tr>
      <w:tr>
        <w:tblPrEx>
          <w:tblW w:w="8504" w:type="dxa"/>
          <w:jc w:val="center"/>
          <w:tblLayout w:type="fixed"/>
          <w:tblCellMar>
            <w:top w:w="0" w:type="dxa"/>
            <w:left w:w="0" w:type="dxa"/>
            <w:bottom w:w="0" w:type="dxa"/>
            <w:right w:w="0" w:type="dxa"/>
          </w:tblCellMar>
        </w:tblPrEx>
        <w:trPr>
          <w:trHeight w:val="560"/>
          <w:jc w:val="center"/>
        </w:trPr>
        <w:tc>
          <w:tcPr>
            <w:tcW w:w="50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51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4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Calibri" w:eastAsia="宋体" w:hAnsi="Calibri" w:cs="Times New Roman" w:hint="eastAsia"/>
                <w:kern w:val="2"/>
                <w:sz w:val="24"/>
                <w:szCs w:val="24"/>
                <w:lang w:val="en-US" w:eastAsia="zh-CN" w:bidi="ar-SA"/>
              </w:rPr>
            </w:pPr>
            <w:r>
              <w:rPr>
                <w:rFonts w:hint="eastAsia"/>
                <w:sz w:val="24"/>
                <w:lang w:val="en-US" w:eastAsia="zh-CN"/>
              </w:rPr>
              <w:t>0</w:t>
            </w:r>
          </w:p>
        </w:tc>
        <w:tc>
          <w:tcPr>
            <w:tcW w:w="53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eastAsia="宋体" w:hAnsi="宋体" w:cs="宋体" w:hint="eastAsia"/>
                <w:kern w:val="0"/>
                <w:sz w:val="24"/>
                <w:lang w:val="en-US" w:eastAsia="zh-CN" w:bidi="ar"/>
              </w:rPr>
            </w:pPr>
            <w:r>
              <w:rPr>
                <w:rFonts w:ascii="宋体" w:hAnsi="宋体" w:cs="宋体" w:hint="eastAsia"/>
                <w:kern w:val="0"/>
                <w:sz w:val="24"/>
                <w:lang w:val="en-US" w:eastAsia="zh-CN" w:bidi="ar"/>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37" w:firstLineChars="199"/>
        <w:textAlignment w:val="auto"/>
        <w:rPr>
          <w:rFonts w:ascii="黑体" w:eastAsia="黑体" w:hAnsi="黑体" w:cs="宋体" w:hint="eastAsia"/>
          <w:sz w:val="32"/>
          <w:szCs w:val="32"/>
        </w:rPr>
      </w:pPr>
      <w:r>
        <w:rPr>
          <w:rFonts w:ascii="黑体" w:eastAsia="黑体" w:hAnsi="黑体" w:cs="宋体" w:hint="eastAsia"/>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宋体" w:cs="宋体" w:hint="eastAsia"/>
          <w:sz w:val="32"/>
          <w:szCs w:val="32"/>
          <w:lang w:eastAsia="zh-CN"/>
        </w:rPr>
      </w:pPr>
      <w:r>
        <w:rPr>
          <w:rFonts w:ascii="仿宋_GB2312" w:eastAsia="仿宋_GB2312" w:hAnsi="宋体" w:cs="宋体" w:hint="eastAsia"/>
          <w:sz w:val="32"/>
          <w:szCs w:val="32"/>
          <w:lang w:eastAsia="zh-CN"/>
        </w:rPr>
        <w:t>202</w:t>
      </w:r>
      <w:r>
        <w:rPr>
          <w:rFonts w:ascii="仿宋_GB2312" w:eastAsia="仿宋_GB2312" w:hAnsi="宋体" w:cs="宋体" w:hint="eastAsia"/>
          <w:sz w:val="32"/>
          <w:szCs w:val="32"/>
          <w:lang w:val="en-US" w:eastAsia="zh-CN"/>
        </w:rPr>
        <w:t>3</w:t>
      </w:r>
      <w:r>
        <w:rPr>
          <w:rFonts w:ascii="仿宋_GB2312" w:eastAsia="仿宋_GB2312" w:hAnsi="宋体" w:cs="宋体" w:hint="eastAsia"/>
          <w:sz w:val="32"/>
          <w:szCs w:val="32"/>
          <w:lang w:eastAsia="zh-CN"/>
        </w:rPr>
        <w:t>年度市</w:t>
      </w:r>
      <w:r>
        <w:rPr>
          <w:rFonts w:ascii="仿宋_GB2312" w:eastAsia="仿宋_GB2312" w:hAnsi="宋体" w:cs="宋体" w:hint="eastAsia"/>
          <w:sz w:val="32"/>
          <w:szCs w:val="32"/>
          <w:lang w:val="en-US" w:eastAsia="zh-CN"/>
        </w:rPr>
        <w:t>发展改革委</w:t>
      </w:r>
      <w:r>
        <w:rPr>
          <w:rFonts w:ascii="仿宋_GB2312" w:eastAsia="仿宋_GB2312" w:hAnsi="宋体" w:cs="宋体" w:hint="eastAsia"/>
          <w:sz w:val="32"/>
          <w:szCs w:val="32"/>
          <w:lang w:eastAsia="zh-CN"/>
        </w:rPr>
        <w:t>政府信息公开工作在深化政府信息公开内容、完善政府信息公开配套工作，加强政府信息公开基础性工作等方面取得了</w:t>
      </w:r>
      <w:r>
        <w:rPr>
          <w:rFonts w:ascii="仿宋_GB2312" w:eastAsia="仿宋_GB2312" w:hAnsi="宋体" w:cs="宋体" w:hint="eastAsia"/>
          <w:sz w:val="32"/>
          <w:szCs w:val="32"/>
          <w:lang w:val="en-US" w:eastAsia="zh-CN"/>
        </w:rPr>
        <w:t>较好</w:t>
      </w:r>
      <w:r>
        <w:rPr>
          <w:rFonts w:ascii="仿宋_GB2312" w:eastAsia="仿宋_GB2312" w:hAnsi="宋体" w:cs="宋体" w:hint="eastAsia"/>
          <w:sz w:val="32"/>
          <w:szCs w:val="32"/>
          <w:lang w:eastAsia="zh-CN"/>
        </w:rPr>
        <w:t>进展，但对政府信息公开的供给与公众信息获取需求之间仍然存在差距，信息公开内容不够规范等问题。下一步完善政府信息公开制度，明确工作责任，严格按程序规范公开信息，确保政府信息及时、准确、全面地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hAnsi="黑体" w:cs="宋体" w:hint="eastAsia"/>
          <w:sz w:val="32"/>
          <w:szCs w:val="32"/>
        </w:rPr>
      </w:pPr>
      <w:r>
        <w:rPr>
          <w:rFonts w:ascii="仿宋_GB2312" w:eastAsia="仿宋_GB2312" w:hAnsi="宋体" w:cs="宋体" w:hint="eastAsia"/>
          <w:sz w:val="32"/>
          <w:szCs w:val="32"/>
          <w:lang w:eastAsia="zh-CN"/>
        </w:rPr>
        <w:t xml:space="preserve"> </w:t>
      </w:r>
      <w:r>
        <w:rPr>
          <w:rFonts w:ascii="黑体" w:eastAsia="黑体" w:hAnsi="黑体" w:cs="宋体" w:hint="eastAsia"/>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37" w:firstLineChars="199"/>
        <w:textAlignment w:val="auto"/>
        <w:rPr>
          <w:rFonts w:ascii="仿宋_GB2312" w:eastAsia="仿宋_GB2312" w:hAnsi="宋体" w:cs="宋体" w:hint="eastAsia"/>
          <w:sz w:val="32"/>
          <w:szCs w:val="32"/>
          <w:lang w:val="en-US" w:eastAsia="zh-CN"/>
        </w:rPr>
      </w:pPr>
      <w:r>
        <w:rPr>
          <w:rFonts w:ascii="仿宋_GB2312" w:eastAsia="仿宋_GB2312" w:hAnsi="宋体" w:cs="宋体" w:hint="eastAsia"/>
          <w:sz w:val="32"/>
          <w:szCs w:val="32"/>
          <w:lang w:eastAsia="zh-CN"/>
        </w:rPr>
        <w:t>本年度我</w:t>
      </w:r>
      <w:r>
        <w:rPr>
          <w:rFonts w:ascii="仿宋_GB2312" w:eastAsia="仿宋_GB2312" w:hAnsi="宋体" w:cs="宋体" w:hint="eastAsia"/>
          <w:sz w:val="32"/>
          <w:szCs w:val="32"/>
          <w:lang w:val="en-US" w:eastAsia="zh-CN"/>
        </w:rPr>
        <w:t>委</w:t>
      </w:r>
      <w:r>
        <w:rPr>
          <w:rFonts w:ascii="仿宋_GB2312" w:eastAsia="仿宋_GB2312" w:hAnsi="宋体" w:cs="宋体" w:hint="eastAsia"/>
          <w:sz w:val="32"/>
          <w:szCs w:val="32"/>
          <w:shd w:val="clear" w:color="auto" w:fill="FFFFFF"/>
          <w:lang w:val="en-US" w:eastAsia="zh-CN"/>
        </w:rPr>
        <w:t>未涉及</w:t>
      </w:r>
      <w:r>
        <w:rPr>
          <w:rFonts w:ascii="仿宋_GB2312" w:eastAsia="仿宋_GB2312" w:hAnsi="宋体" w:cs="宋体" w:hint="eastAsia"/>
          <w:sz w:val="32"/>
          <w:szCs w:val="32"/>
          <w:lang w:eastAsia="zh-CN"/>
        </w:rPr>
        <w:t xml:space="preserve">信息公开的费用收缴情况，无其他需要报告事项。 </w:t>
      </w:r>
      <w:r>
        <w:rPr>
          <w:rFonts w:ascii="仿宋_GB2312" w:eastAsia="仿宋_GB2312" w:hAnsi="宋体" w:cs="宋体" w:hint="eastAsia"/>
          <w:sz w:val="32"/>
          <w:szCs w:val="32"/>
          <w:lang w:val="en-US" w:eastAsia="zh-CN"/>
        </w:rPr>
        <w:t xml:space="preserve">  </w:t>
      </w:r>
    </w:p>
    <w:p>
      <w:pPr>
        <w:spacing w:line="560" w:lineRule="exact"/>
        <w:rPr>
          <w:rFonts w:ascii="仿宋_GB2312" w:eastAsia="仿宋_GB2312" w:hAnsi="宋体" w:cs="宋体" w:hint="eastAsia"/>
          <w:sz w:val="32"/>
          <w:szCs w:val="32"/>
          <w:lang w:val="en-US" w:eastAsia="zh-CN"/>
        </w:rPr>
      </w:pPr>
    </w:p>
    <w:p>
      <w:pPr>
        <w:spacing w:line="560" w:lineRule="exact"/>
        <w:rPr>
          <w:rFonts w:ascii="仿宋_GB2312" w:eastAsia="仿宋_GB2312" w:hAnsi="宋体" w:cs="宋体" w:hint="eastAsia"/>
          <w:sz w:val="32"/>
          <w:szCs w:val="32"/>
          <w:lang w:val="en-US" w:eastAsia="zh-CN"/>
        </w:rPr>
      </w:pPr>
    </w:p>
    <w:p>
      <w:pPr>
        <w:spacing w:line="560" w:lineRule="exact"/>
        <w:ind w:firstLine="4480" w:firstLineChars="1400"/>
        <w:rPr>
          <w:rFonts w:ascii="仿宋_GB2312" w:eastAsia="仿宋_GB2312" w:hAnsi="宋体" w:cs="宋体" w:hint="default"/>
          <w:sz w:val="32"/>
          <w:szCs w:val="32"/>
          <w:lang w:val="en-US" w:eastAsia="zh-CN"/>
        </w:rPr>
      </w:pPr>
      <w:r>
        <w:rPr>
          <w:rFonts w:ascii="仿宋_GB2312" w:eastAsia="仿宋_GB2312" w:hAnsi="宋体" w:cs="宋体" w:hint="eastAsia"/>
          <w:sz w:val="32"/>
          <w:szCs w:val="32"/>
          <w:lang w:val="en-US" w:eastAsia="zh-CN"/>
        </w:rPr>
        <w:t>乌苏市发展和改革委员会</w:t>
      </w:r>
    </w:p>
    <w:p>
      <w:pPr>
        <w:spacing w:line="560" w:lineRule="exact"/>
        <w:ind w:firstLine="637" w:firstLineChars="199"/>
        <w:rPr>
          <w:rFonts w:ascii="仿宋_GB2312" w:eastAsia="仿宋_GB2312" w:hAnsi="宋体" w:cs="宋体" w:hint="default"/>
          <w:sz w:val="32"/>
          <w:szCs w:val="32"/>
          <w:lang w:val="en-US" w:eastAsia="zh-CN"/>
        </w:rPr>
      </w:pPr>
      <w:r>
        <w:rPr>
          <w:rFonts w:ascii="仿宋_GB2312" w:eastAsia="仿宋_GB2312" w:hAnsi="宋体" w:cs="宋体" w:hint="eastAsia"/>
          <w:sz w:val="32"/>
          <w:szCs w:val="32"/>
          <w:lang w:val="en-US" w:eastAsia="zh-CN"/>
        </w:rPr>
        <w:t xml:space="preserve">                            2024年1月16日</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16487D"/>
    <w:rsid w:val="06B064A0"/>
    <w:rsid w:val="0B664970"/>
    <w:rsid w:val="0D1B4074"/>
    <w:rsid w:val="0ECE66DC"/>
    <w:rsid w:val="0FA03B2C"/>
    <w:rsid w:val="15E04F64"/>
    <w:rsid w:val="19387173"/>
    <w:rsid w:val="261571E1"/>
    <w:rsid w:val="28CA74AD"/>
    <w:rsid w:val="2D2435FF"/>
    <w:rsid w:val="3133632F"/>
    <w:rsid w:val="3F16487D"/>
    <w:rsid w:val="534E3E5C"/>
    <w:rsid w:val="57A07674"/>
    <w:rsid w:val="674B7250"/>
    <w:rsid w:val="6F153D97"/>
    <w:rsid w:val="73692878"/>
    <w:rsid w:val="769548EE"/>
    <w:rsid w:val="7D1D4942"/>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qFormat="1"/>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3">
    <w:name w:val="heading 3"/>
    <w:basedOn w:val="Normal"/>
    <w:next w:val="Normal"/>
    <w:semiHidden/>
    <w:unhideWhenUsed/>
    <w:qFormat/>
    <w:pPr>
      <w:keepNext/>
      <w:keepLines/>
      <w:spacing w:line="560" w:lineRule="exact"/>
      <w:outlineLvl w:val="2"/>
    </w:pPr>
    <w:rPr>
      <w:b/>
      <w:bCs/>
      <w:szCs w:val="32"/>
    </w:rPr>
  </w:style>
  <w:style w:type="paragraph" w:styleId="Heading4">
    <w:name w:val="heading 4"/>
    <w:basedOn w:val="Normal"/>
    <w:next w:val="Normal"/>
    <w:semiHidden/>
    <w:unhideWhenUsed/>
    <w:qFormat/>
    <w:pPr>
      <w:spacing w:before="0" w:beforeAutospacing="1" w:after="0" w:afterAutospacing="1"/>
      <w:jc w:val="left"/>
      <w:outlineLvl w:val="3"/>
    </w:pPr>
    <w:rPr>
      <w:rFonts w:ascii="宋体" w:eastAsia="宋体" w:hAnsi="宋体" w:cs="宋体" w:hint="eastAsia"/>
      <w:kern w:val="0"/>
      <w:sz w:val="21"/>
      <w:szCs w:val="21"/>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next w:val="BodyTextFirstIndent"/>
    <w:uiPriority w:val="99"/>
    <w:semiHidden/>
    <w:unhideWhenUsed/>
    <w:qFormat/>
    <w:pPr>
      <w:spacing w:after="120"/>
    </w:pPr>
  </w:style>
  <w:style w:type="paragraph" w:styleId="BodyTextFirstIndent">
    <w:name w:val="Body Text First Indent"/>
    <w:basedOn w:val="BodyText"/>
    <w:uiPriority w:val="99"/>
    <w:semiHidden/>
    <w:unhideWhenUsed/>
    <w:qFormat/>
    <w:pPr>
      <w:ind w:firstLine="420" w:firstLineChars="100"/>
    </w:pPr>
  </w:style>
  <w:style w:type="paragraph" w:styleId="NormalWeb">
    <w:name w:val="Normal (Web)"/>
    <w:basedOn w:val="Normal"/>
    <w:qFormat/>
    <w:pPr>
      <w:pBdr>
        <w:top w:val="none" w:sz="0" w:space="0" w:color="auto"/>
        <w:left w:val="none" w:sz="0" w:space="0" w:color="auto"/>
        <w:bottom w:val="none" w:sz="0" w:space="0" w:color="auto"/>
        <w:right w:val="none" w:sz="0" w:space="0" w:color="auto"/>
      </w:pBdr>
      <w:spacing w:before="0" w:beforeAutospacing="0" w:after="0" w:afterAutospacing="0"/>
      <w:ind w:left="0" w:right="0"/>
      <w:jc w:val="left"/>
    </w:pPr>
    <w:rPr>
      <w:kern w:val="0"/>
      <w:sz w:val="24"/>
      <w:lang w:val="en-US" w:eastAsia="zh-CN" w:bidi="ar"/>
    </w:rPr>
  </w:style>
  <w:style w:type="character" w:styleId="Strong">
    <w:name w:val="Strong"/>
    <w:basedOn w:val="DefaultParagraphFon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旧梦</dc:creator>
  <cp:lastModifiedBy>喜文</cp:lastModifiedBy>
  <cp:revision>1</cp:revision>
  <dcterms:created xsi:type="dcterms:W3CDTF">2024-01-17T02:02:00Z</dcterms:created>
  <dcterms:modified xsi:type="dcterms:W3CDTF">2024-01-29T09:12:54Z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31c0f92ed1f54ef78c799af6025677bb_correctwords">
    <vt:lpwstr>[]</vt:lpwstr>
  </property>
  <property fmtid="{D5CDD505-2E9C-101B-9397-08002B2CF9AE}" pid="4" name="hmcheck_result_31c0f92ed1f54ef78c799af6025677bb_errorword">
    <vt:lpwstr>计</vt:lpwstr>
  </property>
  <property fmtid="{D5CDD505-2E9C-101B-9397-08002B2CF9AE}" pid="5" name="hmcheck_result_31c0f92ed1f54ef78c799af6025677bb_level">
    <vt:i4>2</vt:i4>
  </property>
  <property fmtid="{D5CDD505-2E9C-101B-9397-08002B2CF9AE}" pid="6" name="hmcheck_result_31c0f92ed1f54ef78c799af6025677bb_modifiedtype">
    <vt:i4>1</vt:i4>
  </property>
  <property fmtid="{D5CDD505-2E9C-101B-9397-08002B2CF9AE}" pid="7" name="hmcheck_result_31c0f92ed1f54ef78c799af6025677bb_type">
    <vt:i4>0</vt:i4>
  </property>
  <property fmtid="{D5CDD505-2E9C-101B-9397-08002B2CF9AE}" pid="8" name="hmcheck_result_d23fa960324240ffb4392d3b38986509_correctwords">
    <vt:lpwstr>["钩稽"]</vt:lpwstr>
  </property>
  <property fmtid="{D5CDD505-2E9C-101B-9397-08002B2CF9AE}" pid="9" name="hmcheck_result_d23fa960324240ffb4392d3b38986509_errorword">
    <vt:lpwstr>勾稽</vt:lpwstr>
  </property>
  <property fmtid="{D5CDD505-2E9C-101B-9397-08002B2CF9AE}" pid="10" name="hmcheck_result_d23fa960324240ffb4392d3b38986509_level">
    <vt:i4>1</vt:i4>
  </property>
  <property fmtid="{D5CDD505-2E9C-101B-9397-08002B2CF9AE}" pid="11" name="hmcheck_result_d23fa960324240ffb4392d3b38986509_modifiedtype">
    <vt:i4>1</vt:i4>
  </property>
  <property fmtid="{D5CDD505-2E9C-101B-9397-08002B2CF9AE}" pid="12" name="hmcheck_result_d23fa960324240ffb4392d3b38986509_type">
    <vt:i4>5</vt:i4>
  </property>
  <property fmtid="{D5CDD505-2E9C-101B-9397-08002B2CF9AE}" pid="13" name="hmcheck_result_d2d05e09d62d4ba69edd2acabaaf457c_correctwords">
    <vt:lpwstr>[]</vt:lpwstr>
  </property>
  <property fmtid="{D5CDD505-2E9C-101B-9397-08002B2CF9AE}" pid="14" name="hmcheck_result_d2d05e09d62d4ba69edd2acabaaf457c_errorword">
    <vt:lpwstr>抓</vt:lpwstr>
  </property>
  <property fmtid="{D5CDD505-2E9C-101B-9397-08002B2CF9AE}" pid="15" name="hmcheck_result_d2d05e09d62d4ba69edd2acabaaf457c_level">
    <vt:i4>2</vt:i4>
  </property>
  <property fmtid="{D5CDD505-2E9C-101B-9397-08002B2CF9AE}" pid="16" name="hmcheck_result_d2d05e09d62d4ba69edd2acabaaf457c_modifiedtype">
    <vt:i4>1</vt:i4>
  </property>
  <property fmtid="{D5CDD505-2E9C-101B-9397-08002B2CF9AE}" pid="17" name="hmcheck_result_d2d05e09d62d4ba69edd2acabaaf457c_type">
    <vt:i4>0</vt:i4>
  </property>
  <property fmtid="{D5CDD505-2E9C-101B-9397-08002B2CF9AE}" pid="18" name="ICV">
    <vt:lpwstr>0FF343E8C4DB4E5AAF876BD58A7ECD21_12</vt:lpwstr>
  </property>
  <property fmtid="{D5CDD505-2E9C-101B-9397-08002B2CF9AE}" pid="19" name="KSOProductBuildVer">
    <vt:lpwstr>2052-12.1.0.15374</vt:lpwstr>
  </property>
</Properties>
</file>