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p>
      <w:pPr>
        <w:spacing w:line="560" w:lineRule="exact"/>
        <w:jc w:val="center"/>
        <w:rPr>
          <w:rFonts w:ascii="仿宋_GB2312" w:eastAsia="方正小标宋简体" w:hAnsi="仿宋_GB2312" w:cs="仿宋_GB2312" w:hint="eastAsia"/>
          <w:sz w:val="32"/>
          <w:szCs w:val="32"/>
          <w:shd w:val="clear" w:color="auto" w:fill="auto"/>
          <w:lang w:val="en-US" w:eastAsia="zh-CN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auto"/>
          <w:lang w:val="en-US" w:eastAsia="zh-CN"/>
        </w:rPr>
        <w:t>乌苏市城市管理局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auto"/>
        </w:rPr>
        <w:t>政府信息公开工作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auto"/>
          <w:lang w:val="en-US" w:eastAsia="zh-CN"/>
        </w:rPr>
        <w:t>2023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auto"/>
        </w:rPr>
        <w:t>年度报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auto"/>
          <w:lang w:val="en-US" w:eastAsia="zh-CN"/>
        </w:rPr>
        <w:t>告</w:t>
      </w:r>
    </w:p>
    <w:bookmarkEnd w:id="0"/>
    <w:p>
      <w:pPr>
        <w:spacing w:line="560" w:lineRule="exact"/>
        <w:jc w:val="left"/>
        <w:rPr>
          <w:rFonts w:ascii="仿宋_GB2312" w:eastAsia="仿宋_GB2312" w:hAnsi="仿宋_GB2312" w:cs="仿宋_GB2312" w:hint="eastAsia"/>
          <w:sz w:val="32"/>
          <w:szCs w:val="32"/>
          <w:shd w:val="clear" w:color="auto" w:fill="auto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auto"/>
        </w:rPr>
        <w:t>政府信息公开工作年度报告分为6部分，分别是：1.总体情况；2.主动公开政府信息情况；3.收到和处理政府信息公开申请情况；4.政府信息公开行政复议、行政诉讼情况；5.存在的主要问题及改进情况；6.其他需要报告的事项。</w:t>
      </w:r>
    </w:p>
    <w:p>
      <w:pPr>
        <w:spacing w:line="560" w:lineRule="exact"/>
        <w:ind w:firstLine="640" w:firstLineChars="200"/>
        <w:jc w:val="left"/>
        <w:rPr>
          <w:rFonts w:ascii="黑体" w:eastAsia="黑体" w:hAnsi="黑体" w:cs="宋体" w:hint="eastAsia"/>
          <w:sz w:val="32"/>
          <w:szCs w:val="32"/>
          <w:shd w:val="clear" w:color="auto" w:fill="auto"/>
        </w:rPr>
      </w:pPr>
      <w:r>
        <w:rPr>
          <w:rFonts w:ascii="黑体" w:eastAsia="黑体" w:hAnsi="黑体" w:cs="宋体" w:hint="eastAsia"/>
          <w:sz w:val="32"/>
          <w:szCs w:val="32"/>
          <w:shd w:val="clear" w:color="auto" w:fill="auto"/>
        </w:rPr>
        <w:t>一、总体情况</w:t>
      </w:r>
    </w:p>
    <w:p>
      <w:pPr>
        <w:ind w:firstLine="640" w:firstLineChars="200"/>
        <w:jc w:val="left"/>
        <w:rPr>
          <w:rFonts w:ascii="仿宋_GB2312" w:eastAsia="仿宋_GB2312" w:hAnsi="仿宋_GB2312" w:cs="仿宋_GB2312" w:hint="eastAsia"/>
          <w:sz w:val="32"/>
          <w:szCs w:val="32"/>
          <w:shd w:val="clear" w:color="auto" w:fill="auto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auto"/>
        </w:rPr>
        <w:t>202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auto"/>
          <w:lang w:val="en-US" w:eastAsia="zh-CN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auto"/>
        </w:rPr>
        <w:t>年，在市委、市政府的正确领导下，我局深入贯彻落实习近平新时代中国特色社会主义思想和党的</w:t>
      </w:r>
      <w:bookmarkStart w:id="1" w:name="hmcheck_567b3f0129b545e59bb7835719b4f9a0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auto"/>
          <w:lang w:eastAsia="zh-CN"/>
        </w:rPr>
        <w:t>二十大精神</w:t>
      </w:r>
      <w:bookmarkEnd w:id="1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auto"/>
        </w:rPr>
        <w:t>，加强党的全面领导，以城市管理事业发展为主线，大力推进我市城市管理和城市执法建设，提升我局业务服务水平，有效改善生活环境，提升人民群众幸福感，不断优化营商环境，各项工作有条不紊实现新的跨越。同时，认真按照《中华人民共和国政府信息公开条例》，紧紧围绕全市中心工作，坚持把政府信息公开工作与我局各项工作结合起来，大力推进信息公开工作，不断规范信息内容，增强公开实效，规范平台建设，圆满完成了年度信息公开各项工作任务。</w:t>
      </w:r>
    </w:p>
    <w:p>
      <w:pPr>
        <w:jc w:val="left"/>
        <w:rPr>
          <w:rFonts w:ascii="仿宋_GB2312" w:eastAsia="仿宋_GB2312" w:hAnsi="仿宋_GB2312" w:cs="仿宋_GB2312" w:hint="eastAsia"/>
          <w:sz w:val="32"/>
          <w:szCs w:val="32"/>
          <w:shd w:val="clear" w:color="auto" w:fill="auto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auto"/>
        </w:rPr>
        <w:t>　　一是强化组织领导，完善信息公开管理。形成主管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auto"/>
          <w:lang w:eastAsia="zh-CN"/>
        </w:rPr>
        <w:t>领导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auto"/>
        </w:rPr>
        <w:t>抓、分管领导具体抓，局办公室组织开展，各股室及各企业单位认真落实的政务公开工作机制。落实专人负责，完善各项工作制度，强化监督，健全完善政府信息公开监督机制，切实做好政府信息审查、公开等工作，齐抓共管，确保政府信息公开工作顺利推进。</w:t>
      </w:r>
    </w:p>
    <w:p>
      <w:pPr>
        <w:jc w:val="left"/>
        <w:rPr>
          <w:rFonts w:ascii="仿宋_GB2312" w:eastAsia="仿宋_GB2312" w:hAnsi="仿宋_GB2312" w:cs="仿宋_GB2312" w:hint="eastAsia"/>
          <w:sz w:val="32"/>
          <w:szCs w:val="32"/>
          <w:shd w:val="clear" w:color="auto" w:fill="auto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auto"/>
        </w:rPr>
        <w:t>　　二是完善工作机制，加强信息公开管理。围绕政府信息公开的范围、内容、形式等，建立健全乌苏市城市管理局信息公开管理制度，遵循“谁公开、谁负责”和“先审查、后公开”的原则，对拟公开的信息均应进行逐级审核，确保内容准确、表述规范，可公开，做到全程留痕、有据可查。</w:t>
      </w:r>
    </w:p>
    <w:p>
      <w:pPr>
        <w:jc w:val="left"/>
        <w:rPr>
          <w:rFonts w:ascii="仿宋_GB2312" w:eastAsia="仿宋_GB2312" w:hAnsi="仿宋_GB2312" w:cs="仿宋_GB2312" w:hint="eastAsia"/>
          <w:sz w:val="32"/>
          <w:szCs w:val="32"/>
          <w:shd w:val="clear" w:color="auto" w:fill="auto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auto"/>
        </w:rPr>
        <w:t>三是结合中心工作，规范信息公开内容。结合我局重点工作，不断夯实信息公开工作基础，拓展信息公开渠道，加大工作力度，将城市管理工作、城管执法等相关的政府信息，通过政府网站、信息告知栏等渠道和方式，主动向社会进行了公开，不断拓展公开的深度和广度，进一步提升政府信息公开实效。</w:t>
      </w:r>
    </w:p>
    <w:p>
      <w:pPr>
        <w:spacing w:line="560" w:lineRule="exact"/>
        <w:ind w:firstLine="640" w:firstLineChars="200"/>
        <w:jc w:val="left"/>
        <w:rPr>
          <w:rFonts w:ascii="黑体" w:eastAsia="黑体" w:hAnsi="黑体" w:cs="宋体" w:hint="eastAsia"/>
          <w:sz w:val="32"/>
          <w:szCs w:val="32"/>
          <w:shd w:val="clear" w:color="auto" w:fill="auto"/>
        </w:rPr>
      </w:pPr>
      <w:r>
        <w:rPr>
          <w:rFonts w:ascii="黑体" w:eastAsia="黑体" w:hAnsi="黑体" w:cs="宋体" w:hint="eastAsia"/>
          <w:sz w:val="32"/>
          <w:szCs w:val="32"/>
          <w:shd w:val="clear" w:color="auto" w:fill="auto"/>
        </w:rPr>
        <w:t>二、主动公开政府信息情况</w:t>
      </w:r>
    </w:p>
    <w:tbl>
      <w:tblPr>
        <w:tblStyle w:val="TableNormal"/>
        <w:tblW w:w="8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7"/>
        <w:gridCol w:w="2058"/>
        <w:gridCol w:w="1686"/>
        <w:gridCol w:w="1881"/>
      </w:tblGrid>
      <w:tr>
        <w:tblPrEx>
          <w:tblW w:w="847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/>
          <w:jc w:val="center"/>
        </w:trPr>
        <w:tc>
          <w:tcPr>
            <w:tcW w:w="8472" w:type="dxa"/>
            <w:gridSpan w:val="4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sz w:val="24"/>
                <w:shd w:val="clear" w:color="auto" w:fill="auto"/>
              </w:rPr>
            </w:pPr>
            <w:r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bidi="ar"/>
              </w:rPr>
              <w:t>第二十条第（一）项</w:t>
            </w:r>
          </w:p>
        </w:tc>
      </w:tr>
      <w:tr>
        <w:tblPrEx>
          <w:tblW w:w="8472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/>
          <w:jc w:val="center"/>
        </w:trPr>
        <w:tc>
          <w:tcPr>
            <w:tcW w:w="2847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sz w:val="24"/>
                <w:shd w:val="clear" w:color="auto" w:fill="auto"/>
              </w:rPr>
            </w:pPr>
            <w:r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bidi="ar"/>
              </w:rPr>
              <w:t>信息内容</w:t>
            </w:r>
          </w:p>
        </w:tc>
        <w:tc>
          <w:tcPr>
            <w:tcW w:w="2058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eastAsia="宋体" w:hint="eastAsia"/>
                <w:sz w:val="24"/>
                <w:shd w:val="clear" w:color="auto" w:fill="auto"/>
                <w:lang w:eastAsia="zh-CN"/>
              </w:rPr>
            </w:pPr>
            <w:r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bidi="ar"/>
              </w:rPr>
              <w:t>本年</w:t>
            </w:r>
            <w:r>
              <w:rPr>
                <w:kern w:val="0"/>
                <w:sz w:val="24"/>
                <w:shd w:val="clear" w:color="auto" w:fill="auto"/>
                <w:lang w:bidi="ar"/>
              </w:rPr>
              <w:t>制</w:t>
            </w:r>
            <w:r>
              <w:rPr>
                <w:rFonts w:hint="eastAsia"/>
                <w:kern w:val="0"/>
                <w:sz w:val="24"/>
                <w:shd w:val="clear" w:color="auto" w:fill="auto"/>
                <w:lang w:eastAsia="zh-CN" w:bidi="ar"/>
              </w:rPr>
              <w:t>发件数</w:t>
            </w:r>
          </w:p>
        </w:tc>
        <w:tc>
          <w:tcPr>
            <w:tcW w:w="1686" w:type="dxa"/>
            <w:noWrap w:val="0"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eastAsia="宋体" w:hint="eastAsia"/>
                <w:sz w:val="24"/>
                <w:shd w:val="clear" w:color="auto" w:fill="auto"/>
                <w:lang w:eastAsia="zh-CN"/>
              </w:rPr>
            </w:pPr>
            <w:r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bidi="ar"/>
              </w:rPr>
              <w:t>本年</w:t>
            </w:r>
            <w:r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eastAsia="zh-CN" w:bidi="ar"/>
              </w:rPr>
              <w:t>废止件数</w:t>
            </w:r>
          </w:p>
        </w:tc>
        <w:tc>
          <w:tcPr>
            <w:tcW w:w="1881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eastAsia="宋体" w:hint="eastAsia"/>
                <w:sz w:val="24"/>
                <w:shd w:val="clear" w:color="auto" w:fill="auto"/>
                <w:lang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eastAsia="zh-CN"/>
              </w:rPr>
              <w:t>现行有效件数</w:t>
            </w:r>
          </w:p>
        </w:tc>
      </w:tr>
      <w:tr>
        <w:tblPrEx>
          <w:tblW w:w="8472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  <w:jc w:val="center"/>
        </w:trPr>
        <w:tc>
          <w:tcPr>
            <w:tcW w:w="2847" w:type="dxa"/>
            <w:noWrap/>
            <w:vAlign w:val="top"/>
          </w:tcPr>
          <w:p>
            <w:pPr>
              <w:widowControl/>
              <w:spacing w:after="144" w:line="300" w:lineRule="exact"/>
              <w:jc w:val="left"/>
              <w:rPr>
                <w:sz w:val="24"/>
                <w:shd w:val="clear" w:color="auto" w:fill="auto"/>
              </w:rPr>
            </w:pPr>
            <w:r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bidi="ar"/>
              </w:rPr>
              <w:t>规章</w:t>
            </w:r>
          </w:p>
        </w:tc>
        <w:tc>
          <w:tcPr>
            <w:tcW w:w="2058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1686" w:type="dxa"/>
            <w:noWrap w:val="0"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1881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W w:w="8472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/>
          <w:jc w:val="center"/>
        </w:trPr>
        <w:tc>
          <w:tcPr>
            <w:tcW w:w="2847" w:type="dxa"/>
            <w:noWrap/>
            <w:vAlign w:val="top"/>
          </w:tcPr>
          <w:p>
            <w:pPr>
              <w:widowControl/>
              <w:spacing w:after="144" w:line="300" w:lineRule="exact"/>
              <w:jc w:val="left"/>
              <w:rPr>
                <w:sz w:val="24"/>
                <w:shd w:val="clear" w:color="auto" w:fill="auto"/>
              </w:rPr>
            </w:pPr>
            <w:r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bidi="ar"/>
              </w:rPr>
              <w:t>规范性文件</w:t>
            </w:r>
          </w:p>
        </w:tc>
        <w:tc>
          <w:tcPr>
            <w:tcW w:w="2058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1686" w:type="dxa"/>
            <w:noWrap w:val="0"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1881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W w:w="8472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  <w:jc w:val="center"/>
        </w:trPr>
        <w:tc>
          <w:tcPr>
            <w:tcW w:w="8472" w:type="dxa"/>
            <w:gridSpan w:val="4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sz w:val="24"/>
                <w:shd w:val="clear" w:color="auto" w:fill="auto"/>
              </w:rPr>
            </w:pPr>
            <w:r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bidi="ar"/>
              </w:rPr>
              <w:t>第二十条第（五）项</w:t>
            </w:r>
          </w:p>
        </w:tc>
      </w:tr>
      <w:tr>
        <w:tblPrEx>
          <w:tblW w:w="8472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  <w:jc w:val="center"/>
        </w:trPr>
        <w:tc>
          <w:tcPr>
            <w:tcW w:w="2847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sz w:val="24"/>
                <w:shd w:val="clear" w:color="auto" w:fill="auto"/>
              </w:rPr>
            </w:pPr>
            <w:r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bidi="ar"/>
              </w:rPr>
              <w:t>信息内容</w:t>
            </w:r>
          </w:p>
        </w:tc>
        <w:tc>
          <w:tcPr>
            <w:tcW w:w="5625" w:type="dxa"/>
            <w:gridSpan w:val="3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eastAsia="宋体" w:hint="eastAsia"/>
                <w:sz w:val="24"/>
                <w:shd w:val="clear" w:color="auto" w:fill="auto"/>
                <w:lang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eastAsia="zh-CN"/>
              </w:rPr>
              <w:t>本年处理决定数量</w:t>
            </w:r>
          </w:p>
        </w:tc>
      </w:tr>
      <w:tr>
        <w:tblPrEx>
          <w:tblW w:w="8472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/>
          <w:jc w:val="center"/>
        </w:trPr>
        <w:tc>
          <w:tcPr>
            <w:tcW w:w="2847" w:type="dxa"/>
            <w:noWrap/>
            <w:vAlign w:val="top"/>
          </w:tcPr>
          <w:p>
            <w:pPr>
              <w:widowControl/>
              <w:spacing w:after="144" w:line="300" w:lineRule="exact"/>
              <w:jc w:val="left"/>
              <w:rPr>
                <w:sz w:val="24"/>
                <w:shd w:val="clear" w:color="auto" w:fill="auto"/>
              </w:rPr>
            </w:pPr>
            <w:r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bidi="ar"/>
              </w:rPr>
              <w:t>行政许可</w:t>
            </w:r>
          </w:p>
        </w:tc>
        <w:tc>
          <w:tcPr>
            <w:tcW w:w="5625" w:type="dxa"/>
            <w:gridSpan w:val="3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eastAsia="宋体" w:hint="default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1445</w:t>
            </w:r>
          </w:p>
        </w:tc>
      </w:tr>
      <w:tr>
        <w:tblPrEx>
          <w:tblW w:w="8472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  <w:jc w:val="center"/>
        </w:trPr>
        <w:tc>
          <w:tcPr>
            <w:tcW w:w="8472" w:type="dxa"/>
            <w:gridSpan w:val="4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sz w:val="24"/>
                <w:shd w:val="clear" w:color="auto" w:fill="auto"/>
              </w:rPr>
            </w:pPr>
            <w:r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bidi="ar"/>
              </w:rPr>
              <w:t>第二十条第（六）项</w:t>
            </w:r>
          </w:p>
        </w:tc>
      </w:tr>
      <w:tr>
        <w:tblPrEx>
          <w:tblW w:w="8472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/>
          <w:jc w:val="center"/>
        </w:trPr>
        <w:tc>
          <w:tcPr>
            <w:tcW w:w="2847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sz w:val="24"/>
                <w:shd w:val="clear" w:color="auto" w:fill="auto"/>
              </w:rPr>
            </w:pPr>
            <w:r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bidi="ar"/>
              </w:rPr>
              <w:t>信息内容</w:t>
            </w:r>
          </w:p>
        </w:tc>
        <w:tc>
          <w:tcPr>
            <w:tcW w:w="5625" w:type="dxa"/>
            <w:gridSpan w:val="3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sz w:val="24"/>
                <w:shd w:val="clear" w:color="auto" w:fill="auto"/>
              </w:rPr>
            </w:pPr>
            <w:r>
              <w:rPr>
                <w:rFonts w:hint="eastAsia"/>
                <w:sz w:val="24"/>
                <w:shd w:val="clear" w:color="auto" w:fill="auto"/>
                <w:lang w:eastAsia="zh-CN"/>
              </w:rPr>
              <w:t>本年处理决定数量</w:t>
            </w:r>
          </w:p>
        </w:tc>
      </w:tr>
      <w:tr>
        <w:tblPrEx>
          <w:tblW w:w="8472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/>
          <w:jc w:val="center"/>
        </w:trPr>
        <w:tc>
          <w:tcPr>
            <w:tcW w:w="2847" w:type="dxa"/>
            <w:noWrap/>
            <w:vAlign w:val="top"/>
          </w:tcPr>
          <w:p>
            <w:pPr>
              <w:widowControl/>
              <w:spacing w:after="144" w:line="300" w:lineRule="exact"/>
              <w:jc w:val="left"/>
              <w:rPr>
                <w:sz w:val="24"/>
                <w:shd w:val="clear" w:color="auto" w:fill="auto"/>
              </w:rPr>
            </w:pPr>
            <w:r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bidi="ar"/>
              </w:rPr>
              <w:t>行政处罚</w:t>
            </w:r>
          </w:p>
        </w:tc>
        <w:tc>
          <w:tcPr>
            <w:tcW w:w="5625" w:type="dxa"/>
            <w:gridSpan w:val="3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eastAsia="宋体" w:hint="default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122</w:t>
            </w:r>
          </w:p>
        </w:tc>
      </w:tr>
      <w:tr>
        <w:tblPrEx>
          <w:tblW w:w="8472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/>
          <w:jc w:val="center"/>
        </w:trPr>
        <w:tc>
          <w:tcPr>
            <w:tcW w:w="2847" w:type="dxa"/>
            <w:noWrap/>
            <w:vAlign w:val="top"/>
          </w:tcPr>
          <w:p>
            <w:pPr>
              <w:widowControl/>
              <w:spacing w:after="144" w:line="300" w:lineRule="exact"/>
              <w:jc w:val="left"/>
              <w:rPr>
                <w:sz w:val="24"/>
                <w:shd w:val="clear" w:color="auto" w:fill="auto"/>
              </w:rPr>
            </w:pPr>
            <w:r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bidi="ar"/>
              </w:rPr>
              <w:t>行政强制</w:t>
            </w:r>
          </w:p>
        </w:tc>
        <w:tc>
          <w:tcPr>
            <w:tcW w:w="5625" w:type="dxa"/>
            <w:gridSpan w:val="3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W w:w="8472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/>
          <w:jc w:val="center"/>
        </w:trPr>
        <w:tc>
          <w:tcPr>
            <w:tcW w:w="8472" w:type="dxa"/>
            <w:gridSpan w:val="4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sz w:val="24"/>
                <w:shd w:val="clear" w:color="auto" w:fill="auto"/>
              </w:rPr>
            </w:pPr>
            <w:r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bidi="ar"/>
              </w:rPr>
              <w:t>第二十条第（八）项</w:t>
            </w:r>
          </w:p>
        </w:tc>
      </w:tr>
      <w:tr>
        <w:tblPrEx>
          <w:tblW w:w="8472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/>
          <w:jc w:val="center"/>
        </w:trPr>
        <w:tc>
          <w:tcPr>
            <w:tcW w:w="2847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sz w:val="24"/>
                <w:shd w:val="clear" w:color="auto" w:fill="auto"/>
              </w:rPr>
            </w:pPr>
            <w:r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bidi="ar"/>
              </w:rPr>
              <w:t>信息内容</w:t>
            </w:r>
          </w:p>
        </w:tc>
        <w:tc>
          <w:tcPr>
            <w:tcW w:w="5625" w:type="dxa"/>
            <w:gridSpan w:val="3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sz w:val="24"/>
                <w:shd w:val="clear" w:color="auto" w:fill="auto"/>
              </w:rPr>
            </w:pPr>
            <w:r>
              <w:rPr>
                <w:rFonts w:hint="eastAsia"/>
                <w:sz w:val="24"/>
                <w:shd w:val="clear" w:color="auto" w:fill="auto"/>
                <w:lang w:eastAsia="zh-CN"/>
              </w:rPr>
              <w:t>本年收费金额（单位：万元）</w:t>
            </w:r>
          </w:p>
        </w:tc>
      </w:tr>
      <w:tr>
        <w:tblPrEx>
          <w:tblW w:w="8472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/>
          <w:jc w:val="center"/>
        </w:trPr>
        <w:tc>
          <w:tcPr>
            <w:tcW w:w="2847" w:type="dxa"/>
            <w:noWrap/>
            <w:vAlign w:val="top"/>
          </w:tcPr>
          <w:p>
            <w:pPr>
              <w:widowControl/>
              <w:spacing w:after="144" w:line="300" w:lineRule="exact"/>
              <w:jc w:val="left"/>
              <w:rPr>
                <w:sz w:val="24"/>
                <w:shd w:val="clear" w:color="auto" w:fill="auto"/>
              </w:rPr>
            </w:pPr>
            <w:r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bidi="ar"/>
              </w:rPr>
              <w:t>行政事业性收费</w:t>
            </w:r>
          </w:p>
        </w:tc>
        <w:tc>
          <w:tcPr>
            <w:tcW w:w="5625" w:type="dxa"/>
            <w:gridSpan w:val="3"/>
            <w:noWrap/>
            <w:vAlign w:val="top"/>
          </w:tcPr>
          <w:p>
            <w:pPr>
              <w:widowControl/>
              <w:tabs>
                <w:tab w:val="left" w:pos="2201"/>
              </w:tabs>
              <w:spacing w:after="144" w:line="300" w:lineRule="exact"/>
              <w:jc w:val="left"/>
              <w:rPr>
                <w:rFonts w:eastAsia="宋体" w:hint="default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eastAsia="zh-CN"/>
              </w:rPr>
              <w:tab/>
            </w: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1186.37万元</w:t>
            </w:r>
          </w:p>
        </w:tc>
      </w:tr>
    </w:tbl>
    <w:p>
      <w:pPr>
        <w:pStyle w:val="NormalWeb"/>
        <w:widowControl/>
        <w:spacing w:before="0" w:beforeAutospacing="0" w:after="0" w:afterAutospacing="0" w:line="560" w:lineRule="exact"/>
        <w:ind w:firstLine="640" w:firstLineChars="200"/>
        <w:jc w:val="both"/>
        <w:rPr>
          <w:rFonts w:ascii="黑体" w:eastAsia="黑体" w:hAnsi="黑体" w:cs="宋体" w:hint="eastAsia"/>
          <w:sz w:val="32"/>
          <w:szCs w:val="30"/>
          <w:shd w:val="clear" w:color="auto" w:fill="auto"/>
        </w:rPr>
      </w:pPr>
      <w:r>
        <w:rPr>
          <w:rFonts w:ascii="黑体" w:eastAsia="黑体" w:hAnsi="黑体" w:cs="宋体" w:hint="eastAsia"/>
          <w:sz w:val="32"/>
          <w:szCs w:val="30"/>
          <w:shd w:val="clear" w:color="auto" w:fill="auto"/>
        </w:rPr>
        <w:t>三、收到和处理政府信息公开申请情况</w:t>
      </w:r>
    </w:p>
    <w:tbl>
      <w:tblPr>
        <w:tblStyle w:val="TableNormal"/>
        <w:tblW w:w="83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6"/>
        <w:gridCol w:w="936"/>
        <w:gridCol w:w="2756"/>
        <w:gridCol w:w="456"/>
        <w:gridCol w:w="652"/>
        <w:gridCol w:w="656"/>
        <w:gridCol w:w="655"/>
        <w:gridCol w:w="656"/>
        <w:gridCol w:w="464"/>
        <w:gridCol w:w="456"/>
      </w:tblGrid>
      <w:tr>
        <w:tblPrEx>
          <w:tblW w:w="838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/>
          <w:jc w:val="center"/>
        </w:trPr>
        <w:tc>
          <w:tcPr>
            <w:tcW w:w="4388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  <w:shd w:val="clear" w:color="auto" w:fill="auto"/>
              </w:rPr>
            </w:pPr>
            <w:r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bidi="ar"/>
              </w:rPr>
              <w:t>（本列数据的</w:t>
            </w:r>
            <w:bookmarkStart w:id="2" w:name="hmcheck_0ba71131faa54c0e9ca3f543fa7bccf5"/>
            <w:r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bidi="ar"/>
              </w:rPr>
              <w:t>勾稽</w:t>
            </w:r>
            <w:bookmarkEnd w:id="2"/>
            <w:r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bidi="ar"/>
              </w:rPr>
              <w:t>关系为：第一项加第二项之和，等于第三项加第四项之和）</w:t>
            </w:r>
          </w:p>
        </w:tc>
        <w:tc>
          <w:tcPr>
            <w:tcW w:w="3995" w:type="dxa"/>
            <w:gridSpan w:val="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  <w:shd w:val="clear" w:color="auto" w:fill="auto"/>
              </w:rPr>
            </w:pPr>
            <w:r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bidi="ar"/>
              </w:rPr>
              <w:t>申请人情况</w:t>
            </w:r>
          </w:p>
        </w:tc>
      </w:tr>
      <w:tr>
        <w:tblPrEx>
          <w:tblW w:w="8383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88" w:type="dxa"/>
            <w:gridSpan w:val="3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int="eastAsia"/>
                <w:sz w:val="24"/>
                <w:shd w:val="clear" w:color="auto" w:fill="auto"/>
              </w:rPr>
            </w:pPr>
          </w:p>
        </w:tc>
        <w:tc>
          <w:tcPr>
            <w:tcW w:w="45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  <w:shd w:val="clear" w:color="auto" w:fill="auto"/>
              </w:rPr>
            </w:pPr>
            <w:r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bidi="ar"/>
              </w:rPr>
              <w:t>自然人</w:t>
            </w:r>
          </w:p>
        </w:tc>
        <w:tc>
          <w:tcPr>
            <w:tcW w:w="3083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  <w:shd w:val="clear" w:color="auto" w:fill="auto"/>
              </w:rPr>
            </w:pPr>
            <w:r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bidi="ar"/>
              </w:rPr>
              <w:t>法人或其他组织</w:t>
            </w:r>
          </w:p>
        </w:tc>
        <w:tc>
          <w:tcPr>
            <w:tcW w:w="45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  <w:shd w:val="clear" w:color="auto" w:fill="auto"/>
              </w:rPr>
            </w:pPr>
            <w:r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bidi="ar"/>
              </w:rPr>
              <w:t>总计</w:t>
            </w:r>
          </w:p>
        </w:tc>
      </w:tr>
      <w:tr>
        <w:tblPrEx>
          <w:tblW w:w="8383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/>
          <w:jc w:val="center"/>
        </w:trPr>
        <w:tc>
          <w:tcPr>
            <w:tcW w:w="4388" w:type="dxa"/>
            <w:gridSpan w:val="3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int="eastAsia"/>
                <w:sz w:val="24"/>
                <w:shd w:val="clear" w:color="auto" w:fill="auto"/>
              </w:rPr>
            </w:pPr>
          </w:p>
        </w:tc>
        <w:tc>
          <w:tcPr>
            <w:tcW w:w="456" w:type="dxa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int="eastAsia"/>
                <w:sz w:val="24"/>
                <w:shd w:val="clear" w:color="auto" w:fill="auto"/>
              </w:rPr>
            </w:pP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  <w:shd w:val="clear" w:color="auto" w:fill="auto"/>
              </w:rPr>
            </w:pPr>
            <w:r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bidi="ar"/>
              </w:rPr>
              <w:t>商业企业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  <w:shd w:val="clear" w:color="auto" w:fill="auto"/>
              </w:rPr>
            </w:pPr>
            <w:r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bidi="ar"/>
              </w:rPr>
              <w:t>科研机构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  <w:shd w:val="clear" w:color="auto" w:fill="auto"/>
              </w:rPr>
            </w:pPr>
            <w:r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bidi="ar"/>
              </w:rPr>
              <w:t>社会公益组织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  <w:shd w:val="clear" w:color="auto" w:fill="auto"/>
              </w:rPr>
            </w:pPr>
            <w:r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bidi="ar"/>
              </w:rPr>
              <w:t>法律服务机构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  <w:shd w:val="clear" w:color="auto" w:fill="auto"/>
              </w:rPr>
            </w:pPr>
            <w:r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bidi="ar"/>
              </w:rPr>
              <w:t>其他</w:t>
            </w:r>
          </w:p>
        </w:tc>
        <w:tc>
          <w:tcPr>
            <w:tcW w:w="456" w:type="dxa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int="eastAsia"/>
                <w:sz w:val="24"/>
                <w:shd w:val="clear" w:color="auto" w:fill="auto"/>
              </w:rPr>
            </w:pPr>
          </w:p>
        </w:tc>
      </w:tr>
      <w:tr>
        <w:tblPrEx>
          <w:tblW w:w="8383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/>
          <w:jc w:val="center"/>
        </w:trPr>
        <w:tc>
          <w:tcPr>
            <w:tcW w:w="4388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sz w:val="24"/>
                <w:shd w:val="clear" w:color="auto" w:fill="auto"/>
              </w:rPr>
            </w:pPr>
            <w:r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bidi="ar"/>
              </w:rPr>
              <w:t>一、本年新收政府信息公开申请数量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W w:w="8383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  <w:jc w:val="center"/>
        </w:trPr>
        <w:tc>
          <w:tcPr>
            <w:tcW w:w="4388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sz w:val="24"/>
                <w:shd w:val="clear" w:color="auto" w:fill="auto"/>
              </w:rPr>
            </w:pPr>
            <w:r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bidi="ar"/>
              </w:rPr>
              <w:t>二、上年结转政府信息公开申请数量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W w:w="8383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/>
          <w:jc w:val="center"/>
        </w:trPr>
        <w:tc>
          <w:tcPr>
            <w:tcW w:w="69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  <w:shd w:val="clear" w:color="auto" w:fill="auto"/>
              </w:rPr>
            </w:pPr>
            <w:r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bidi="ar"/>
              </w:rPr>
              <w:t>三、本年度办理结果</w:t>
            </w:r>
          </w:p>
        </w:tc>
        <w:tc>
          <w:tcPr>
            <w:tcW w:w="3692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bidi="ar"/>
              </w:rPr>
              <w:t>（一）予以公开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W w:w="8383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/>
          <w:jc w:val="center"/>
        </w:trPr>
        <w:tc>
          <w:tcPr>
            <w:tcW w:w="696" w:type="dxa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int="eastAsia"/>
                <w:sz w:val="24"/>
                <w:shd w:val="clear" w:color="auto" w:fill="auto"/>
              </w:rPr>
            </w:pPr>
          </w:p>
        </w:tc>
        <w:tc>
          <w:tcPr>
            <w:tcW w:w="3692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bidi="ar"/>
              </w:rPr>
              <w:t>（二）部分公开（区分处理的，只</w:t>
            </w:r>
            <w:bookmarkStart w:id="3" w:name="hmcheck_705ff57044d74e96bd917fcb6203cc70"/>
            <w:r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bidi="ar"/>
              </w:rPr>
              <w:t>计</w:t>
            </w:r>
            <w:bookmarkEnd w:id="3"/>
            <w:r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bidi="ar"/>
              </w:rPr>
              <w:t>这一情形，不计其他情形）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W w:w="8383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int="eastAsia"/>
                <w:sz w:val="24"/>
                <w:shd w:val="clear" w:color="auto" w:fill="auto"/>
              </w:rPr>
            </w:pPr>
          </w:p>
        </w:tc>
        <w:tc>
          <w:tcPr>
            <w:tcW w:w="93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bidi="ar"/>
              </w:rPr>
              <w:t>（三）不予公开</w:t>
            </w: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bidi="ar"/>
              </w:rPr>
              <w:t>1.属于国家秘密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W w:w="8383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/>
          <w:jc w:val="center"/>
        </w:trPr>
        <w:tc>
          <w:tcPr>
            <w:tcW w:w="696" w:type="dxa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int="eastAsia"/>
                <w:sz w:val="24"/>
                <w:shd w:val="clear" w:color="auto" w:fill="auto"/>
              </w:rPr>
            </w:pPr>
          </w:p>
        </w:tc>
        <w:tc>
          <w:tcPr>
            <w:tcW w:w="936" w:type="dxa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bidi="ar"/>
              </w:rPr>
            </w:pP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bidi="ar"/>
              </w:rPr>
              <w:t>2.其他法律行政法规禁止公开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W w:w="8383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int="eastAsia"/>
                <w:sz w:val="24"/>
                <w:shd w:val="clear" w:color="auto" w:fill="auto"/>
              </w:rPr>
            </w:pPr>
          </w:p>
        </w:tc>
        <w:tc>
          <w:tcPr>
            <w:tcW w:w="936" w:type="dxa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bidi="ar"/>
              </w:rPr>
            </w:pP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bidi="ar"/>
              </w:rPr>
              <w:t>3.危及“三安全一稳定”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W w:w="8383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int="eastAsia"/>
                <w:sz w:val="24"/>
                <w:shd w:val="clear" w:color="auto" w:fill="auto"/>
              </w:rPr>
            </w:pPr>
          </w:p>
        </w:tc>
        <w:tc>
          <w:tcPr>
            <w:tcW w:w="936" w:type="dxa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bidi="ar"/>
              </w:rPr>
            </w:pP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bidi="ar"/>
              </w:rPr>
              <w:t>4.保护第三方合法权益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W w:w="8383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int="eastAsia"/>
                <w:sz w:val="24"/>
                <w:shd w:val="clear" w:color="auto" w:fill="auto"/>
              </w:rPr>
            </w:pPr>
          </w:p>
        </w:tc>
        <w:tc>
          <w:tcPr>
            <w:tcW w:w="936" w:type="dxa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bidi="ar"/>
              </w:rPr>
            </w:pP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bidi="ar"/>
              </w:rPr>
              <w:t>5.属于三类内部事务信息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W w:w="8383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int="eastAsia"/>
                <w:sz w:val="24"/>
                <w:shd w:val="clear" w:color="auto" w:fill="auto"/>
              </w:rPr>
            </w:pPr>
          </w:p>
        </w:tc>
        <w:tc>
          <w:tcPr>
            <w:tcW w:w="936" w:type="dxa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bidi="ar"/>
              </w:rPr>
            </w:pP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bidi="ar"/>
              </w:rPr>
              <w:t>6.属于四类过程性信息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W w:w="8383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int="eastAsia"/>
                <w:sz w:val="24"/>
                <w:shd w:val="clear" w:color="auto" w:fill="auto"/>
              </w:rPr>
            </w:pPr>
          </w:p>
        </w:tc>
        <w:tc>
          <w:tcPr>
            <w:tcW w:w="936" w:type="dxa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bidi="ar"/>
              </w:rPr>
            </w:pP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bidi="ar"/>
              </w:rPr>
              <w:t>7.属于行政执法案卷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W w:w="8383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/>
          <w:jc w:val="center"/>
        </w:trPr>
        <w:tc>
          <w:tcPr>
            <w:tcW w:w="696" w:type="dxa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int="eastAsia"/>
                <w:sz w:val="24"/>
                <w:shd w:val="clear" w:color="auto" w:fill="auto"/>
              </w:rPr>
            </w:pPr>
          </w:p>
        </w:tc>
        <w:tc>
          <w:tcPr>
            <w:tcW w:w="936" w:type="dxa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bidi="ar"/>
              </w:rPr>
            </w:pP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bidi="ar"/>
              </w:rPr>
              <w:t>8.属于行政查询事项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W w:w="8383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/>
          <w:jc w:val="center"/>
        </w:trPr>
        <w:tc>
          <w:tcPr>
            <w:tcW w:w="696" w:type="dxa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int="eastAsia"/>
                <w:sz w:val="24"/>
                <w:shd w:val="clear" w:color="auto" w:fill="auto"/>
              </w:rPr>
            </w:pPr>
          </w:p>
        </w:tc>
        <w:tc>
          <w:tcPr>
            <w:tcW w:w="93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bidi="ar"/>
              </w:rPr>
              <w:t>（四）无法提供</w:t>
            </w: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bidi="ar"/>
              </w:rPr>
              <w:t>1.本机关不掌握相关政府信息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W w:w="8383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int="eastAsia"/>
                <w:sz w:val="24"/>
                <w:shd w:val="clear" w:color="auto" w:fill="auto"/>
              </w:rPr>
            </w:pPr>
          </w:p>
        </w:tc>
        <w:tc>
          <w:tcPr>
            <w:tcW w:w="936" w:type="dxa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bidi="ar"/>
              </w:rPr>
            </w:pP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bidi="ar"/>
              </w:rPr>
              <w:t>2.没有现成信息需要另行制作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W w:w="8383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int="eastAsia"/>
                <w:sz w:val="24"/>
                <w:shd w:val="clear" w:color="auto" w:fill="auto"/>
              </w:rPr>
            </w:pPr>
          </w:p>
        </w:tc>
        <w:tc>
          <w:tcPr>
            <w:tcW w:w="936" w:type="dxa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bidi="ar"/>
              </w:rPr>
            </w:pP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bidi="ar"/>
              </w:rPr>
              <w:t>3.补正后申请内容仍不明确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W w:w="8383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int="eastAsia"/>
                <w:sz w:val="24"/>
                <w:shd w:val="clear" w:color="auto" w:fill="auto"/>
              </w:rPr>
            </w:pPr>
          </w:p>
        </w:tc>
        <w:tc>
          <w:tcPr>
            <w:tcW w:w="93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bidi="ar"/>
              </w:rPr>
              <w:t>（五）不予处理</w:t>
            </w: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bidi="ar"/>
              </w:rPr>
              <w:t>1.信访举报投诉类申请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W w:w="8383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int="eastAsia"/>
                <w:sz w:val="24"/>
                <w:shd w:val="clear" w:color="auto" w:fill="auto"/>
              </w:rPr>
            </w:pPr>
          </w:p>
        </w:tc>
        <w:tc>
          <w:tcPr>
            <w:tcW w:w="936" w:type="dxa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bidi="ar"/>
              </w:rPr>
            </w:pP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bidi="ar"/>
              </w:rPr>
              <w:t>2.重复申请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W w:w="8383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int="eastAsia"/>
                <w:sz w:val="24"/>
                <w:shd w:val="clear" w:color="auto" w:fill="auto"/>
              </w:rPr>
            </w:pPr>
          </w:p>
        </w:tc>
        <w:tc>
          <w:tcPr>
            <w:tcW w:w="936" w:type="dxa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bidi="ar"/>
              </w:rPr>
            </w:pP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bidi="ar"/>
              </w:rPr>
              <w:t>3.要求提供公开出版物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W w:w="8383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int="eastAsia"/>
                <w:sz w:val="24"/>
                <w:shd w:val="clear" w:color="auto" w:fill="auto"/>
              </w:rPr>
            </w:pPr>
          </w:p>
        </w:tc>
        <w:tc>
          <w:tcPr>
            <w:tcW w:w="936" w:type="dxa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bidi="ar"/>
              </w:rPr>
            </w:pP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bidi="ar"/>
              </w:rPr>
              <w:t>4.无正当理由大量反复申请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W w:w="8383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int="eastAsia"/>
                <w:sz w:val="24"/>
                <w:shd w:val="clear" w:color="auto" w:fill="auto"/>
              </w:rPr>
            </w:pPr>
          </w:p>
        </w:tc>
        <w:tc>
          <w:tcPr>
            <w:tcW w:w="936" w:type="dxa"/>
            <w:vMerge/>
            <w:tcBorders>
              <w:bottom w:val="single" w:sz="4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bidi="ar"/>
              </w:rPr>
            </w:pPr>
          </w:p>
        </w:tc>
        <w:tc>
          <w:tcPr>
            <w:tcW w:w="2756" w:type="dxa"/>
            <w:tcBorders>
              <w:bottom w:val="single" w:sz="4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bidi="ar"/>
              </w:rPr>
              <w:t>5.要求行政机关确认或重新出具已获取信息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W w:w="8383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/>
            <w:tcBorders>
              <w:right w:val="single" w:sz="4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int="eastAsia"/>
                <w:sz w:val="24"/>
                <w:shd w:val="clear" w:color="auto" w:fill="auto"/>
              </w:rPr>
            </w:pP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bidi="ar"/>
              </w:rPr>
              <w:t>（六）其他处理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 w:hint="default"/>
                <w:kern w:val="0"/>
                <w:sz w:val="24"/>
                <w:shd w:val="clear" w:color="auto" w:fill="auto"/>
                <w:lang w:val="en-US" w:eastAsia="zh-CN"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456" w:type="dxa"/>
            <w:tcBorders>
              <w:left w:val="single" w:sz="4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W w:w="8383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/>
            <w:tcBorders>
              <w:right w:val="single" w:sz="4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int="eastAsia"/>
                <w:sz w:val="24"/>
                <w:shd w:val="clear" w:color="auto" w:fill="auto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bidi="ar"/>
              </w:rPr>
            </w:pPr>
          </w:p>
        </w:tc>
        <w:tc>
          <w:tcPr>
            <w:tcW w:w="2756" w:type="dxa"/>
            <w:tcBorders>
              <w:left w:val="single" w:sz="4" w:space="0" w:color="auto"/>
              <w:right w:val="single" w:sz="4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 w:hint="default"/>
                <w:kern w:val="0"/>
                <w:sz w:val="24"/>
                <w:shd w:val="clear" w:color="auto" w:fill="auto"/>
                <w:lang w:val="en-US" w:eastAsia="zh-CN"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456" w:type="dxa"/>
            <w:tcBorders>
              <w:left w:val="single" w:sz="4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cs="Calibri" w:hint="eastAsia"/>
                <w:kern w:val="0"/>
                <w:sz w:val="24"/>
                <w:shd w:val="clear" w:color="auto" w:fill="auto"/>
                <w:lang w:val="en-US" w:eastAsia="zh-CN" w:bidi="ar"/>
              </w:rPr>
            </w:pPr>
            <w:r>
              <w:rPr>
                <w:rFonts w:cs="Calibri" w:hint="eastAsia"/>
                <w:kern w:val="0"/>
                <w:sz w:val="24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cs="Calibri" w:hint="eastAsia"/>
                <w:kern w:val="0"/>
                <w:sz w:val="24"/>
                <w:shd w:val="clear" w:color="auto" w:fill="auto"/>
                <w:lang w:val="en-US" w:eastAsia="zh-CN" w:bidi="ar"/>
              </w:rPr>
            </w:pPr>
            <w:r>
              <w:rPr>
                <w:rFonts w:cs="Calibri" w:hint="eastAsia"/>
                <w:kern w:val="0"/>
                <w:sz w:val="24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cs="Calibri" w:hint="eastAsia"/>
                <w:kern w:val="0"/>
                <w:sz w:val="24"/>
                <w:shd w:val="clear" w:color="auto" w:fill="auto"/>
                <w:lang w:val="en-US" w:eastAsia="zh-CN" w:bidi="ar"/>
              </w:rPr>
            </w:pPr>
            <w:r>
              <w:rPr>
                <w:rFonts w:cs="Calibri" w:hint="eastAsia"/>
                <w:kern w:val="0"/>
                <w:sz w:val="24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cs="Calibri" w:hint="eastAsia"/>
                <w:kern w:val="0"/>
                <w:sz w:val="24"/>
                <w:shd w:val="clear" w:color="auto" w:fill="auto"/>
                <w:lang w:val="en-US" w:eastAsia="zh-CN" w:bidi="ar"/>
              </w:rPr>
            </w:pPr>
            <w:r>
              <w:rPr>
                <w:rFonts w:cs="Calibri" w:hint="eastAsia"/>
                <w:kern w:val="0"/>
                <w:sz w:val="24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cs="Calibri" w:hint="eastAsia"/>
                <w:kern w:val="0"/>
                <w:sz w:val="24"/>
                <w:shd w:val="clear" w:color="auto" w:fill="auto"/>
                <w:lang w:val="en-US" w:eastAsia="zh-CN" w:bidi="ar"/>
              </w:rPr>
            </w:pPr>
            <w:r>
              <w:rPr>
                <w:rFonts w:cs="Calibri" w:hint="eastAsia"/>
                <w:kern w:val="0"/>
                <w:sz w:val="24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cs="Calibri" w:hint="eastAsia"/>
                <w:kern w:val="0"/>
                <w:sz w:val="24"/>
                <w:shd w:val="clear" w:color="auto" w:fill="auto"/>
                <w:lang w:val="en-US" w:eastAsia="zh-CN" w:bidi="ar"/>
              </w:rPr>
            </w:pPr>
            <w:r>
              <w:rPr>
                <w:rFonts w:cs="Calibri" w:hint="eastAsia"/>
                <w:kern w:val="0"/>
                <w:sz w:val="24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cs="Calibri" w:hint="eastAsia"/>
                <w:kern w:val="0"/>
                <w:sz w:val="24"/>
                <w:shd w:val="clear" w:color="auto" w:fill="auto"/>
                <w:lang w:val="en-US" w:eastAsia="zh-CN" w:bidi="ar"/>
              </w:rPr>
            </w:pPr>
            <w:r>
              <w:rPr>
                <w:rFonts w:cs="Calibri" w:hint="eastAsia"/>
                <w:kern w:val="0"/>
                <w:sz w:val="24"/>
                <w:shd w:val="clear" w:color="auto" w:fill="auto"/>
                <w:lang w:val="en-US" w:eastAsia="zh-CN" w:bidi="ar"/>
              </w:rPr>
              <w:t>0</w:t>
            </w:r>
          </w:p>
        </w:tc>
      </w:tr>
      <w:tr>
        <w:tblPrEx>
          <w:tblW w:w="8383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/>
            <w:tcBorders>
              <w:right w:val="single" w:sz="4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int="eastAsia"/>
                <w:sz w:val="24"/>
                <w:shd w:val="clear" w:color="auto" w:fill="auto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bidi="ar"/>
              </w:rPr>
            </w:pPr>
          </w:p>
        </w:tc>
        <w:tc>
          <w:tcPr>
            <w:tcW w:w="2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 w:hint="default"/>
                <w:kern w:val="0"/>
                <w:sz w:val="24"/>
                <w:shd w:val="clear" w:color="auto" w:fill="auto"/>
                <w:lang w:val="en-US" w:eastAsia="zh-CN"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val="en-US" w:eastAsia="zh-CN" w:bidi="ar"/>
              </w:rPr>
              <w:t>3.其他</w:t>
            </w:r>
          </w:p>
        </w:tc>
        <w:tc>
          <w:tcPr>
            <w:tcW w:w="456" w:type="dxa"/>
            <w:tcBorders>
              <w:left w:val="single" w:sz="4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cs="Calibri" w:hint="eastAsia"/>
                <w:kern w:val="0"/>
                <w:sz w:val="24"/>
                <w:shd w:val="clear" w:color="auto" w:fill="auto"/>
                <w:lang w:val="en-US" w:eastAsia="zh-CN" w:bidi="ar"/>
              </w:rPr>
            </w:pPr>
            <w:r>
              <w:rPr>
                <w:rFonts w:cs="Calibri" w:hint="eastAsia"/>
                <w:kern w:val="0"/>
                <w:sz w:val="24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cs="Calibri" w:hint="eastAsia"/>
                <w:kern w:val="0"/>
                <w:sz w:val="24"/>
                <w:shd w:val="clear" w:color="auto" w:fill="auto"/>
                <w:lang w:val="en-US" w:eastAsia="zh-CN" w:bidi="ar"/>
              </w:rPr>
            </w:pPr>
            <w:r>
              <w:rPr>
                <w:rFonts w:cs="Calibri" w:hint="eastAsia"/>
                <w:kern w:val="0"/>
                <w:sz w:val="24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cs="Calibri" w:hint="eastAsia"/>
                <w:kern w:val="0"/>
                <w:sz w:val="24"/>
                <w:shd w:val="clear" w:color="auto" w:fill="auto"/>
                <w:lang w:val="en-US" w:eastAsia="zh-CN" w:bidi="ar"/>
              </w:rPr>
            </w:pPr>
            <w:r>
              <w:rPr>
                <w:rFonts w:cs="Calibri" w:hint="eastAsia"/>
                <w:kern w:val="0"/>
                <w:sz w:val="24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cs="Calibri" w:hint="eastAsia"/>
                <w:kern w:val="0"/>
                <w:sz w:val="24"/>
                <w:shd w:val="clear" w:color="auto" w:fill="auto"/>
                <w:lang w:val="en-US" w:eastAsia="zh-CN" w:bidi="ar"/>
              </w:rPr>
            </w:pPr>
            <w:r>
              <w:rPr>
                <w:rFonts w:cs="Calibri" w:hint="eastAsia"/>
                <w:kern w:val="0"/>
                <w:sz w:val="24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cs="Calibri" w:hint="eastAsia"/>
                <w:kern w:val="0"/>
                <w:sz w:val="24"/>
                <w:shd w:val="clear" w:color="auto" w:fill="auto"/>
                <w:lang w:val="en-US" w:eastAsia="zh-CN" w:bidi="ar"/>
              </w:rPr>
            </w:pPr>
            <w:r>
              <w:rPr>
                <w:rFonts w:cs="Calibri" w:hint="eastAsia"/>
                <w:kern w:val="0"/>
                <w:sz w:val="24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cs="Calibri" w:hint="eastAsia"/>
                <w:kern w:val="0"/>
                <w:sz w:val="24"/>
                <w:shd w:val="clear" w:color="auto" w:fill="auto"/>
                <w:lang w:val="en-US" w:eastAsia="zh-CN" w:bidi="ar"/>
              </w:rPr>
            </w:pPr>
            <w:r>
              <w:rPr>
                <w:rFonts w:cs="Calibri" w:hint="eastAsia"/>
                <w:kern w:val="0"/>
                <w:sz w:val="24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cs="Calibri" w:hint="eastAsia"/>
                <w:kern w:val="0"/>
                <w:sz w:val="24"/>
                <w:shd w:val="clear" w:color="auto" w:fill="auto"/>
                <w:lang w:val="en-US" w:eastAsia="zh-CN" w:bidi="ar"/>
              </w:rPr>
            </w:pPr>
            <w:r>
              <w:rPr>
                <w:rFonts w:cs="Calibri" w:hint="eastAsia"/>
                <w:kern w:val="0"/>
                <w:sz w:val="24"/>
                <w:shd w:val="clear" w:color="auto" w:fill="auto"/>
                <w:lang w:val="en-US" w:eastAsia="zh-CN" w:bidi="ar"/>
              </w:rPr>
              <w:t>0</w:t>
            </w:r>
          </w:p>
        </w:tc>
      </w:tr>
      <w:tr>
        <w:tblPrEx>
          <w:tblW w:w="8383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/>
          <w:jc w:val="center"/>
        </w:trPr>
        <w:tc>
          <w:tcPr>
            <w:tcW w:w="696" w:type="dxa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int="eastAsia"/>
                <w:sz w:val="24"/>
                <w:shd w:val="clear" w:color="auto" w:fill="auto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bidi="ar"/>
              </w:rPr>
              <w:t>（七）总计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W w:w="8383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88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sz w:val="24"/>
                <w:shd w:val="clear" w:color="auto" w:fill="auto"/>
              </w:rPr>
            </w:pPr>
            <w:r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bidi="ar"/>
              </w:rPr>
              <w:t>四、结转下年度继续办理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eastAsia="宋体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ascii="宋体"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</w:tr>
    </w:tbl>
    <w:p>
      <w:pPr>
        <w:spacing w:line="560" w:lineRule="exact"/>
        <w:ind w:firstLine="637" w:firstLineChars="199"/>
        <w:rPr>
          <w:rFonts w:ascii="黑体" w:eastAsia="黑体" w:hAnsi="黑体" w:cs="宋体" w:hint="eastAsia"/>
          <w:sz w:val="32"/>
          <w:szCs w:val="32"/>
          <w:shd w:val="clear" w:color="auto" w:fill="auto"/>
        </w:rPr>
      </w:pPr>
      <w:r>
        <w:rPr>
          <w:rFonts w:ascii="黑体" w:eastAsia="黑体" w:hAnsi="黑体" w:cs="宋体" w:hint="eastAsia"/>
          <w:sz w:val="32"/>
          <w:szCs w:val="32"/>
          <w:shd w:val="clear" w:color="auto" w:fill="auto"/>
        </w:rPr>
        <w:t>四、政府信息公开行政复议、行政诉讼情况</w:t>
      </w:r>
    </w:p>
    <w:tbl>
      <w:tblPr>
        <w:tblStyle w:val="TableNormal"/>
        <w:tblW w:w="8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2"/>
        <w:gridCol w:w="495"/>
        <w:gridCol w:w="510"/>
        <w:gridCol w:w="495"/>
        <w:gridCol w:w="555"/>
        <w:gridCol w:w="570"/>
        <w:gridCol w:w="525"/>
        <w:gridCol w:w="645"/>
        <w:gridCol w:w="555"/>
        <w:gridCol w:w="675"/>
        <w:gridCol w:w="645"/>
        <w:gridCol w:w="600"/>
        <w:gridCol w:w="600"/>
        <w:gridCol w:w="600"/>
        <w:gridCol w:w="532"/>
      </w:tblGrid>
      <w:tr>
        <w:tblPrEx>
          <w:tblW w:w="850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57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bidi="ar"/>
              </w:rPr>
              <w:t>行政复议</w:t>
            </w:r>
          </w:p>
        </w:tc>
        <w:tc>
          <w:tcPr>
            <w:tcW w:w="5947" w:type="dxa"/>
            <w:gridSpan w:val="10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bidi="ar"/>
              </w:rPr>
              <w:t>行政诉讼</w:t>
            </w:r>
          </w:p>
        </w:tc>
      </w:tr>
      <w:tr>
        <w:tblPrEx>
          <w:tblW w:w="8504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/>
          <w:jc w:val="center"/>
        </w:trPr>
        <w:tc>
          <w:tcPr>
            <w:tcW w:w="502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bidi="ar"/>
              </w:rPr>
              <w:t>结果维持</w:t>
            </w:r>
          </w:p>
        </w:tc>
        <w:tc>
          <w:tcPr>
            <w:tcW w:w="495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bidi="ar"/>
              </w:rPr>
              <w:t>结果纠正</w:t>
            </w:r>
          </w:p>
        </w:tc>
        <w:tc>
          <w:tcPr>
            <w:tcW w:w="510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bidi="ar"/>
              </w:rPr>
              <w:t>其他结果</w:t>
            </w:r>
          </w:p>
        </w:tc>
        <w:tc>
          <w:tcPr>
            <w:tcW w:w="495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bidi="ar"/>
              </w:rPr>
              <w:t>尚未审结</w:t>
            </w:r>
          </w:p>
        </w:tc>
        <w:tc>
          <w:tcPr>
            <w:tcW w:w="555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bidi="ar"/>
              </w:rPr>
              <w:t>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bidi="ar"/>
              </w:rPr>
              <w:t>计</w:t>
            </w:r>
          </w:p>
        </w:tc>
        <w:tc>
          <w:tcPr>
            <w:tcW w:w="2970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bidi="ar"/>
              </w:rPr>
              <w:t>未经复议直接起诉</w:t>
            </w:r>
          </w:p>
        </w:tc>
        <w:tc>
          <w:tcPr>
            <w:tcW w:w="2977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bidi="ar"/>
              </w:rPr>
              <w:t>复议后起诉</w:t>
            </w:r>
          </w:p>
        </w:tc>
      </w:tr>
      <w:tr>
        <w:tblPrEx>
          <w:tblW w:w="8504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2" w:type="dxa"/>
            <w:vMerge/>
            <w:tcBorders>
              <w:top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bidi="ar"/>
              </w:rPr>
            </w:pPr>
          </w:p>
        </w:tc>
        <w:tc>
          <w:tcPr>
            <w:tcW w:w="495" w:type="dxa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bidi="ar"/>
              </w:rPr>
            </w:pPr>
          </w:p>
        </w:tc>
        <w:tc>
          <w:tcPr>
            <w:tcW w:w="510" w:type="dxa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bidi="ar"/>
              </w:rPr>
            </w:pPr>
          </w:p>
        </w:tc>
        <w:tc>
          <w:tcPr>
            <w:tcW w:w="495" w:type="dxa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bidi="ar"/>
              </w:rPr>
            </w:pPr>
          </w:p>
        </w:tc>
        <w:tc>
          <w:tcPr>
            <w:tcW w:w="555" w:type="dxa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bidi="ar"/>
              </w:rPr>
            </w:pPr>
          </w:p>
        </w:tc>
        <w:tc>
          <w:tcPr>
            <w:tcW w:w="57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bidi="ar"/>
              </w:rPr>
              <w:t>结果维持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bidi="ar"/>
              </w:rPr>
              <w:t>结果纠正</w:t>
            </w:r>
          </w:p>
        </w:tc>
        <w:tc>
          <w:tcPr>
            <w:tcW w:w="64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bidi="ar"/>
              </w:rPr>
              <w:t>其他结果</w:t>
            </w:r>
          </w:p>
        </w:tc>
        <w:tc>
          <w:tcPr>
            <w:tcW w:w="5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bidi="ar"/>
              </w:rPr>
              <w:t>尚未审结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eastAsia="宋体" w:hAnsi="宋体" w:cs="宋体" w:hint="default"/>
                <w:kern w:val="0"/>
                <w:sz w:val="24"/>
                <w:shd w:val="clear" w:color="auto" w:fill="auto"/>
                <w:lang w:val="en-US" w:eastAsia="zh-CN"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bidi="ar"/>
              </w:rPr>
              <w:t>总</w:t>
            </w:r>
            <w:r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val="en-US" w:eastAsia="zh-CN" w:bidi="ar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bidi="ar"/>
              </w:rPr>
              <w:t>计</w:t>
            </w:r>
            <w:r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val="en-US" w:eastAsia="zh-CN" w:bidi="ar"/>
              </w:rPr>
              <w:t xml:space="preserve">   </w:t>
            </w:r>
          </w:p>
        </w:tc>
        <w:tc>
          <w:tcPr>
            <w:tcW w:w="64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bidi="ar"/>
              </w:rPr>
              <w:t>结果维持</w:t>
            </w:r>
          </w:p>
        </w:tc>
        <w:tc>
          <w:tcPr>
            <w:tcW w:w="60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bidi="ar"/>
              </w:rPr>
              <w:t>结果纠正</w:t>
            </w:r>
          </w:p>
        </w:tc>
        <w:tc>
          <w:tcPr>
            <w:tcW w:w="60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bidi="ar"/>
              </w:rPr>
              <w:t>其他结果</w:t>
            </w:r>
          </w:p>
        </w:tc>
        <w:tc>
          <w:tcPr>
            <w:tcW w:w="60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bidi="ar"/>
              </w:rPr>
              <w:t>尚未审结</w:t>
            </w:r>
          </w:p>
        </w:tc>
        <w:tc>
          <w:tcPr>
            <w:tcW w:w="53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bidi="ar"/>
              </w:rPr>
              <w:t>总计</w:t>
            </w:r>
          </w:p>
        </w:tc>
      </w:tr>
      <w:tr>
        <w:tblPrEx>
          <w:tblW w:w="8504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/>
          <w:jc w:val="center"/>
        </w:trPr>
        <w:tc>
          <w:tcPr>
            <w:tcW w:w="50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eastAsia="宋体" w:hAnsi="宋体" w:cs="宋体" w:hint="eastAsia"/>
                <w:kern w:val="0"/>
                <w:sz w:val="24"/>
                <w:shd w:val="clear" w:color="auto" w:fill="auto"/>
                <w:lang w:val="en-US" w:eastAsia="zh-CN"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9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eastAsia="宋体" w:hAnsi="宋体" w:cs="宋体" w:hint="eastAsia"/>
                <w:kern w:val="0"/>
                <w:sz w:val="24"/>
                <w:shd w:val="clear" w:color="auto" w:fill="auto"/>
                <w:lang w:val="en-US" w:eastAsia="zh-CN"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51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eastAsia="宋体" w:hAnsi="宋体" w:cs="宋体" w:hint="eastAsia"/>
                <w:kern w:val="0"/>
                <w:sz w:val="24"/>
                <w:shd w:val="clear" w:color="auto" w:fill="auto"/>
                <w:lang w:val="en-US" w:eastAsia="zh-CN"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9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eastAsia="宋体" w:hAnsi="宋体" w:cs="宋体" w:hint="eastAsia"/>
                <w:kern w:val="0"/>
                <w:sz w:val="24"/>
                <w:shd w:val="clear" w:color="auto" w:fill="auto"/>
                <w:lang w:val="en-US" w:eastAsia="zh-CN"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5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eastAsia="宋体" w:hAnsi="宋体" w:cs="宋体" w:hint="eastAsia"/>
                <w:kern w:val="0"/>
                <w:sz w:val="24"/>
                <w:shd w:val="clear" w:color="auto" w:fill="auto"/>
                <w:lang w:val="en-US" w:eastAsia="zh-CN"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57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eastAsia="宋体" w:hAnsi="宋体" w:cs="宋体" w:hint="eastAsia"/>
                <w:kern w:val="0"/>
                <w:sz w:val="24"/>
                <w:shd w:val="clear" w:color="auto" w:fill="auto"/>
                <w:lang w:val="en-US" w:eastAsia="zh-CN"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eastAsia="宋体" w:hAnsi="宋体" w:cs="宋体" w:hint="eastAsia"/>
                <w:kern w:val="0"/>
                <w:sz w:val="24"/>
                <w:shd w:val="clear" w:color="auto" w:fill="auto"/>
                <w:lang w:val="en-US" w:eastAsia="zh-CN"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4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eastAsia="宋体" w:hAnsi="宋体" w:cs="宋体" w:hint="eastAsia"/>
                <w:kern w:val="0"/>
                <w:sz w:val="24"/>
                <w:shd w:val="clear" w:color="auto" w:fill="auto"/>
                <w:lang w:val="en-US" w:eastAsia="zh-CN"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5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eastAsia="宋体" w:hAnsi="宋体" w:cs="宋体" w:hint="eastAsia"/>
                <w:kern w:val="0"/>
                <w:sz w:val="24"/>
                <w:shd w:val="clear" w:color="auto" w:fill="auto"/>
                <w:lang w:val="en-US" w:eastAsia="zh-CN"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eastAsia="宋体" w:hAnsi="宋体" w:cs="宋体" w:hint="eastAsia"/>
                <w:kern w:val="0"/>
                <w:sz w:val="24"/>
                <w:shd w:val="clear" w:color="auto" w:fill="auto"/>
                <w:lang w:val="en-US" w:eastAsia="zh-CN"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4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eastAsia="宋体" w:hAnsi="宋体" w:cs="宋体" w:hint="eastAsia"/>
                <w:kern w:val="0"/>
                <w:sz w:val="24"/>
                <w:shd w:val="clear" w:color="auto" w:fill="auto"/>
                <w:lang w:val="en-US" w:eastAsia="zh-CN"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0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eastAsia="宋体" w:hAnsi="宋体" w:cs="宋体" w:hint="eastAsia"/>
                <w:kern w:val="0"/>
                <w:sz w:val="24"/>
                <w:shd w:val="clear" w:color="auto" w:fill="auto"/>
                <w:lang w:val="en-US" w:eastAsia="zh-CN"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0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eastAsia="宋体" w:hAnsi="宋体" w:cs="宋体" w:hint="eastAsia"/>
                <w:kern w:val="0"/>
                <w:sz w:val="24"/>
                <w:shd w:val="clear" w:color="auto" w:fill="auto"/>
                <w:lang w:val="en-US" w:eastAsia="zh-CN"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0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eastAsia="宋体" w:hAnsi="宋体" w:cs="宋体" w:hint="eastAsia"/>
                <w:kern w:val="0"/>
                <w:sz w:val="24"/>
                <w:shd w:val="clear" w:color="auto" w:fill="auto"/>
                <w:lang w:val="en-US" w:eastAsia="zh-CN"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53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eastAsia="宋体" w:hAnsi="宋体" w:cs="宋体" w:hint="eastAsia"/>
                <w:kern w:val="0"/>
                <w:sz w:val="24"/>
                <w:shd w:val="clear" w:color="auto" w:fill="auto"/>
                <w:lang w:val="en-US" w:eastAsia="zh-CN"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hd w:val="clear" w:color="auto" w:fill="auto"/>
                <w:lang w:val="en-US" w:eastAsia="zh-CN" w:bidi="ar"/>
              </w:rPr>
              <w:t>0</w:t>
            </w:r>
          </w:p>
        </w:tc>
      </w:tr>
    </w:tbl>
    <w:p>
      <w:pPr>
        <w:spacing w:line="560" w:lineRule="exact"/>
        <w:ind w:firstLine="637" w:firstLineChars="199"/>
        <w:rPr>
          <w:rFonts w:ascii="黑体" w:eastAsia="黑体" w:hAnsi="黑体" w:cs="宋体" w:hint="eastAsia"/>
          <w:sz w:val="32"/>
          <w:szCs w:val="32"/>
          <w:shd w:val="clear" w:color="auto" w:fill="auto"/>
        </w:rPr>
      </w:pPr>
      <w:r>
        <w:rPr>
          <w:rFonts w:ascii="黑体" w:eastAsia="黑体" w:hAnsi="黑体" w:cs="宋体" w:hint="eastAsia"/>
          <w:sz w:val="32"/>
          <w:szCs w:val="32"/>
          <w:shd w:val="clear" w:color="auto" w:fill="auto"/>
        </w:rPr>
        <w:t>五、存在的主要问题及改进情况</w:t>
      </w:r>
    </w:p>
    <w:p>
      <w:pPr>
        <w:ind w:firstLine="640" w:firstLineChars="200"/>
        <w:jc w:val="left"/>
        <w:rPr>
          <w:rFonts w:ascii="黑体" w:eastAsia="黑体" w:hAnsi="黑体" w:cs="黑体" w:hint="eastAsia"/>
          <w:b w:val="0"/>
          <w:bCs w:val="0"/>
          <w:sz w:val="32"/>
          <w:szCs w:val="32"/>
          <w:shd w:val="clear" w:color="auto" w:fill="auto"/>
        </w:rPr>
      </w:pPr>
      <w:r>
        <w:rPr>
          <w:rFonts w:ascii="黑体" w:eastAsia="黑体" w:hAnsi="黑体" w:cs="黑体" w:hint="eastAsia"/>
          <w:b w:val="0"/>
          <w:bCs w:val="0"/>
          <w:sz w:val="32"/>
          <w:szCs w:val="32"/>
          <w:shd w:val="clear" w:color="auto" w:fill="auto"/>
        </w:rPr>
        <w:t>（一）存在的主要问题</w:t>
      </w:r>
    </w:p>
    <w:p>
      <w:pPr>
        <w:ind w:firstLine="640" w:firstLineChars="200"/>
        <w:jc w:val="left"/>
        <w:rPr>
          <w:rFonts w:ascii="仿宋_GB2312" w:eastAsia="仿宋_GB2312" w:hAnsi="仿宋_GB2312" w:cs="仿宋_GB2312" w:hint="eastAsia"/>
          <w:sz w:val="32"/>
          <w:szCs w:val="32"/>
          <w:shd w:val="clear" w:color="auto" w:fill="auto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auto"/>
        </w:rPr>
        <w:t>我局高度重视政府信息公开工作开展，采取一系列措施切实抓好工作落实，但与上级部门的工作要求相比，还存在一定的差距，主要表现为：信息公开方式还比较单一质量有待进一步提升，信息时效性有待提高，工作人员业务能力和水平还有待进一步提升，工作方法还需进一步创新，政策文件和政策解读发布有待进一步加强。　　</w:t>
      </w:r>
    </w:p>
    <w:p>
      <w:pPr>
        <w:ind w:firstLine="640" w:firstLineChars="200"/>
        <w:jc w:val="left"/>
        <w:rPr>
          <w:rFonts w:ascii="黑体" w:eastAsia="黑体" w:hAnsi="黑体" w:cs="黑体" w:hint="eastAsia"/>
          <w:sz w:val="32"/>
          <w:szCs w:val="32"/>
          <w:shd w:val="clear" w:color="auto" w:fill="auto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auto"/>
        </w:rPr>
        <w:t>（二）改进情况</w:t>
      </w:r>
    </w:p>
    <w:p>
      <w:pPr>
        <w:jc w:val="left"/>
        <w:rPr>
          <w:rFonts w:ascii="仿宋_GB2312" w:eastAsia="仿宋_GB2312" w:hAnsi="仿宋_GB2312" w:cs="仿宋_GB2312" w:hint="eastAsia"/>
          <w:sz w:val="32"/>
          <w:szCs w:val="32"/>
          <w:shd w:val="clear" w:color="auto" w:fill="auto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auto"/>
        </w:rPr>
        <w:t>一是加强理论学习。组织干部职工深入学习《中华人民共和国政府信息公开条例》等内容，强化广大干部职工对政府信息公开工作的认识，增强做好政府信息公开工作的自觉性、主动性，强化工作能力和水平提升。二是完善公开制度，不断完善政府信息公开各项规章制度，形成以制度管人、以制度谋事的长效机制，进一步规范我局政府信息公开工作。二是丰富公开形式。针对重点工作以及群众关心的热点问题等，通过图解、视频讲解等通俗易懂的形式进行公开，便于公众接受和理解。不断加大政府信息公开力度和方式，规范信息公开内容，提高信息公开质量，积极做好信息公开网站信息维护以及微信、微博、12345政务服务等新媒体运用等工作。三是强化宣传引导。开展多种形式的宣传活动，使更多公众参与到政府信息公开中来，充分保障其知情权、参与权和监督权。四是加强队伍建设和业务培训，提高信息公开质量和时效，加强对政策的研究掌握，及时发布相关文件和解读。</w:t>
      </w:r>
    </w:p>
    <w:p>
      <w:pPr>
        <w:spacing w:line="560" w:lineRule="exact"/>
        <w:ind w:firstLine="637" w:firstLineChars="199"/>
        <w:rPr>
          <w:rFonts w:ascii="黑体" w:eastAsia="黑体" w:hAnsi="黑体" w:cs="宋体" w:hint="eastAsia"/>
          <w:sz w:val="32"/>
          <w:szCs w:val="32"/>
          <w:shd w:val="clear" w:color="auto" w:fill="auto"/>
        </w:rPr>
      </w:pPr>
      <w:r>
        <w:rPr>
          <w:rFonts w:ascii="黑体" w:eastAsia="黑体" w:hAnsi="黑体" w:cs="宋体" w:hint="eastAsia"/>
          <w:sz w:val="32"/>
          <w:szCs w:val="32"/>
          <w:shd w:val="clear" w:color="auto" w:fill="auto"/>
        </w:rPr>
        <w:t>六、其他需要报告的事项</w:t>
      </w:r>
    </w:p>
    <w:p>
      <w:pPr>
        <w:spacing w:line="560" w:lineRule="exact"/>
        <w:ind w:firstLine="637" w:firstLineChars="199"/>
        <w:jc w:val="left"/>
        <w:rPr>
          <w:rFonts w:ascii="仿宋_GB2312" w:eastAsia="仿宋_GB2312" w:hAnsi="宋体" w:cs="宋体" w:hint="default"/>
          <w:sz w:val="32"/>
          <w:szCs w:val="32"/>
          <w:shd w:val="clear" w:color="auto" w:fill="auto"/>
          <w:lang w:val="en-US" w:eastAsia="zh-CN"/>
        </w:rPr>
      </w:pPr>
      <w:r>
        <w:rPr>
          <w:rFonts w:ascii="仿宋_GB2312" w:eastAsia="仿宋_GB2312" w:hAnsi="宋体" w:cs="宋体" w:hint="eastAsia"/>
          <w:sz w:val="32"/>
          <w:szCs w:val="32"/>
          <w:shd w:val="clear" w:color="auto" w:fill="auto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黑体" w:eastAsia="黑体" w:hAnsi="黑体" w:cs="黑体" w:hint="default"/>
          <w:sz w:val="32"/>
          <w:szCs w:val="32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Times New Roman" w:eastAsia="仿宋_GB2312" w:hAnsi="Times New Roman" w:cs="仿宋_GB2312" w:hint="eastAsia"/>
          <w:sz w:val="32"/>
          <w:szCs w:val="32"/>
          <w:shd w:val="clear" w:color="auto" w:fill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Times New Roman" w:eastAsia="仿宋_GB2312" w:hAnsi="Times New Roman" w:cs="仿宋_GB2312" w:hint="eastAsia"/>
          <w:sz w:val="32"/>
          <w:szCs w:val="32"/>
          <w:shd w:val="clear" w:color="auto" w:fill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Times New Roman" w:eastAsia="仿宋_GB2312" w:hAnsi="Times New Roman" w:cs="仿宋_GB2312" w:hint="eastAsia"/>
          <w:sz w:val="32"/>
          <w:szCs w:val="32"/>
          <w:shd w:val="clear" w:color="auto" w:fill="auto"/>
          <w:lang w:eastAsia="zh-CN"/>
        </w:rPr>
      </w:pPr>
    </w:p>
    <w:p>
      <w:pPr>
        <w:rPr>
          <w:shd w:val="clear" w:color="auto" w:fill="auto"/>
        </w:rPr>
      </w:pPr>
    </w:p>
    <w:p>
      <w:pPr>
        <w:rPr>
          <w:shd w:val="clear" w:color="auto" w:fill="auto"/>
        </w:rPr>
      </w:pPr>
    </w:p>
    <w:p>
      <w:pPr>
        <w:rPr>
          <w:shd w:val="clear" w:color="auto" w:fill="auto"/>
        </w:rPr>
      </w:pPr>
    </w:p>
    <w:p>
      <w:pPr>
        <w:rPr>
          <w:shd w:val="clear" w:color="auto" w:fill="auto"/>
        </w:rPr>
      </w:pPr>
    </w:p>
    <w:p>
      <w:pPr>
        <w:rPr>
          <w:shd w:val="clear" w:color="auto" w:fill="auto"/>
        </w:rPr>
      </w:pPr>
    </w:p>
    <w:p>
      <w:pPr>
        <w:ind w:firstLine="5120" w:firstLineChars="1600"/>
        <w:rPr>
          <w:rFonts w:ascii="仿宋_GB2312" w:eastAsia="仿宋_GB2312" w:hAnsi="仿宋_GB2312" w:cs="仿宋_GB2312" w:hint="eastAsia"/>
          <w:sz w:val="32"/>
          <w:szCs w:val="40"/>
          <w:shd w:val="clear" w:color="auto" w:fill="auto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40"/>
          <w:shd w:val="clear" w:color="auto" w:fill="auto"/>
          <w:lang w:val="en-US" w:eastAsia="zh-CN"/>
        </w:rPr>
        <w:t>乌苏市城市管理局</w:t>
      </w:r>
    </w:p>
    <w:p>
      <w:pPr>
        <w:ind w:firstLine="5120" w:firstLineChars="1600"/>
        <w:rPr>
          <w:rFonts w:ascii="仿宋_GB2312" w:eastAsia="仿宋_GB2312" w:hAnsi="仿宋_GB2312" w:cs="仿宋_GB2312" w:hint="eastAsia"/>
          <w:sz w:val="32"/>
          <w:szCs w:val="40"/>
          <w:shd w:val="clear" w:color="auto" w:fill="auto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40"/>
          <w:shd w:val="clear" w:color="auto" w:fill="auto"/>
          <w:lang w:val="en-US" w:eastAsia="zh-CN"/>
        </w:rPr>
        <w:t>2023年1月16日</w:t>
      </w:r>
    </w:p>
    <w:sectPr>
      <w:footerReference w:type="default" r:id="rId5"/>
      <w:pgSz w:w="11906" w:h="16838"/>
      <w:pgMar w:top="1587" w:right="1701" w:bottom="1417" w:left="1701" w:header="851" w:footer="992" w:gutter="0"/>
      <w:pgNumType w:fmt="decimal" w:start="4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Fonts w:ascii="宋体" w:eastAsia="宋体" w:hAnsi="宋体" w:cs="宋体" w:hint="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44"/>
                            </w:rPr>
                            <w:t>2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49" type="#_x0000_t202" style="width:2in;height:2in;margin-top:0;margin-left:0;mso-height-relative:page;mso-position-horizontal:center;mso-position-horizontal-relative:margin;mso-width-relative:page;mso-wrap-style:none;position:absolute;z-index:251659264" coordsize="21600,21600" filled="f" stroked="f">
              <o:lock v:ext="edit" aspectratio="f"/>
              <v:textbox style="mso-fit-shape-to-text:t" inset="0,0,0,0">
                <w:txbxContent>
                  <w:p>
                    <w:pPr>
                      <w:pStyle w:val="Footer"/>
                      <w:rPr>
                        <w:rFonts w:ascii="宋体" w:eastAsia="宋体" w:hAnsi="宋体" w:cs="宋体" w:hint="eastAsia"/>
                        <w:sz w:val="28"/>
                        <w:szCs w:val="44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44"/>
                      </w:rPr>
                      <w:t>2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96AEAA9"/>
    <w:rsid w:val="F7BB25F2"/>
    <w:rsid w:val="FDFE9EA9"/>
    <w:rsid w:val="04214161"/>
    <w:rsid w:val="07573F6D"/>
    <w:rsid w:val="089A079C"/>
    <w:rsid w:val="196AEAA9"/>
    <w:rsid w:val="223F2743"/>
    <w:rsid w:val="2E793800"/>
    <w:rsid w:val="33175A3D"/>
    <w:rsid w:val="43FF0DD4"/>
    <w:rsid w:val="68AB6C02"/>
    <w:rsid w:val="6A9C6163"/>
  </w:rsids>
  <w:docVars>
    <w:docVar w:name="commondata" w:val="eyJoZGlkIjoiMzdhNmE5ZmEyNmY1ZWIzOTkyNjI5YWViZGQ1MjJlYmYi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NormalWeb">
    <w:name w:val="Normal (Web)"/>
    <w:basedOn w:val="Normal"/>
    <w:qFormat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zfbgt</dc:creator>
  <cp:lastModifiedBy>喜文</cp:lastModifiedBy>
  <cp:revision>1</cp:revision>
  <dcterms:created xsi:type="dcterms:W3CDTF">2023-12-29T04:35:00Z</dcterms:created>
  <dcterms:modified xsi:type="dcterms:W3CDTF">2024-01-29T09:18:38Z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mcheck_markmode">
    <vt:i4>0</vt:i4>
  </property>
  <property fmtid="{D5CDD505-2E9C-101B-9397-08002B2CF9AE}" pid="3" name="hmcheck_result_0ba71131faa54c0e9ca3f543fa7bccf5_correctwords">
    <vt:lpwstr>["钩稽"]</vt:lpwstr>
  </property>
  <property fmtid="{D5CDD505-2E9C-101B-9397-08002B2CF9AE}" pid="4" name="hmcheck_result_0ba71131faa54c0e9ca3f543fa7bccf5_errorword">
    <vt:lpwstr>勾稽</vt:lpwstr>
  </property>
  <property fmtid="{D5CDD505-2E9C-101B-9397-08002B2CF9AE}" pid="5" name="hmcheck_result_0ba71131faa54c0e9ca3f543fa7bccf5_level">
    <vt:i4>1</vt:i4>
  </property>
  <property fmtid="{D5CDD505-2E9C-101B-9397-08002B2CF9AE}" pid="6" name="hmcheck_result_0ba71131faa54c0e9ca3f543fa7bccf5_modifiedtype">
    <vt:i4>1</vt:i4>
  </property>
  <property fmtid="{D5CDD505-2E9C-101B-9397-08002B2CF9AE}" pid="7" name="hmcheck_result_0ba71131faa54c0e9ca3f543fa7bccf5_type">
    <vt:i4>5</vt:i4>
  </property>
  <property fmtid="{D5CDD505-2E9C-101B-9397-08002B2CF9AE}" pid="8" name="hmcheck_result_567b3f0129b545e59bb7835719b4f9a0_correctwords">
    <vt:lpwstr>["二十大精神"]</vt:lpwstr>
  </property>
  <property fmtid="{D5CDD505-2E9C-101B-9397-08002B2CF9AE}" pid="9" name="hmcheck_result_567b3f0129b545e59bb7835719b4f9a0_errorword">
    <vt:lpwstr>二十大会议精神</vt:lpwstr>
  </property>
  <property fmtid="{D5CDD505-2E9C-101B-9397-08002B2CF9AE}" pid="10" name="hmcheck_result_567b3f0129b545e59bb7835719b4f9a0_level">
    <vt:i4>1</vt:i4>
  </property>
  <property fmtid="{D5CDD505-2E9C-101B-9397-08002B2CF9AE}" pid="11" name="hmcheck_result_567b3f0129b545e59bb7835719b4f9a0_modifiedtype">
    <vt:i4>2</vt:i4>
  </property>
  <property fmtid="{D5CDD505-2E9C-101B-9397-08002B2CF9AE}" pid="12" name="hmcheck_result_567b3f0129b545e59bb7835719b4f9a0_modifiedword">
    <vt:lpwstr>二十大精神</vt:lpwstr>
  </property>
  <property fmtid="{D5CDD505-2E9C-101B-9397-08002B2CF9AE}" pid="13" name="hmcheck_result_567b3f0129b545e59bb7835719b4f9a0_type">
    <vt:i4>0</vt:i4>
  </property>
  <property fmtid="{D5CDD505-2E9C-101B-9397-08002B2CF9AE}" pid="14" name="hmcheck_result_705ff57044d74e96bd917fcb6203cc70_correctwords">
    <vt:lpwstr>[]</vt:lpwstr>
  </property>
  <property fmtid="{D5CDD505-2E9C-101B-9397-08002B2CF9AE}" pid="15" name="hmcheck_result_705ff57044d74e96bd917fcb6203cc70_errorword">
    <vt:lpwstr>计</vt:lpwstr>
  </property>
  <property fmtid="{D5CDD505-2E9C-101B-9397-08002B2CF9AE}" pid="16" name="hmcheck_result_705ff57044d74e96bd917fcb6203cc70_level">
    <vt:i4>2</vt:i4>
  </property>
  <property fmtid="{D5CDD505-2E9C-101B-9397-08002B2CF9AE}" pid="17" name="hmcheck_result_705ff57044d74e96bd917fcb6203cc70_modifiedtype">
    <vt:i4>1</vt:i4>
  </property>
  <property fmtid="{D5CDD505-2E9C-101B-9397-08002B2CF9AE}" pid="18" name="hmcheck_result_705ff57044d74e96bd917fcb6203cc70_type">
    <vt:i4>0</vt:i4>
  </property>
  <property fmtid="{D5CDD505-2E9C-101B-9397-08002B2CF9AE}" pid="19" name="ICV">
    <vt:lpwstr>80BCA35A13B04F7E8736134E20E47AD0</vt:lpwstr>
  </property>
  <property fmtid="{D5CDD505-2E9C-101B-9397-08002B2CF9AE}" pid="20" name="KSOProductBuildVer">
    <vt:lpwstr>2052-12.1.0.15374</vt:lpwstr>
  </property>
</Properties>
</file>