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shd w:val="clear" w:color="auto" w:fill="auto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shd w:val="clear" w:color="auto" w:fill="auto"/>
          <w:lang w:eastAsia="zh-CN"/>
        </w:rPr>
        <w:t>乌苏市信访局</w:t>
      </w:r>
      <w:r>
        <w:rPr>
          <w:rFonts w:hint="eastAsia" w:ascii="方正小标宋_GBK" w:hAnsi="仿宋_GB2312" w:eastAsia="方正小标宋_GBK" w:cs="仿宋_GB2312"/>
          <w:sz w:val="44"/>
          <w:szCs w:val="44"/>
          <w:shd w:val="clear" w:color="auto" w:fill="auto"/>
        </w:rPr>
        <w:t>政府信息公开工作</w:t>
      </w:r>
      <w:r>
        <w:rPr>
          <w:rFonts w:hint="eastAsia" w:ascii="方正小标宋_GBK" w:hAnsi="仿宋_GB2312" w:eastAsia="方正小标宋_GBK" w:cs="仿宋_GB2312"/>
          <w:sz w:val="44"/>
          <w:szCs w:val="44"/>
          <w:shd w:val="clear" w:color="auto" w:fill="auto"/>
          <w:lang w:val="en-US" w:eastAsia="zh-CN"/>
        </w:rPr>
        <w:t>2023年度</w:t>
      </w:r>
      <w:r>
        <w:rPr>
          <w:rFonts w:hint="eastAsia" w:ascii="方正小标宋_GBK" w:hAnsi="仿宋_GB2312" w:eastAsia="方正小标宋_GBK" w:cs="仿宋_GB2312"/>
          <w:sz w:val="44"/>
          <w:szCs w:val="44"/>
          <w:shd w:val="clear" w:color="auto" w:fill="auto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shd w:val="clear" w:color="auto" w:fill="auto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今年以来，乌苏市信访局高度重视并扎实稳步推进政府信息公开工作，按照《中华人民共和国政府信息公开条例》要求，加大政府信息和政务公开工作力度，切实保障人民群众的知情权、参与权和监督权。建立健全相关制度，明确政府信息公开的范围、公开方式、受理、登记、回复的工作机制。严格遵循政府信息公开基本原则，做到“依法公开，真实公正，注重实效，有力监督”。现将我局政府信息公开情况报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（一）主动公开政府信息情况。本年度公开预决算信息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9条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，“三公”经费信息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3条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（二）本年度没有收到和处理政府信息公开申请情况。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（三）本年度没有因政府信息公开工作被申请行政复议、提起行政诉讼情况。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auto"/>
        </w:rPr>
        <w:t>二、主动公开政府信息情况</w:t>
      </w: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本年</w:t>
            </w:r>
            <w:r>
              <w:rPr>
                <w:kern w:val="0"/>
                <w:sz w:val="24"/>
                <w:shd w:val="clear" w:color="auto" w:fill="auto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shd w:val="clear" w:color="auto" w:fill="auto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0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0"/>
          <w:shd w:val="clear" w:color="auto" w:fill="auto"/>
        </w:rPr>
        <w:t>三、收到和处理政府信息公开申请情况</w:t>
      </w:r>
    </w:p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（本列数据的</w:t>
            </w:r>
            <w:bookmarkStart w:id="0" w:name="hmcheck_e7b5de52d0a948a9b16e9cd619138277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勾稽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（二）部分公开（区分处理的，只</w:t>
            </w:r>
            <w:bookmarkStart w:id="1" w:name="hmcheck_59fe422969e24320b06ff5ddd7aa5ad6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计</w:t>
            </w:r>
            <w:bookmarkEnd w:id="1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auto"/>
        </w:rPr>
        <w:t>四、政府信息公开行政复议、行政诉讼情况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auto"/>
          <w:lang w:val="en-US" w:eastAsia="zh-CN"/>
        </w:rPr>
        <w:t>（一）存在问题。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一是对《中华人民共和国政府信息公开条例》的学习不够深入，掌握</w:t>
      </w:r>
      <w:bookmarkStart w:id="2" w:name="hmcheck_a117521cd282461780e096caf5c0e402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得还不够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全面。二是公开的内容和形式还不够丰富。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auto"/>
          <w:lang w:val="en-US" w:eastAsia="zh-CN"/>
        </w:rPr>
        <w:t>（二）改进措施。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一是加强对《中华人民共和国政府信息公开条例》的学习，提高理论水平和工作能力。二是强化公开意识，增强公开工作的主动性、自觉性。三是进一步规范梳理公开内容，增强公开的及时性、实效性。四是多渠道、多形式，向社会和广大群众深入宣传政府信息公开工作，做好政府信息公开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无。</w:t>
      </w:r>
    </w:p>
    <w:p>
      <w:pPr>
        <w:spacing w:line="220" w:lineRule="atLeast"/>
        <w:rPr>
          <w:shd w:val="clear" w:color="auto" w:fill="auto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乌苏市信访局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lYjAyNDQxZjQyODFiMWRkMTk2YjNkNzJlNjQ1YmUifQ=="/>
  </w:docVars>
  <w:rsids>
    <w:rsidRoot w:val="00D31D50"/>
    <w:rsid w:val="00323B43"/>
    <w:rsid w:val="003D37D8"/>
    <w:rsid w:val="00426133"/>
    <w:rsid w:val="004358AB"/>
    <w:rsid w:val="008B7726"/>
    <w:rsid w:val="00D31D50"/>
    <w:rsid w:val="08886476"/>
    <w:rsid w:val="092243D3"/>
    <w:rsid w:val="0CC302B0"/>
    <w:rsid w:val="0FDE080D"/>
    <w:rsid w:val="2E2A6C1A"/>
    <w:rsid w:val="41592B62"/>
    <w:rsid w:val="65151063"/>
    <w:rsid w:val="667526BC"/>
    <w:rsid w:val="7A2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喜文</cp:lastModifiedBy>
  <dcterms:modified xsi:type="dcterms:W3CDTF">2024-12-13T11:40:21Z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59fe422969e24320b06ff5ddd7aa5ad6_correctwords">
    <vt:lpwstr>[]</vt:lpwstr>
  </property>
  <property fmtid="{D5CDD505-2E9C-101B-9397-08002B2CF9AE}" pid="4" name="hmcheck_result_59fe422969e24320b06ff5ddd7aa5ad6_errorword">
    <vt:lpwstr>计</vt:lpwstr>
  </property>
  <property fmtid="{D5CDD505-2E9C-101B-9397-08002B2CF9AE}" pid="5" name="hmcheck_result_59fe422969e24320b06ff5ddd7aa5ad6_level">
    <vt:i4>2</vt:i4>
  </property>
  <property fmtid="{D5CDD505-2E9C-101B-9397-08002B2CF9AE}" pid="6" name="hmcheck_result_59fe422969e24320b06ff5ddd7aa5ad6_modifiedtype">
    <vt:i4>0</vt:i4>
  </property>
  <property fmtid="{D5CDD505-2E9C-101B-9397-08002B2CF9AE}" pid="7" name="hmcheck_result_59fe422969e24320b06ff5ddd7aa5ad6_type">
    <vt:i4>0</vt:i4>
  </property>
  <property fmtid="{D5CDD505-2E9C-101B-9397-08002B2CF9AE}" pid="8" name="hmcheck_result_a117521cd282461780e096caf5c0e402_correctwords">
    <vt:lpwstr>["得还不够"]</vt:lpwstr>
  </property>
  <property fmtid="{D5CDD505-2E9C-101B-9397-08002B2CF9AE}" pid="9" name="hmcheck_result_a117521cd282461780e096caf5c0e402_errorword">
    <vt:lpwstr>的还不够</vt:lpwstr>
  </property>
  <property fmtid="{D5CDD505-2E9C-101B-9397-08002B2CF9AE}" pid="10" name="hmcheck_result_a117521cd282461780e096caf5c0e402_level">
    <vt:i4>1</vt:i4>
  </property>
  <property fmtid="{D5CDD505-2E9C-101B-9397-08002B2CF9AE}" pid="11" name="hmcheck_result_a117521cd282461780e096caf5c0e402_modifiedtype">
    <vt:i4>2</vt:i4>
  </property>
  <property fmtid="{D5CDD505-2E9C-101B-9397-08002B2CF9AE}" pid="12" name="hmcheck_result_a117521cd282461780e096caf5c0e402_modifiedword">
    <vt:lpwstr>得还不够</vt:lpwstr>
  </property>
  <property fmtid="{D5CDD505-2E9C-101B-9397-08002B2CF9AE}" pid="13" name="hmcheck_result_a117521cd282461780e096caf5c0e402_type">
    <vt:i4>4</vt:i4>
  </property>
  <property fmtid="{D5CDD505-2E9C-101B-9397-08002B2CF9AE}" pid="14" name="hmcheck_result_e7b5de52d0a948a9b16e9cd619138277_correctwords">
    <vt:lpwstr>["钩稽"]</vt:lpwstr>
  </property>
  <property fmtid="{D5CDD505-2E9C-101B-9397-08002B2CF9AE}" pid="15" name="hmcheck_result_e7b5de52d0a948a9b16e9cd619138277_errorword">
    <vt:lpwstr>勾稽</vt:lpwstr>
  </property>
  <property fmtid="{D5CDD505-2E9C-101B-9397-08002B2CF9AE}" pid="16" name="hmcheck_result_e7b5de52d0a948a9b16e9cd619138277_level">
    <vt:i4>1</vt:i4>
  </property>
  <property fmtid="{D5CDD505-2E9C-101B-9397-08002B2CF9AE}" pid="17" name="hmcheck_result_e7b5de52d0a948a9b16e9cd619138277_modifiedtype">
    <vt:i4>0</vt:i4>
  </property>
  <property fmtid="{D5CDD505-2E9C-101B-9397-08002B2CF9AE}" pid="18" name="hmcheck_result_e7b5de52d0a948a9b16e9cd619138277_type">
    <vt:i4>5</vt:i4>
  </property>
  <property fmtid="{D5CDD505-2E9C-101B-9397-08002B2CF9AE}" pid="19" name="ICV">
    <vt:lpwstr>5CED830BC24543F9824671D568534AE5</vt:lpwstr>
  </property>
  <property fmtid="{D5CDD505-2E9C-101B-9397-08002B2CF9AE}" pid="20" name="KSOProductBuildVer">
    <vt:lpwstr>2052-12.1.0.16729</vt:lpwstr>
  </property>
</Properties>
</file>