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乌苏市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住房和城乡建设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方正小标宋_GBK" w:eastAsia="方正小标宋_GBK" w:hAnsi="仿宋_GB2312" w:cs="仿宋_GB2312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eastAsia="黑体" w:hAnsi="黑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（一）加强组织领导，建立健全三级审核制度。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凡是我局制定并发布的各类红头文件、公文信息，由拟稿人、责任科室负责人、分管领导对内容进行校对、审核，落实三审三校制度。对需要报请市政府网站发布的公告、公示、通知等公文类信息，落实主要领导、市分管领导、市政府网站负责人把关的三级审核制度，形成政府信息公开稿件审核闭环机制，切实把好政治关、法律关、政策关、保密关和文字关，保障政府信息公开内容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（二）推行政务公开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，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依申请公开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  <w:lang w:eastAsia="zh-CN"/>
        </w:rPr>
        <w:t>住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建监管情况。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我局对行政处罚、农村抗震防灾改造工程补助资金发放情况、公租房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号信息、商品房预售许可情况全部线上公开。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年，我局在市人民政府网站</w:t>
      </w:r>
      <w:r>
        <w:rPr>
          <w:rFonts w:ascii="仿宋_GB2312" w:eastAsia="仿宋_GB2312" w:hAnsi="宋体" w:cs="宋体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公开行政处罚案件</w:t>
      </w:r>
      <w:r>
        <w:rPr>
          <w:rFonts w:ascii="仿宋_GB2312" w:eastAsia="仿宋_GB2312" w:hAnsi="宋体" w:cs="宋体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 w:hAnsi="宋体" w:cs="宋体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起，涉及处罚金额</w:t>
      </w:r>
      <w:r>
        <w:rPr>
          <w:rFonts w:ascii="仿宋_GB2312" w:eastAsia="仿宋_GB2312" w:hAnsi="宋体" w:cs="宋体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80万元；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发放安居富民建设工程2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，涉及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中央补助资金4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5万元，每户18500元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。公开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发放安居富民建设工程372户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，涉及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援疆补助资金372万元，每户10000元；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eastAsia="zh-CN"/>
        </w:rPr>
        <w:t>发布公租房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抽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eastAsia="zh-CN"/>
        </w:rPr>
        <w:t>号信息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val="en-US" w:eastAsia="zh-CN"/>
        </w:rPr>
        <w:t>5次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eastAsia="zh-CN"/>
        </w:rPr>
        <w:t>，累计分配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val="en-US" w:eastAsia="zh-CN"/>
        </w:rPr>
        <w:t>339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auto"/>
          <w:sz w:val="32"/>
          <w:szCs w:val="32"/>
          <w:lang w:eastAsia="zh-CN"/>
        </w:rPr>
        <w:t>套；</w:t>
      </w:r>
      <w:r>
        <w:rPr>
          <w:rFonts w:ascii="仿宋_GB2312" w:eastAsia="仿宋_GB2312" w:hAnsi="宋体" w:cs="宋体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公示商品房预售许可6次，涉及预售许可65栋，1432套，面积20.08万平方米。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（三）拓宽公开渠道，利用媒体平台加强正面宣传。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平台公开工作成效。2023年，我局利用市融媒体中心、“乌苏好地方”等线上平台，积极发布了“乌苏市棚户区改造重点项目有序推进”“公共租赁住房公开抽号”“党建进工地”等工作内容，广泛宣传了住建领域工作成效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开展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行风面对面”政策解读。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9月17日，我局党组副书记、局长参加了乌苏零距离“行风面对面”第二期新闻节目，重点对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公共租赁住房、棚户区改造、道路建设、物业服务等民生领域问题的政策进行了解读。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强化新闻发言人队伍建设。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根据市委宣传部工作部署要求，我局积极推进乌苏市住建系统民生工程推进情况新闻发布会工作，通过发布群众关心的保障性租赁住房建设、棚户区改造、老旧小区改造、房地产市场管理、道路建设等工作内容，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回答群众关心的市政基础设施建设、公租房分配入住、房交会退税等问题，满足群众的知情权、参与权，进一步接受舆论和媒体监督。</w:t>
      </w:r>
    </w:p>
    <w:p>
      <w:pPr>
        <w:spacing w:line="560" w:lineRule="exact"/>
        <w:ind w:firstLine="640" w:firstLineChars="200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二、主动公开政府信息情况</w:t>
      </w:r>
    </w:p>
    <w:tbl>
      <w:tblPr>
        <w:tblStyle w:val="TableNormal"/>
        <w:tblW w:w="8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W w:w="8472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251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 w:hAnsi="黑体" w:cs="宋体" w:hint="eastAsia"/>
          <w:sz w:val="32"/>
          <w:szCs w:val="30"/>
        </w:rPr>
      </w:pPr>
      <w:r>
        <w:rPr>
          <w:rFonts w:ascii="黑体" w:eastAsia="黑体" w:hAnsi="黑体" w:cs="宋体" w:hint="eastAsia"/>
          <w:sz w:val="32"/>
          <w:szCs w:val="30"/>
        </w:rPr>
        <w:t>三、收到和处理政府信息公开申请情况</w:t>
      </w:r>
    </w:p>
    <w:tbl>
      <w:tblPr>
        <w:tblStyle w:val="TableNormal"/>
        <w:tblW w:w="8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W w:w="8383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（本列数据的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勾稽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（二）部分公开（区分处理的，只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黑体" w:eastAsia="黑体" w:hAnsi="黑体" w:cs="宋体" w:hint="eastAsia"/>
          <w:sz w:val="32"/>
          <w:szCs w:val="32"/>
        </w:rPr>
      </w:pPr>
    </w:p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四、政府信息公开行政复议、行政诉讼情况</w:t>
      </w:r>
    </w:p>
    <w:tbl>
      <w:tblPr>
        <w:tblStyle w:val="TableNormal"/>
        <w:tblW w:w="850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W w:w="8504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</w:t>
            </w: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五、存在的主要问题及改进情况</w:t>
      </w:r>
    </w:p>
    <w:p>
      <w:pPr>
        <w:spacing w:line="560" w:lineRule="exact"/>
        <w:ind w:firstLine="637" w:firstLineChars="199"/>
        <w:rPr>
          <w:rFonts w:ascii="仿宋_GB2312" w:eastAsia="仿宋_GB2312" w:hAnsi="宋体" w:cs="宋体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（一）存在的主要问题。</w:t>
      </w:r>
      <w:r>
        <w:rPr>
          <w:rFonts w:ascii="仿宋_GB2312" w:eastAsia="仿宋_GB2312" w:hAnsi="宋体" w:cs="宋体" w:hint="eastAsia"/>
          <w:b/>
          <w:bCs/>
          <w:sz w:val="32"/>
          <w:szCs w:val="32"/>
          <w:lang w:eastAsia="zh-CN"/>
        </w:rPr>
        <w:t>一是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信息公开力度不够，没有将应该公开的内容全部公开。</w:t>
      </w:r>
      <w:r>
        <w:rPr>
          <w:rFonts w:ascii="仿宋_GB2312" w:eastAsia="仿宋_GB2312" w:hAnsi="宋体" w:cs="宋体" w:hint="eastAsia"/>
          <w:b/>
          <w:bCs/>
          <w:sz w:val="32"/>
          <w:szCs w:val="32"/>
          <w:lang w:eastAsia="zh-CN"/>
        </w:rPr>
        <w:t>二是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发布政策文件和政策解读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内容不及时，时效性不高。</w:t>
      </w:r>
    </w:p>
    <w:p>
      <w:pPr>
        <w:spacing w:line="560" w:lineRule="exact"/>
        <w:ind w:firstLine="637" w:firstLineChars="199"/>
        <w:rPr>
          <w:rFonts w:ascii="仿宋_GB2312" w:eastAsia="仿宋_GB2312" w:hAnsi="宋体" w:cs="宋体" w:hint="eastAsia"/>
          <w:b w:val="0"/>
          <w:bCs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>（二）改进情况。</w:t>
      </w:r>
      <w:r>
        <w:rPr>
          <w:rFonts w:ascii="仿宋_GB2312" w:eastAsia="仿宋_GB2312" w:hAnsi="宋体" w:cs="宋体" w:hint="eastAsia"/>
          <w:b/>
          <w:bCs/>
          <w:sz w:val="32"/>
          <w:szCs w:val="32"/>
          <w:lang w:eastAsia="zh-CN"/>
        </w:rPr>
        <w:t>一是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加大信息公开力度，将应该公开的内容尽可能全部公开，满足群众的知情权、参与权。</w:t>
      </w:r>
      <w:r>
        <w:rPr>
          <w:rFonts w:ascii="仿宋_GB2312" w:eastAsia="仿宋_GB2312" w:hAnsi="宋体" w:cs="宋体" w:hint="eastAsia"/>
          <w:b/>
          <w:bCs/>
          <w:sz w:val="32"/>
          <w:szCs w:val="32"/>
          <w:lang w:eastAsia="zh-CN"/>
        </w:rPr>
        <w:t>二是</w:t>
      </w:r>
      <w:r>
        <w:rPr>
          <w:rFonts w:ascii="仿宋_GB2312" w:eastAsia="仿宋_GB2312" w:hAnsi="宋体" w:cs="宋体" w:hint="eastAsia"/>
          <w:b w:val="0"/>
          <w:bCs w:val="0"/>
          <w:sz w:val="32"/>
          <w:szCs w:val="32"/>
          <w:lang w:eastAsia="zh-CN"/>
        </w:rPr>
        <w:t>提高规范性文件质量，提升我局对建筑市场、房地产市场、物业企业管理的规范化水平。</w:t>
      </w:r>
    </w:p>
    <w:p>
      <w:pPr>
        <w:numPr>
          <w:ilvl w:val="0"/>
          <w:numId w:val="1"/>
        </w:num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本机关按照《国务院办公厅关于印发〈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政府信息公开信息处理费管理办法〉的通知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国办函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〔2020〕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109号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乌苏市住房和城乡建设局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2024年1月18日</w:t>
      </w:r>
    </w:p>
    <w:sectPr>
      <w:pgSz w:w="11906" w:h="16838"/>
      <w:pgMar w:top="2154" w:right="1531" w:bottom="1984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15709C"/>
    <w:multiLevelType w:val="singleLevel"/>
    <w:tmpl w:val="AC15709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12E65"/>
    <w:rsid w:val="04C74276"/>
    <w:rsid w:val="056D58E4"/>
    <w:rsid w:val="10AC2656"/>
    <w:rsid w:val="16FF0026"/>
    <w:rsid w:val="18017D07"/>
    <w:rsid w:val="1A404D20"/>
    <w:rsid w:val="1EA374D2"/>
    <w:rsid w:val="244F0FE5"/>
    <w:rsid w:val="26004E66"/>
    <w:rsid w:val="28F151B9"/>
    <w:rsid w:val="2B8B28FE"/>
    <w:rsid w:val="3DE12E65"/>
    <w:rsid w:val="3EDF6309"/>
    <w:rsid w:val="4B5C7EB2"/>
    <w:rsid w:val="4D316B33"/>
    <w:rsid w:val="4D3A3BC0"/>
    <w:rsid w:val="68AE634B"/>
    <w:rsid w:val="69310EA3"/>
    <w:rsid w:val="6A16241A"/>
    <w:rsid w:val="77067CC4"/>
    <w:rsid w:val="77914CF6"/>
    <w:rsid w:val="785219D6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zhangzudong</cp:lastModifiedBy>
  <cp:revision>1</cp:revision>
  <cp:lastPrinted>2024-01-18T05:55:00Z</cp:lastPrinted>
  <dcterms:created xsi:type="dcterms:W3CDTF">2024-01-18T03:49:00Z</dcterms:created>
  <dcterms:modified xsi:type="dcterms:W3CDTF">2024-01-29T09:29:30Z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A181CF97A5234EE499EC2BD3FE265991_11</vt:lpwstr>
  </property>
  <property fmtid="{D5CDD505-2E9C-101B-9397-08002B2CF9AE}" pid="4" name="KSOProductBuildVer">
    <vt:lpwstr>2052-11.8.2.8555</vt:lpwstr>
  </property>
</Properties>
</file>