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乌苏市商务和工业信息化局政府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2023年度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一、总体情况</w:t>
      </w:r>
    </w:p>
    <w:p>
      <w:pPr>
        <w:ind w:firstLine="640" w:firstLineChars="200"/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2023年来，我局全面落实政府信息公开条例要求，以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乌苏市人民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政府门户网站为依托，认真做好政府信息公开发布，增强政策解读回应实效，规范依申请公开办理流程，加大监督保障力度，政府信息公开工作持续规范、全面深化。有效地借助网络方式提高企业和公众对我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经济工作的知悉度。</w:t>
      </w:r>
    </w:p>
    <w:p>
      <w:pPr>
        <w:spacing w:line="560" w:lineRule="exact"/>
        <w:ind w:firstLine="640" w:firstLineChars="200"/>
        <w:jc w:val="lef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二、主动公开政府信息情况</w:t>
      </w:r>
    </w:p>
    <w:tbl>
      <w:tblPr>
        <w:tblStyle w:val="TableNormal"/>
        <w:tblW w:w="847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W w:w="8472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本年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现行有效件数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W w:w="8472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 w:hAnsi="黑体" w:cs="宋体" w:hint="eastAsia"/>
          <w:sz w:val="32"/>
          <w:szCs w:val="30"/>
        </w:rPr>
      </w:pPr>
    </w:p>
    <w:p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 w:hAnsi="黑体" w:cs="宋体" w:hint="eastAsia"/>
          <w:sz w:val="32"/>
          <w:szCs w:val="30"/>
        </w:rPr>
      </w:pPr>
    </w:p>
    <w:p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 w:hAnsi="黑体" w:cs="宋体" w:hint="eastAsia"/>
          <w:sz w:val="32"/>
          <w:szCs w:val="30"/>
        </w:rPr>
      </w:pPr>
      <w:r>
        <w:rPr>
          <w:rFonts w:ascii="黑体" w:eastAsia="黑体" w:hAnsi="黑体" w:cs="宋体" w:hint="eastAsia"/>
          <w:sz w:val="32"/>
          <w:szCs w:val="30"/>
        </w:rPr>
        <w:t>三、收到和处理政府信息公开申请情况</w:t>
      </w:r>
    </w:p>
    <w:tbl>
      <w:tblPr>
        <w:tblStyle w:val="TableNormal"/>
        <w:tblW w:w="838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W w:w="8383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  <w:jc w:val="center"/>
        </w:trPr>
        <w:tc>
          <w:tcPr>
            <w:tcW w:w="43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（本列数据的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FFFFFF"/>
                <w:lang w:bidi="ar"/>
              </w:rPr>
              <w:t>勾稽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关系为：第一项加第二项之和，等于第三项加第四项之和）</w:t>
            </w:r>
          </w:p>
        </w:tc>
        <w:tc>
          <w:tcPr>
            <w:tcW w:w="3995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08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/>
          <w:jc w:val="center"/>
        </w:trPr>
        <w:tc>
          <w:tcPr>
            <w:tcW w:w="4388" w:type="dxa"/>
            <w:gridSpan w:val="3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45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其他</w:t>
            </w:r>
          </w:p>
        </w:tc>
        <w:tc>
          <w:tcPr>
            <w:tcW w:w="45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三、本年度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FFFFFF"/>
                <w:lang w:bidi="ar"/>
              </w:rPr>
              <w:t>办</w:t>
            </w: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理结果</w:t>
            </w: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（二）部分公开（区分处理的，只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FFFFFF"/>
                <w:lang w:bidi="ar"/>
              </w:rPr>
              <w:t>计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Times New Roman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tcBorders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default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tcBorders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default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/>
            <w:tcBorders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default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cs="Calibri" w:hint="eastAsia"/>
                <w:kern w:val="0"/>
                <w:sz w:val="24"/>
                <w:lang w:val="en-US" w:eastAsia="zh-CN" w:bidi="ar"/>
              </w:rPr>
            </w:pPr>
            <w:r>
              <w:rPr>
                <w:rFonts w:cs="Calibri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  <w:jc w:val="center"/>
        </w:trPr>
        <w:tc>
          <w:tcPr>
            <w:tcW w:w="696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int="eastAsia"/>
                <w:sz w:val="24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W w:w="8383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cs="Calibri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hint="eastAsia"/>
                <w:sz w:val="24"/>
                <w:lang w:val="en-US" w:eastAsia="zh-CN"/>
              </w:rPr>
            </w:pPr>
            <w:r>
              <w:rPr>
                <w:rFonts w:eastAsia="宋体" w:cs="Times New Roman" w:hint="eastAsia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7" w:firstLineChars="199"/>
        <w:rPr>
          <w:rFonts w:ascii="黑体" w:eastAsia="黑体" w:hAnsi="黑体" w:cs="宋体" w:hint="eastAsia"/>
          <w:sz w:val="32"/>
          <w:szCs w:val="32"/>
        </w:rPr>
      </w:pPr>
    </w:p>
    <w:p>
      <w:pPr>
        <w:spacing w:line="560" w:lineRule="exact"/>
        <w:ind w:firstLine="637" w:firstLineChars="199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四、政府信息公开行政复议、行政诉讼情况</w:t>
      </w:r>
    </w:p>
    <w:tbl>
      <w:tblPr>
        <w:tblStyle w:val="TableNormal"/>
        <w:tblW w:w="850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W w:w="8504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W w:w="850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W w:w="850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510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555" w:type="dxa"/>
            <w:vMerge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default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总</w:t>
            </w: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计</w:t>
            </w: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W w:w="850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default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37" w:firstLineChars="199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2023年，我局政府信息公开工作虽取得了一定成效，但仍然存在一些问题。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信息公开主动性不强，存在相关栏目不及时更新的情况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二是信息公开内容不全面，形式单一，有待进一步充实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下一步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，我局将按照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val="en-US" w:eastAsia="zh-CN" w:bidi="ar"/>
        </w:rPr>
        <w:t>《中华人民共和国政府信息公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val="en-US" w:eastAsia="zh-CN" w:bidi="ar"/>
        </w:rPr>
        <w:t>开条例》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要求，明确单位职责和运行管理制度规范，定期开展政府信息公开检查，确保信息更新及时、内容全面、表达准确。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7" w:firstLineChars="199"/>
        <w:jc w:val="lef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宋体" w:cs="宋体" w:hint="eastAsia"/>
          <w:sz w:val="32"/>
          <w:szCs w:val="32"/>
          <w:lang w:val="en-US" w:eastAsia="zh-CN"/>
        </w:rPr>
        <w:t>无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2" w:firstLine="848" w:firstLineChars="265"/>
        <w:jc w:val="left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2" w:firstLine="4045" w:firstLineChars="1264"/>
        <w:jc w:val="left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乌苏市商务和工业信息化局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2" w:firstLine="4685" w:firstLineChars="1464"/>
        <w:jc w:val="lef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2024年1月17日</w:t>
      </w:r>
    </w:p>
    <w:p>
      <w:pPr>
        <w:ind w:firstLine="640" w:firstLineChars="200"/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3500E9"/>
    <w:rsid w:val="14832C36"/>
    <w:rsid w:val="17D44050"/>
    <w:rsid w:val="1A5F6690"/>
    <w:rsid w:val="633500E9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1</cp:revision>
  <cp:lastPrinted>2024-01-18T05:46:00Z</cp:lastPrinted>
  <dcterms:created xsi:type="dcterms:W3CDTF">2024-01-18T05:35:00Z</dcterms:created>
  <dcterms:modified xsi:type="dcterms:W3CDTF">2024-01-29T09:31:30Z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ICV">
    <vt:lpwstr>C543B788991B49E499B7104AFB438907_12</vt:lpwstr>
  </property>
  <property fmtid="{D5CDD505-2E9C-101B-9397-08002B2CF9AE}" pid="4" name="KSOProductBuildVer">
    <vt:lpwstr>2052-11.8.2.8555</vt:lpwstr>
  </property>
</Properties>
</file>