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lang w:eastAsia="zh-CN"/>
        </w:rPr>
        <w:t>农业农村局</w:t>
      </w:r>
      <w:r>
        <w:rPr>
          <w:rFonts w:ascii="方正小标宋_GBK" w:eastAsia="方正小标宋_GBK" w:hAnsi="仿宋_GB2312" w:cs="仿宋_GB2312" w:hint="eastAsia"/>
          <w:color w:val="auto"/>
          <w:kern w:val="0"/>
          <w:sz w:val="44"/>
          <w:szCs w:val="44"/>
        </w:rPr>
        <w:t>单位整体支出绩效</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自评报告</w:t>
      </w: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（2022年度）</w:t>
      </w: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pStyle w:val="BodyTextFirstIndent2"/>
      </w:pPr>
    </w:p>
    <w:p>
      <w:pPr>
        <w:pStyle w:val="BodyTextIndent"/>
      </w:pPr>
    </w:p>
    <w:p>
      <w:pPr>
        <w:pStyle w:val="BodyTextIndent"/>
      </w:pPr>
      <w:bookmarkStart w:id="0" w:name="_GoBack"/>
      <w:bookmarkEnd w:id="0"/>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rPr>
          <w:rFonts w:ascii="仿宋_GB2312" w:eastAsia="仿宋_GB2312" w:hAnsi="仿宋_GB2312" w:cs="仿宋_GB2312"/>
          <w:color w:val="auto"/>
          <w:kern w:val="0"/>
          <w:sz w:val="32"/>
          <w:szCs w:val="32"/>
        </w:rPr>
      </w:pPr>
    </w:p>
    <w:p>
      <w:pPr>
        <w:spacing w:line="700" w:lineRule="exact"/>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 xml:space="preserve">  </w:t>
      </w:r>
    </w:p>
    <w:p>
      <w:pPr>
        <w:spacing w:line="700" w:lineRule="exact"/>
        <w:ind w:firstLine="755" w:firstLineChars="236"/>
        <w:jc w:val="left"/>
        <w:rPr>
          <w:rFonts w:ascii="仿宋_GB2312" w:eastAsia="仿宋_GB2312" w:hAnsi="仿宋_GB2312" w:cs="仿宋_GB2312" w:hint="eastAsia"/>
          <w:color w:val="auto"/>
          <w:kern w:val="0"/>
          <w:sz w:val="32"/>
          <w:szCs w:val="32"/>
        </w:rPr>
      </w:pPr>
      <w:r>
        <w:rPr>
          <w:rFonts w:ascii="仿宋_GB2312" w:eastAsia="仿宋_GB2312" w:hAnsi="仿宋_GB2312" w:cs="仿宋_GB2312" w:hint="eastAsia"/>
          <w:color w:val="auto"/>
          <w:kern w:val="0"/>
          <w:sz w:val="32"/>
          <w:szCs w:val="32"/>
        </w:rPr>
        <w:t>部门单位名称（公章）：乌苏市农业农村局</w:t>
      </w:r>
    </w:p>
    <w:p>
      <w:pPr>
        <w:spacing w:line="700" w:lineRule="exact"/>
        <w:ind w:firstLine="640" w:firstLineChars="200"/>
        <w:jc w:val="left"/>
        <w:rPr>
          <w:rFonts w:ascii="仿宋_GB2312" w:eastAsia="仿宋_GB2312" w:hAnsi="仿宋_GB2312" w:cs="仿宋_GB2312" w:hint="eastAsia"/>
          <w:color w:val="auto"/>
          <w:kern w:val="0"/>
          <w:sz w:val="32"/>
          <w:szCs w:val="32"/>
        </w:rPr>
      </w:pPr>
      <w:r>
        <w:rPr>
          <w:rFonts w:ascii="仿宋_GB2312" w:eastAsia="仿宋_GB2312" w:hAnsi="仿宋_GB2312" w:cs="仿宋_GB2312" w:hint="eastAsia"/>
          <w:color w:val="auto"/>
          <w:kern w:val="0"/>
          <w:sz w:val="32"/>
          <w:szCs w:val="32"/>
        </w:rPr>
        <w:t>填报时间：</w:t>
      </w:r>
      <w:r>
        <w:rPr>
          <w:rFonts w:ascii="仿宋_GB2312" w:eastAsia="仿宋_GB2312" w:hAnsi="仿宋_GB2312" w:cs="仿宋_GB2312" w:hint="eastAsia"/>
          <w:color w:val="auto"/>
          <w:kern w:val="0"/>
          <w:sz w:val="32"/>
          <w:szCs w:val="32"/>
          <w:lang w:val="en-US" w:eastAsia="zh-CN"/>
        </w:rPr>
        <w:t>2023</w:t>
      </w:r>
      <w:r>
        <w:rPr>
          <w:rFonts w:ascii="仿宋_GB2312" w:eastAsia="仿宋_GB2312" w:hAnsi="仿宋_GB2312" w:cs="仿宋_GB2312" w:hint="eastAsia"/>
          <w:color w:val="auto"/>
          <w:kern w:val="0"/>
          <w:sz w:val="32"/>
          <w:szCs w:val="32"/>
        </w:rPr>
        <w:t>年</w:t>
      </w:r>
      <w:r>
        <w:rPr>
          <w:rFonts w:ascii="仿宋_GB2312" w:eastAsia="仿宋_GB2312" w:hAnsi="仿宋_GB2312" w:cs="仿宋_GB2312" w:hint="eastAsia"/>
          <w:color w:val="auto"/>
          <w:kern w:val="0"/>
          <w:sz w:val="32"/>
          <w:szCs w:val="32"/>
          <w:lang w:val="en-US" w:eastAsia="zh-CN"/>
        </w:rPr>
        <w:t>4</w:t>
      </w:r>
      <w:r>
        <w:rPr>
          <w:rFonts w:ascii="仿宋_GB2312" w:eastAsia="仿宋_GB2312" w:hAnsi="仿宋_GB2312" w:cs="仿宋_GB2312" w:hint="eastAsia"/>
          <w:color w:val="auto"/>
          <w:kern w:val="0"/>
          <w:sz w:val="32"/>
          <w:szCs w:val="32"/>
        </w:rPr>
        <w:t>月</w:t>
      </w:r>
      <w:r>
        <w:rPr>
          <w:rFonts w:ascii="仿宋_GB2312" w:eastAsia="仿宋_GB2312" w:hAnsi="仿宋_GB2312" w:cs="仿宋_GB2312" w:hint="eastAsia"/>
          <w:color w:val="auto"/>
          <w:kern w:val="0"/>
          <w:sz w:val="32"/>
          <w:szCs w:val="32"/>
          <w:lang w:val="en-US" w:eastAsia="zh-CN"/>
        </w:rPr>
        <w:t>17</w:t>
      </w:r>
      <w:r>
        <w:rPr>
          <w:rFonts w:ascii="仿宋_GB2312" w:eastAsia="仿宋_GB2312" w:hAnsi="仿宋_GB2312" w:cs="仿宋_GB2312" w:hint="eastAsia"/>
          <w:color w:val="auto"/>
          <w:kern w:val="0"/>
          <w:sz w:val="32"/>
          <w:szCs w:val="32"/>
        </w:rPr>
        <w:t>日</w:t>
      </w:r>
    </w:p>
    <w:p>
      <w:pPr>
        <w:pStyle w:val="BodyTextFirstIndent2"/>
        <w:rPr>
          <w:rFonts w:ascii="仿宋_GB2312" w:eastAsia="仿宋_GB2312" w:hAnsi="仿宋_GB2312" w:cs="仿宋_GB2312" w:hint="eastAsia"/>
          <w:color w:val="auto"/>
          <w:kern w:val="0"/>
          <w:sz w:val="32"/>
          <w:szCs w:val="32"/>
        </w:rPr>
      </w:pPr>
    </w:p>
    <w:p>
      <w:pPr>
        <w:pStyle w:val="BodyTextIndent"/>
        <w:rPr>
          <w:rFonts w:ascii="仿宋_GB2312" w:eastAsia="仿宋_GB2312" w:hAnsi="仿宋_GB2312" w:cs="仿宋_GB2312" w:hint="eastAsia"/>
          <w:color w:val="auto"/>
          <w:kern w:val="0"/>
          <w:sz w:val="32"/>
          <w:szCs w:val="32"/>
        </w:rPr>
      </w:pP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1" w:name="_Toc23945_WPSOffice_Level1"/>
      <w:r>
        <w:rPr>
          <w:rFonts w:ascii="黑体" w:eastAsia="黑体" w:hAnsi="黑体" w:cs="仿宋_GB2312" w:hint="eastAsia"/>
          <w:color w:val="auto"/>
          <w:sz w:val="32"/>
          <w:szCs w:val="32"/>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1.部门主要职能</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（一）组织实施乌苏市“三农”工作的发展计划、中长期规划、重大政策。起草农业农村有关地方性规定和政府规章草案。指导监督农业综合执法。参与涉农的财税、价格、收储、金融、保险等政策研究。</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（二）统筹推动发展农村社会事业、农村公共服务、农村文化、农村基础设施和乡村治理。牵头组织改善农村人居环境。指导农村精神文明和优秀农耕文化建设。指导农业行业安全生产工作。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三）贯彻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四）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五）负责种植业、畜牧业、渔业、农业机械化等农业各产业的监督管理。指导农业产业化发展。指导粮食等农产品生产。组织构建现代农业产业体系、生产体系、经营体系，指导农业标准化生产。负责渔业监督管理。</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（六）负责农产品质量安全监督管理。组织开展农产品质量安全监测、追溯、风险评估。参与制定农产品质量安全地方标准并会同有关部门组织实施。指导农产品检验检测体系建设。</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七）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承担外来物种相关管理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（八）负责乌苏市有关农业生产资料和农业投入品的监督管理。组织农业生产资料市场体系建设，参与有关农业生产资料地方标准拟订并监督实施。负责执业兽医和畜禽屠宰行业管理。</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（九）负责农业防灾减灾、农作物、畜禽重大病虫害防治工作。指导动植物防疫检疫体系建设，组织、监督辖区内动植物防疫检疫工作，发布疫情并组织扑灭。</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负责农业投资管理。贯彻落实党中央农业投融资体制机制改革建设。编制中央、自治区投资安排的农业投资项目建设规划，提出农业投资规模和方向，扶持农业农村发展财政项目的建设，按规定权限审批农业投资项目，负责农业投资项目资金安排和监督管理。</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一）承担农业科技体制改革和农业科技创新体系建设。指导农业产业技术体系和农技推广体系建设，组织开展农业领域的新技术和应用技术研究、科技成果转化和技术推广。负责农业转基因生物安全监督管理和农业植物新品种保护。</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（十二）指导农业农村人才工作。拟订农业农村人才队伍建设规划并组织实施。指导农业教育和农业职业技能开发。指导新型职业农民培育、农业科技人才培养和农村实用人才培训工作。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（十三）牵头开展农业对外合作工作。承办农业涉外事务，参与自治区农业贸易促进和有关国际交流合作，参与乌苏市农业对外援助政策和规划制定，协助有关部门组织实施有关农业援外项目。</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（十四）负责研究制定牲畜品种改良计划，指导协调全市畜禽育种、改良，管理种畜种禽（蛋）引进工作；组织实施畜禽品种及畜产品的质量标准。结合本市畜牧业生产的实际需要，广泛推广优良畜种。</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（十五）负责兽医的医改与兽药的药政药检等管理工作，做好乡村兽医登记及辖区内从事动物诊疗活动的许可证的核发工作。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（十六）负责全市畜牧、兽医、牧业等方面的新技术推广工作，协调组织畜牧、兽医有关技术合作、科技交流、技术引进等工作。组织项目申报实施。</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七）组织实施全市畜禽遗传资源、饲料资源普查、保护和开发利用工作。依法开展种畜禽遗传资源、牧草种子、兽药、饲料和饲料添加剂的许可及监督管理工作，权限内核发兽药经营（不含生物制品）许可、饲料经营许可。指导全市畜牧业生产、抗灾保畜、防灾基地建设、对口扶贫开发、牧民定居建设等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（十八）完成乌苏市委、乌苏市人民政府和市农村工作领导小组交办的其他任务。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bCs/>
          <w:color w:val="auto"/>
          <w:sz w:val="32"/>
          <w:szCs w:val="32"/>
          <w:lang w:bidi="ar"/>
        </w:rPr>
      </w:pPr>
      <w:r>
        <w:rPr>
          <w:rStyle w:val="Strong"/>
          <w:rFonts w:ascii="仿宋_GB2312" w:eastAsia="仿宋_GB2312" w:hAnsi="仿宋_GB2312" w:cs="仿宋_GB2312" w:hint="eastAsia"/>
          <w:b w:val="0"/>
          <w:bCs/>
          <w:color w:val="auto"/>
          <w:sz w:val="32"/>
          <w:szCs w:val="32"/>
          <w:lang w:eastAsia="zh-CN" w:bidi="ar"/>
        </w:rPr>
        <w:t>乌苏市农业农村局</w:t>
      </w:r>
      <w:r>
        <w:rPr>
          <w:rStyle w:val="Strong"/>
          <w:rFonts w:ascii="仿宋_GB2312" w:eastAsia="仿宋_GB2312" w:hAnsi="仿宋_GB2312" w:cs="仿宋_GB2312" w:hint="eastAsia"/>
          <w:b w:val="0"/>
          <w:bCs/>
          <w:color w:val="auto"/>
          <w:sz w:val="32"/>
          <w:szCs w:val="32"/>
          <w:lang w:bidi="ar"/>
        </w:rPr>
        <w:t>机关行政编制</w:t>
      </w:r>
      <w:r>
        <w:rPr>
          <w:rStyle w:val="Strong"/>
          <w:rFonts w:ascii="仿宋_GB2312" w:eastAsia="仿宋_GB2312" w:hAnsi="仿宋_GB2312" w:cs="仿宋_GB2312" w:hint="eastAsia"/>
          <w:b w:val="0"/>
          <w:bCs/>
          <w:color w:val="auto"/>
          <w:sz w:val="32"/>
          <w:szCs w:val="32"/>
          <w:lang w:val="en-US" w:eastAsia="zh-CN" w:bidi="ar"/>
        </w:rPr>
        <w:t>163</w:t>
      </w:r>
      <w:r>
        <w:rPr>
          <w:rStyle w:val="Strong"/>
          <w:rFonts w:ascii="仿宋_GB2312" w:eastAsia="仿宋_GB2312" w:hAnsi="仿宋_GB2312" w:cs="仿宋_GB2312" w:hint="eastAsia"/>
          <w:b w:val="0"/>
          <w:bCs/>
          <w:color w:val="auto"/>
          <w:sz w:val="32"/>
          <w:szCs w:val="32"/>
          <w:lang w:bidi="ar"/>
        </w:rPr>
        <w:t>名，其中：行政编制</w:t>
      </w:r>
      <w:r>
        <w:rPr>
          <w:rStyle w:val="Strong"/>
          <w:rFonts w:ascii="仿宋_GB2312" w:eastAsia="仿宋_GB2312" w:hAnsi="仿宋_GB2312" w:cs="仿宋_GB2312" w:hint="eastAsia"/>
          <w:b w:val="0"/>
          <w:bCs/>
          <w:color w:val="auto"/>
          <w:sz w:val="32"/>
          <w:szCs w:val="32"/>
          <w:lang w:val="en-US" w:eastAsia="zh-CN" w:bidi="ar"/>
        </w:rPr>
        <w:t>14</w:t>
      </w:r>
      <w:r>
        <w:rPr>
          <w:rStyle w:val="Strong"/>
          <w:rFonts w:ascii="仿宋_GB2312" w:eastAsia="仿宋_GB2312" w:hAnsi="仿宋_GB2312" w:cs="仿宋_GB2312" w:hint="eastAsia"/>
          <w:b w:val="0"/>
          <w:bCs/>
          <w:color w:val="auto"/>
          <w:sz w:val="32"/>
          <w:szCs w:val="32"/>
          <w:lang w:bidi="ar"/>
        </w:rPr>
        <w:t>名，机关工勤事业编制</w:t>
      </w:r>
      <w:r>
        <w:rPr>
          <w:rStyle w:val="Strong"/>
          <w:rFonts w:ascii="仿宋_GB2312" w:eastAsia="仿宋_GB2312" w:hAnsi="仿宋_GB2312" w:cs="仿宋_GB2312" w:hint="eastAsia"/>
          <w:b w:val="0"/>
          <w:bCs/>
          <w:color w:val="auto"/>
          <w:sz w:val="32"/>
          <w:szCs w:val="32"/>
          <w:lang w:val="en-US" w:eastAsia="zh-CN" w:bidi="ar"/>
        </w:rPr>
        <w:t>149</w:t>
      </w:r>
      <w:r>
        <w:rPr>
          <w:rStyle w:val="Strong"/>
          <w:rFonts w:ascii="仿宋_GB2312" w:eastAsia="仿宋_GB2312" w:hAnsi="仿宋_GB2312" w:cs="仿宋_GB2312" w:hint="eastAsia"/>
          <w:b w:val="0"/>
          <w:bCs/>
          <w:color w:val="auto"/>
          <w:sz w:val="32"/>
          <w:szCs w:val="32"/>
          <w:lang w:bidi="ar"/>
        </w:rPr>
        <w:t>名。实有人员</w:t>
      </w:r>
      <w:r>
        <w:rPr>
          <w:rStyle w:val="Strong"/>
          <w:rFonts w:ascii="仿宋_GB2312" w:eastAsia="仿宋_GB2312" w:hAnsi="仿宋_GB2312" w:cs="仿宋_GB2312" w:hint="eastAsia"/>
          <w:b w:val="0"/>
          <w:bCs/>
          <w:color w:val="auto"/>
          <w:sz w:val="32"/>
          <w:szCs w:val="32"/>
          <w:lang w:val="en-US" w:eastAsia="zh-CN" w:bidi="ar"/>
        </w:rPr>
        <w:t>157</w:t>
      </w:r>
      <w:r>
        <w:rPr>
          <w:rStyle w:val="Strong"/>
          <w:rFonts w:ascii="仿宋_GB2312" w:eastAsia="仿宋_GB2312" w:hAnsi="仿宋_GB2312" w:cs="仿宋_GB2312" w:hint="eastAsia"/>
          <w:b w:val="0"/>
          <w:bCs/>
          <w:color w:val="auto"/>
          <w:sz w:val="32"/>
          <w:szCs w:val="32"/>
          <w:lang w:bidi="ar"/>
        </w:rPr>
        <w:t>人。</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3.年度重点工作</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1.拓宽渠道，解决乡村建设资金难题。乡村建设需要政府给予一定资金支持。进一步加大中央、自治区资金、项目争跑力度，研究完善本级财政配套资金支持措施，加大对乡镇农村人居环境整治工作资金的扶持，解决地方资金投入不足的问题。各乡镇要继续加大资金的多渠道筹措力度，形成“本级财政奖补、上级单位争取、部分投入整合、受益群体自筹、集体经济补充、社会捐赠赞助”的多元化格局，拓宽投入方式，多渠道破解人居环境整治资金制约瓶颈。</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2.进一步规范农垦土地国有属性，变更农牧场村队合一现状，实施农牧场公司化改制。</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3.规范集体土地管理上持续用力。</w:t>
      </w:r>
      <w:r>
        <w:rPr>
          <w:rFonts w:ascii="仿宋_GB2312" w:eastAsia="仿宋_GB2312" w:hAnsi="仿宋_GB2312" w:cs="仿宋_GB2312" w:hint="eastAsia"/>
          <w:color w:val="000000"/>
          <w:sz w:val="32"/>
          <w:szCs w:val="32"/>
          <w:lang w:val="zh-CN" w:eastAsia="zh-CN" w:bidi="ar"/>
        </w:rPr>
        <w:t>进一步完善市乡村三级农村产权交易中心，建立健全市乡村三级土地纠纷调处仲裁机构，逐步构建起制度健全、管理规范、队伍稳定的土地纠纷调处仲裁体系。</w:t>
      </w:r>
      <w:r>
        <w:rPr>
          <w:rFonts w:ascii="仿宋_GB2312" w:eastAsia="仿宋_GB2312" w:hAnsi="仿宋_GB2312" w:cs="仿宋_GB2312" w:hint="eastAsia"/>
          <w:color w:val="000000"/>
          <w:sz w:val="32"/>
          <w:szCs w:val="32"/>
          <w:lang w:eastAsia="zh-CN"/>
        </w:rPr>
        <w:t>进一步推进新型农业经营主体规模集约经营工作。大力培育新型农业经营主体，推进农业经营方式转变，让农民成为土地流转和规模经营的主体和受益者。</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4.继续做好各项惠农政策的落实。将各项惠农政策的宣传、培训落实到位，做好各项补贴作物面积的核实统计上报及补贴的发放工作。</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shd w:val="clear" w:color="auto" w:fill="FFFFFF"/>
          <w:lang w:eastAsia="zh-CN" w:bidi="ar"/>
        </w:rPr>
      </w:pPr>
      <w:r>
        <w:rPr>
          <w:rFonts w:ascii="仿宋_GB2312" w:eastAsia="仿宋_GB2312" w:hAnsi="仿宋_GB2312" w:cs="仿宋_GB2312" w:hint="eastAsia"/>
          <w:color w:val="000000"/>
          <w:sz w:val="32"/>
          <w:szCs w:val="32"/>
          <w:lang w:eastAsia="zh-CN"/>
        </w:rPr>
        <w:t>5.持续推进产权制度改革工作，在</w:t>
      </w:r>
      <w:r>
        <w:rPr>
          <w:rFonts w:ascii="仿宋_GB2312" w:eastAsia="仿宋_GB2312" w:hAnsi="仿宋_GB2312" w:cs="仿宋_GB2312" w:hint="eastAsia"/>
          <w:color w:val="000000"/>
          <w:sz w:val="32"/>
          <w:szCs w:val="32"/>
          <w:shd w:val="clear" w:color="auto" w:fill="FFFFFF"/>
          <w:lang w:eastAsia="zh-CN" w:bidi="ar"/>
        </w:rPr>
        <w:t>发展壮大村集体经济上持续用力，把着力点放在规范运作上。在规范中求实效，在创新中求突破，不断健全农村集体经济组织监督管理机制。</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6.推进新型农业经营主体高质量发展，做好农民专业合作社示范社、示范家庭农场的创建，加大“空壳社的清理力度，加强对合作社的业务指导和政策扶持力度，</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lang w:eastAsia="zh-CN"/>
        </w:rPr>
        <w:t>7.</w:t>
      </w:r>
      <w:r>
        <w:rPr>
          <w:rFonts w:ascii="仿宋_GB2312" w:eastAsia="仿宋_GB2312" w:hAnsi="仿宋_GB2312" w:cs="仿宋_GB2312" w:hint="eastAsia"/>
          <w:color w:val="000000"/>
          <w:sz w:val="32"/>
          <w:szCs w:val="32"/>
        </w:rPr>
        <w:t>以健全和完善农产品质量安全监管及检验检测体系为手段，加强农产品质量安全监管和检测工作，加大检测人员技能培训力度，切实完善农产品检验检测体系</w:t>
      </w:r>
      <w:r>
        <w:rPr>
          <w:rFonts w:ascii="仿宋_GB2312" w:eastAsia="仿宋_GB2312" w:hAnsi="仿宋_GB2312" w:cs="仿宋_GB2312" w:hint="eastAsia"/>
          <w:color w:val="000000"/>
          <w:sz w:val="32"/>
          <w:szCs w:val="32"/>
          <w:lang w:eastAsia="zh-CN"/>
        </w:rPr>
        <w:t>。</w:t>
      </w:r>
      <w:r>
        <w:rPr>
          <w:rFonts w:ascii="仿宋_GB2312" w:eastAsia="仿宋_GB2312" w:hAnsi="仿宋_GB2312" w:cs="仿宋_GB2312" w:hint="eastAsia"/>
          <w:color w:val="000000"/>
          <w:sz w:val="32"/>
          <w:szCs w:val="32"/>
        </w:rPr>
        <w:t>进一步做好农产品质量安全追溯工作，</w:t>
      </w:r>
      <w:r>
        <w:rPr>
          <w:rFonts w:ascii="仿宋_GB2312" w:eastAsia="仿宋_GB2312" w:hAnsi="仿宋_GB2312" w:cs="仿宋_GB2312" w:hint="eastAsia"/>
          <w:color w:val="000000"/>
          <w:sz w:val="32"/>
          <w:szCs w:val="32"/>
          <w:lang w:eastAsia="zh-CN"/>
        </w:rPr>
        <w:t>进一步完善追溯平台信息录入工作。</w:t>
      </w:r>
      <w:r>
        <w:rPr>
          <w:rFonts w:ascii="仿宋_GB2312" w:eastAsia="仿宋_GB2312" w:hAnsi="仿宋_GB2312" w:cs="仿宋_GB2312" w:hint="eastAsia"/>
          <w:color w:val="000000"/>
          <w:sz w:val="32"/>
          <w:szCs w:val="32"/>
        </w:rPr>
        <w:t>加快企业对“</w:t>
      </w:r>
      <w:r>
        <w:rPr>
          <w:rFonts w:ascii="仿宋_GB2312" w:eastAsia="仿宋_GB2312" w:hAnsi="仿宋_GB2312" w:cs="仿宋_GB2312" w:hint="eastAsia"/>
          <w:color w:val="000000"/>
          <w:sz w:val="32"/>
          <w:szCs w:val="32"/>
          <w:lang w:eastAsia="zh-CN"/>
        </w:rPr>
        <w:t>二</w:t>
      </w:r>
      <w:r>
        <w:rPr>
          <w:rFonts w:ascii="仿宋_GB2312" w:eastAsia="仿宋_GB2312" w:hAnsi="仿宋_GB2312" w:cs="仿宋_GB2312" w:hint="eastAsia"/>
          <w:color w:val="000000"/>
          <w:sz w:val="32"/>
          <w:szCs w:val="32"/>
        </w:rPr>
        <w:t>品”的认证步伐</w:t>
      </w:r>
      <w:r>
        <w:rPr>
          <w:rFonts w:ascii="仿宋_GB2312" w:eastAsia="仿宋_GB2312" w:hAnsi="仿宋_GB2312" w:cs="仿宋_GB2312" w:hint="eastAsia"/>
          <w:color w:val="000000"/>
          <w:sz w:val="32"/>
          <w:szCs w:val="32"/>
          <w:lang w:eastAsia="zh-CN"/>
        </w:rPr>
        <w:t>，</w:t>
      </w:r>
      <w:r>
        <w:rPr>
          <w:rFonts w:ascii="仿宋_GB2312" w:eastAsia="仿宋_GB2312" w:hAnsi="仿宋_GB2312" w:cs="仿宋_GB2312" w:hint="eastAsia"/>
          <w:color w:val="000000"/>
          <w:sz w:val="32"/>
          <w:szCs w:val="32"/>
        </w:rPr>
        <w:t>加大基地认证力度。</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8.</w:t>
      </w:r>
      <w:r>
        <w:rPr>
          <w:rFonts w:ascii="仿宋_GB2312" w:eastAsia="仿宋_GB2312" w:hAnsi="仿宋_GB2312" w:cs="仿宋_GB2312" w:hint="eastAsia"/>
          <w:color w:val="000000"/>
          <w:sz w:val="32"/>
          <w:szCs w:val="32"/>
        </w:rPr>
        <w:t>加强种子</w:t>
      </w:r>
      <w:r>
        <w:rPr>
          <w:rFonts w:ascii="仿宋_GB2312" w:eastAsia="仿宋_GB2312" w:hAnsi="仿宋_GB2312" w:cs="仿宋_GB2312" w:hint="eastAsia"/>
          <w:color w:val="000000"/>
          <w:sz w:val="32"/>
          <w:szCs w:val="32"/>
          <w:lang w:eastAsia="zh-CN"/>
        </w:rPr>
        <w:t>、</w:t>
      </w:r>
      <w:r>
        <w:rPr>
          <w:rFonts w:ascii="仿宋_GB2312" w:eastAsia="仿宋_GB2312" w:hAnsi="仿宋_GB2312" w:cs="仿宋_GB2312" w:hint="eastAsia"/>
          <w:color w:val="000000"/>
          <w:sz w:val="32"/>
          <w:szCs w:val="32"/>
        </w:rPr>
        <w:t>肥料</w:t>
      </w:r>
      <w:r>
        <w:rPr>
          <w:rFonts w:ascii="仿宋_GB2312" w:eastAsia="仿宋_GB2312" w:hAnsi="仿宋_GB2312" w:cs="仿宋_GB2312" w:hint="eastAsia"/>
          <w:color w:val="000000"/>
          <w:sz w:val="32"/>
          <w:szCs w:val="32"/>
          <w:lang w:eastAsia="zh-CN"/>
        </w:rPr>
        <w:t>等</w:t>
      </w:r>
      <w:r>
        <w:rPr>
          <w:rFonts w:ascii="仿宋_GB2312" w:eastAsia="仿宋_GB2312" w:hAnsi="仿宋_GB2312" w:cs="仿宋_GB2312" w:hint="eastAsia"/>
          <w:color w:val="000000"/>
          <w:sz w:val="32"/>
          <w:szCs w:val="32"/>
        </w:rPr>
        <w:t>执法监管。加强对各乡（镇）、村级农资市场特别是零售商户、流动商贩的检查执法，对一些群众投诉多、社会反映强烈、市场秩序混乱的农产品和农资领域产品进行集中整治</w:t>
      </w:r>
      <w:r>
        <w:rPr>
          <w:rFonts w:ascii="仿宋_GB2312" w:eastAsia="仿宋_GB2312" w:hAnsi="仿宋_GB2312" w:cs="仿宋_GB2312" w:hint="eastAsia"/>
          <w:color w:val="000000"/>
          <w:sz w:val="32"/>
          <w:szCs w:val="32"/>
          <w:lang w:eastAsia="zh-CN"/>
        </w:rPr>
        <w:t>。</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9.加强废旧地膜回收执法，提高农户回收废旧地膜的法律意识。召开协调会，增强乡镇政府农业面源污染治理责任。加强督查指导，落实回收责任人、回收机械、乡镇村队回收网点，为秋季废旧地膜回收奠定基础。</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10.多措并举，努力营造良好氛围。农村人居环境整治不仅要提升“硬件”，“软件”也非常重要，通过农村人居环境整治相关工作的逐步开展，进一步提升乡村特色、改善村庄环境，激发村民的满足感和幸福感，从而引导群众珍惜人居环境整治成果，自觉遵守村规民约，积极参与村民自治。充分利用报刊、广播、电视等新闻媒体和网络新媒体，广泛宣传推广各地好典型、好经验、好做法，努力营造全社会关心支持农村人居环境整治的良好氛围。</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bCs/>
          <w:color w:val="000000"/>
          <w:sz w:val="32"/>
          <w:szCs w:val="32"/>
          <w:lang w:eastAsia="zh-CN"/>
        </w:rPr>
      </w:pPr>
      <w:r>
        <w:rPr>
          <w:rFonts w:ascii="仿宋_GB2312" w:eastAsia="仿宋_GB2312" w:hAnsi="仿宋_GB2312" w:cs="仿宋_GB2312" w:hint="eastAsia"/>
          <w:bCs/>
          <w:color w:val="000000"/>
          <w:sz w:val="32"/>
          <w:szCs w:val="32"/>
          <w:lang w:eastAsia="zh-CN"/>
        </w:rPr>
        <w:t>11.积极发展特色产业。做优做强特色产业，积极发展枸杞、加工番茄、有机水稻、爆裂玉米、林果、驼奶、驴奶等特色种养殖产业，扶持特色产业深加工小微企业发展壮大，拓宽农户增收渠道。坚持以就业为导向，大力推进劳动密集型产业发展，通过产业保障农村富余劳动力有序稳妥就业。</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bCs/>
          <w:color w:val="000000"/>
          <w:sz w:val="32"/>
          <w:szCs w:val="32"/>
          <w:lang w:eastAsia="zh-CN"/>
        </w:rPr>
      </w:pPr>
      <w:r>
        <w:rPr>
          <w:rFonts w:ascii="仿宋_GB2312" w:eastAsia="仿宋_GB2312" w:hAnsi="仿宋_GB2312" w:cs="仿宋_GB2312" w:hint="eastAsia"/>
          <w:bCs/>
          <w:color w:val="000000"/>
          <w:sz w:val="32"/>
          <w:szCs w:val="32"/>
          <w:lang w:eastAsia="zh-CN"/>
        </w:rPr>
        <w:t>12.加快实施乡村建设。按照产业兴旺、生态宜居、乡风文明、治理有效、生活富裕的总要求，紧密结合乌苏实际，紧紧围绕棉花、玉米、番茄等主导产业，打造一批产业发展型乡村；依托牧业资源和旅游资源，打造一批草原牧场型和休闲旅游型乡村；依托城郊乡村公共设施、基础设施、交通便捷优势，打造一批城郊集约型乡村；依托村（社区）人数较多、规模较多、人数集中村（社区），区域条件好、经济基础强、带动作用大、基础设施相对完善的有利条件，打造一批社会综治型村（社区）；针对农村环境基础设施滞后，环境污染，农民对环境整治呼声高、反映强烈的问题，打造一批环境整治型村（社区）。</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bCs/>
          <w:color w:val="000000"/>
          <w:sz w:val="32"/>
          <w:szCs w:val="32"/>
          <w:lang w:eastAsia="zh-CN"/>
        </w:rPr>
      </w:pPr>
      <w:r>
        <w:rPr>
          <w:rFonts w:ascii="仿宋_GB2312" w:eastAsia="仿宋_GB2312" w:hAnsi="仿宋_GB2312" w:cs="仿宋_GB2312" w:hint="eastAsia"/>
          <w:bCs/>
          <w:color w:val="000000"/>
          <w:sz w:val="32"/>
          <w:szCs w:val="32"/>
          <w:lang w:eastAsia="zh-CN"/>
        </w:rPr>
        <w:t>13.大力培养人才队伍。坚持以市场为导向，按照“缺什么、补什么”“发展什么、培训什么”的原则，依托技工学校，分层次开展新型职业农民、农村实用人才、乡村生产经营管理人才培训活动，积极开发建筑领域、联合收割机驾驶、装载机司机等新型工种。坚持“服务基层、稳定规模、优化结构、提高质量、发挥作用”原则，实施高校毕业生培养锻炼成长计划，不断为乡村发展提供人才支撑。</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Fonts w:ascii="楷体_GB2312" w:eastAsia="楷体_GB2312" w:hint="eastAsia"/>
          <w:color w:val="auto"/>
          <w:sz w:val="32"/>
          <w:szCs w:val="32"/>
        </w:rPr>
      </w:pPr>
      <w:r>
        <w:rPr>
          <w:rStyle w:val="Strong"/>
          <w:rFonts w:ascii="楷体_GB2312" w:eastAsia="楷体_GB2312" w:hAnsi="仿宋_GB2312" w:cs="仿宋_GB2312" w:hint="eastAsia"/>
          <w:bCs w:val="0"/>
          <w:color w:val="auto"/>
          <w:sz w:val="32"/>
          <w:szCs w:val="32"/>
          <w:lang w:bidi="ar"/>
        </w:rPr>
        <w:t>（二）决策过程</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部门项目立项依据充分，符合相关法规政策及部门职责，符合行业发展和政策要求，与部门职责范围相符，属于部门履职所需。符合中央、地方事务支出责任划分原则。</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部门项目立项程序规范，项目严格按照规定的程序申请设立；审批文件、材料符合相关要求；项目前期已经过必要的可行性研究、专家论证、风险评估、绩效评估、集体决策。</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部门整体绩效指标明确，已将整体项目绩效目标细化分解为具体的绩效指标；可以通过清晰、可衡量的指标值予以体现；与整体项目目标任务数或计划数相对应。</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预算编制科学，整体项目在资金投入方面，预算编制经过科学论证、有明确标准，资金额度与年度目标相适应，用以反映和考核项目预算编制的科学性、合理性情况。</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资金分配合理，整体项目预算资金分配有测算依据，资金分配额度合理，与部门单位的实际情况相适应。</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楷体_GB2312" w:eastAsia="楷体_GB2312" w:hAnsi="仿宋_GB2312" w:cs="仿宋_GB2312"/>
          <w:bCs w:val="0"/>
          <w:color w:val="auto"/>
          <w:sz w:val="32"/>
          <w:szCs w:val="32"/>
          <w:lang w:bidi="ar"/>
        </w:rPr>
      </w:pPr>
      <w:r>
        <w:rPr>
          <w:rStyle w:val="Strong"/>
          <w:rFonts w:ascii="仿宋_GB2312" w:eastAsia="仿宋_GB2312" w:hAnsi="仿宋_GB2312" w:cs="仿宋_GB2312" w:hint="eastAsia"/>
          <w:b w:val="0"/>
          <w:color w:val="auto"/>
          <w:sz w:val="32"/>
          <w:szCs w:val="32"/>
          <w:lang w:bidi="ar"/>
        </w:rPr>
        <w:t>综上，我单位本年各项工作能够做到部门项目立项依据充分，部门项目立项程序规范，绩效目标设置合理，预算编制科学有效，资金分配合理。决策过程科学规范、实施有效。</w:t>
      </w:r>
      <w:r>
        <w:rPr>
          <w:rStyle w:val="Strong"/>
          <w:rFonts w:ascii="仿宋_GB2312" w:eastAsia="仿宋_GB2312" w:hAnsi="仿宋_GB2312" w:cs="仿宋_GB2312" w:hint="eastAsia"/>
          <w:b w:val="0"/>
          <w:color w:val="auto"/>
          <w:sz w:val="32"/>
          <w:szCs w:val="32"/>
          <w:lang w:val="en-US" w:eastAsia="zh-CN" w:bidi="ar"/>
        </w:rPr>
        <w:t xml:space="preserve">  </w:t>
      </w:r>
      <w:r>
        <w:rPr>
          <w:rStyle w:val="Strong"/>
          <w:rFonts w:ascii="楷体_GB2312" w:eastAsia="楷体_GB2312" w:hAnsi="仿宋_GB2312" w:cs="仿宋_GB2312" w:hint="eastAsia"/>
          <w:bCs w:val="0"/>
          <w:color w:val="auto"/>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32"/>
          <w:szCs w:val="32"/>
          <w:lang w:eastAsia="zh-CN" w:bidi="ar"/>
        </w:rPr>
        <w:t>农业保险补贴、高标农田、农业生产发展、农业生产和水利救灾、动物防疫补助</w:t>
      </w:r>
      <w:r>
        <w:rPr>
          <w:rStyle w:val="Strong"/>
          <w:rFonts w:ascii="仿宋_GB2312" w:eastAsia="仿宋_GB2312" w:hAnsi="仿宋_GB2312" w:cs="仿宋_GB2312" w:hint="eastAsia"/>
          <w:b w:val="0"/>
          <w:color w:val="auto"/>
          <w:sz w:val="32"/>
          <w:szCs w:val="32"/>
          <w:lang w:bidi="ar"/>
        </w:rPr>
        <w:t>等重点项目，履行了</w:t>
      </w:r>
      <w:r>
        <w:rPr>
          <w:rStyle w:val="Strong"/>
          <w:rFonts w:ascii="仿宋_GB2312" w:eastAsia="仿宋_GB2312" w:hAnsi="仿宋_GB2312" w:cs="仿宋_GB2312" w:hint="eastAsia"/>
          <w:b w:val="0"/>
          <w:bCs/>
          <w:color w:val="auto"/>
          <w:sz w:val="32"/>
          <w:szCs w:val="32"/>
          <w:lang w:eastAsia="zh-CN" w:bidi="ar"/>
        </w:rPr>
        <w:t>农业农村对高标农田建设、农业保险补助、动物防疫、生产救灾工作</w:t>
      </w:r>
      <w:r>
        <w:rPr>
          <w:rStyle w:val="Strong"/>
          <w:rFonts w:ascii="仿宋_GB2312" w:eastAsia="仿宋_GB2312" w:hAnsi="仿宋_GB2312" w:cs="仿宋_GB2312" w:hint="eastAsia"/>
          <w:b w:val="0"/>
          <w:color w:val="auto"/>
          <w:sz w:val="32"/>
          <w:szCs w:val="32"/>
          <w:lang w:bidi="ar"/>
        </w:rPr>
        <w:t>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本年度预算安排的重点项目支出</w:t>
      </w:r>
      <w:r>
        <w:rPr>
          <w:rStyle w:val="Strong"/>
          <w:rFonts w:ascii="仿宋_GB2312" w:eastAsia="仿宋_GB2312" w:hAnsi="仿宋_GB2312" w:cs="仿宋_GB2312" w:hint="eastAsia"/>
          <w:b w:val="0"/>
          <w:color w:val="auto"/>
          <w:sz w:val="32"/>
          <w:szCs w:val="32"/>
          <w:lang w:val="en-US" w:eastAsia="zh-CN" w:bidi="ar"/>
        </w:rPr>
        <w:t>50.15</w:t>
      </w:r>
      <w:r>
        <w:rPr>
          <w:rStyle w:val="Strong"/>
          <w:rFonts w:ascii="仿宋_GB2312" w:eastAsia="仿宋_GB2312" w:hAnsi="仿宋_GB2312" w:cs="仿宋_GB2312" w:hint="eastAsia"/>
          <w:b w:val="0"/>
          <w:color w:val="auto"/>
          <w:sz w:val="32"/>
          <w:szCs w:val="32"/>
          <w:lang w:bidi="ar"/>
        </w:rPr>
        <w:t>万元，项目总支出</w:t>
      </w:r>
      <w:r>
        <w:rPr>
          <w:rStyle w:val="Strong"/>
          <w:rFonts w:ascii="仿宋_GB2312" w:eastAsia="仿宋_GB2312" w:hAnsi="仿宋_GB2312" w:cs="仿宋_GB2312" w:hint="eastAsia"/>
          <w:b w:val="0"/>
          <w:color w:val="auto"/>
          <w:sz w:val="32"/>
          <w:szCs w:val="32"/>
          <w:lang w:val="en-US" w:eastAsia="zh-CN" w:bidi="ar"/>
        </w:rPr>
        <w:t>58707.28</w:t>
      </w:r>
      <w:r>
        <w:rPr>
          <w:rStyle w:val="Strong"/>
          <w:rFonts w:ascii="仿宋_GB2312" w:eastAsia="仿宋_GB2312" w:hAnsi="仿宋_GB2312" w:cs="仿宋_GB2312" w:hint="eastAsia"/>
          <w:b w:val="0"/>
          <w:color w:val="auto"/>
          <w:sz w:val="32"/>
          <w:szCs w:val="32"/>
          <w:lang w:bidi="ar"/>
        </w:rPr>
        <w:t>万元，重点支出保障率为</w:t>
      </w:r>
      <w:r>
        <w:rPr>
          <w:rStyle w:val="Strong"/>
          <w:rFonts w:ascii="仿宋_GB2312" w:eastAsia="仿宋_GB2312" w:hAnsi="仿宋_GB2312" w:cs="仿宋_GB2312" w:hint="eastAsia"/>
          <w:b w:val="0"/>
          <w:color w:val="auto"/>
          <w:sz w:val="32"/>
          <w:szCs w:val="32"/>
          <w:lang w:val="en-US" w:eastAsia="zh-CN" w:bidi="ar"/>
        </w:rPr>
        <w:t>0.08</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我单位年初预算数为8,590.82万元，实际预算执行数</w:t>
      </w:r>
      <w:r>
        <w:rPr>
          <w:rStyle w:val="Strong"/>
          <w:rFonts w:ascii="仿宋_GB2312" w:eastAsia="仿宋_GB2312" w:hAnsi="仿宋_GB2312" w:cs="仿宋_GB2312" w:hint="eastAsia"/>
          <w:b w:val="0"/>
          <w:color w:val="auto"/>
          <w:sz w:val="32"/>
          <w:szCs w:val="32"/>
          <w:lang w:val="en-US" w:eastAsia="zh-CN" w:bidi="ar"/>
        </w:rPr>
        <w:t>8590.82</w:t>
      </w:r>
      <w:r>
        <w:rPr>
          <w:rStyle w:val="Strong"/>
          <w:rFonts w:ascii="仿宋_GB2312" w:eastAsia="仿宋_GB2312" w:hAnsi="仿宋_GB2312" w:cs="仿宋_GB2312" w:hint="eastAsia"/>
          <w:b w:val="0"/>
          <w:color w:val="auto"/>
          <w:sz w:val="32"/>
          <w:szCs w:val="32"/>
          <w:lang w:bidi="ar"/>
        </w:rPr>
        <w:t>万元，年初预算执行率为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%。（年初预算执行率=年初预算实际支出数/年初预算数=**%）。</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全年预算数为76,754.02万元，全年实际支出资金61,450.87万元，全年预算执行率为</w:t>
      </w:r>
      <w:r>
        <w:rPr>
          <w:rStyle w:val="Strong"/>
          <w:rFonts w:ascii="仿宋_GB2312" w:eastAsia="仿宋_GB2312" w:hAnsi="仿宋_GB2312" w:cs="仿宋_GB2312" w:hint="eastAsia"/>
          <w:b w:val="0"/>
          <w:color w:val="auto"/>
          <w:sz w:val="32"/>
          <w:szCs w:val="32"/>
          <w:lang w:val="en-US" w:eastAsia="zh-CN" w:bidi="ar"/>
        </w:rPr>
        <w:t>80.06</w:t>
      </w:r>
      <w:r>
        <w:rPr>
          <w:rStyle w:val="Strong"/>
          <w:rFonts w:ascii="仿宋_GB2312" w:eastAsia="仿宋_GB2312" w:hAnsi="仿宋_GB2312" w:cs="仿宋_GB2312" w:hint="eastAsia"/>
          <w:b w:val="0"/>
          <w:color w:val="auto"/>
          <w:sz w:val="32"/>
          <w:szCs w:val="32"/>
          <w:lang w:bidi="ar"/>
        </w:rPr>
        <w:t>%。（全年预算执行率=全年预算实际支出数/全年预算数=**%）</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我单位年初批复预算数</w:t>
      </w:r>
      <w:r>
        <w:rPr>
          <w:rStyle w:val="Strong"/>
          <w:rFonts w:ascii="仿宋_GB2312" w:eastAsia="仿宋_GB2312" w:hAnsi="仿宋_GB2312" w:cs="仿宋_GB2312" w:hint="eastAsia"/>
          <w:b w:val="0"/>
          <w:color w:val="auto"/>
          <w:sz w:val="32"/>
          <w:szCs w:val="32"/>
          <w:lang w:val="en-US" w:eastAsia="zh-CN" w:bidi="ar"/>
        </w:rPr>
        <w:fldChar w:fldCharType="begin"/>
      </w:r>
      <w:r>
        <w:rPr>
          <w:rStyle w:val="Strong"/>
          <w:rFonts w:ascii="仿宋_GB2312" w:eastAsia="仿宋_GB2312" w:hAnsi="仿宋_GB2312" w:cs="仿宋_GB2312" w:hint="eastAsia"/>
          <w:b w:val="0"/>
          <w:color w:val="auto"/>
          <w:sz w:val="32"/>
          <w:szCs w:val="32"/>
          <w:lang w:val="en-US" w:eastAsia="zh-CN" w:bidi="ar"/>
        </w:rPr>
        <w:instrText xml:space="preserve"> LINK Excel.Sheet.12 "C:\\Users\\Administrator\\Desktop\\附件4：2022年部门整体支出支付进度明细表.xlsx" "Sheet1!R6C2" \t \a </w:instrText>
      </w:r>
      <w:r>
        <w:rPr>
          <w:rStyle w:val="Strong"/>
          <w:rFonts w:ascii="仿宋_GB2312" w:eastAsia="仿宋_GB2312" w:hAnsi="仿宋_GB2312" w:cs="仿宋_GB2312" w:hint="eastAsia"/>
          <w:b w:val="0"/>
          <w:color w:val="auto"/>
          <w:sz w:val="32"/>
          <w:szCs w:val="32"/>
          <w:lang w:val="en-US" w:eastAsia="zh-CN" w:bidi="ar"/>
        </w:rPr>
        <w:fldChar w:fldCharType="separate"/>
      </w:r>
      <w:r>
        <w:rPr>
          <w:rStyle w:val="Strong"/>
          <w:rFonts w:ascii="仿宋_GB2312" w:eastAsia="仿宋_GB2312" w:hAnsi="仿宋_GB2312" w:cs="仿宋_GB2312" w:hint="eastAsia"/>
          <w:b w:val="0"/>
          <w:color w:val="auto"/>
          <w:sz w:val="32"/>
          <w:szCs w:val="32"/>
          <w:lang w:val="en-US" w:eastAsia="zh-CN" w:bidi="ar"/>
        </w:rPr>
        <w:t>2428.66</w:t>
      </w:r>
      <w:r>
        <w:rPr>
          <w:rStyle w:val="Strong"/>
          <w:rFonts w:ascii="仿宋_GB2312" w:eastAsia="仿宋_GB2312" w:hAnsi="仿宋_GB2312" w:cs="仿宋_GB2312" w:hint="eastAsia"/>
          <w:b w:val="0"/>
          <w:color w:val="auto"/>
          <w:sz w:val="32"/>
          <w:szCs w:val="32"/>
          <w:lang w:val="en-US" w:eastAsia="zh-CN" w:bidi="ar"/>
        </w:rPr>
        <w:fldChar w:fldCharType="end"/>
      </w:r>
      <w:r>
        <w:rPr>
          <w:rStyle w:val="Strong"/>
          <w:rFonts w:ascii="仿宋_GB2312" w:eastAsia="仿宋_GB2312" w:hAnsi="仿宋_GB2312" w:cs="仿宋_GB2312" w:hint="eastAsia"/>
          <w:b w:val="0"/>
          <w:color w:val="auto"/>
          <w:sz w:val="32"/>
          <w:szCs w:val="32"/>
          <w:lang w:bidi="ar"/>
        </w:rPr>
        <w:t>万元，年中调整数</w:t>
      </w:r>
      <w:r>
        <w:rPr>
          <w:rStyle w:val="Strong"/>
          <w:rFonts w:ascii="仿宋_GB2312" w:eastAsia="仿宋_GB2312" w:hAnsi="仿宋_GB2312" w:cs="仿宋_GB2312" w:hint="eastAsia"/>
          <w:b w:val="0"/>
          <w:color w:val="auto"/>
          <w:sz w:val="32"/>
          <w:szCs w:val="32"/>
          <w:lang w:val="en-US" w:eastAsia="zh-CN" w:bidi="ar"/>
        </w:rPr>
        <w:t>59202.67</w:t>
      </w:r>
      <w:r>
        <w:rPr>
          <w:rStyle w:val="Strong"/>
          <w:rFonts w:ascii="仿宋_GB2312" w:eastAsia="仿宋_GB2312" w:hAnsi="仿宋_GB2312" w:cs="仿宋_GB2312" w:hint="eastAsia"/>
          <w:b w:val="0"/>
          <w:color w:val="auto"/>
          <w:sz w:val="32"/>
          <w:szCs w:val="32"/>
          <w:lang w:bidi="ar"/>
        </w:rPr>
        <w:t>万元，调整后全年预算数</w:t>
      </w:r>
      <w:r>
        <w:rPr>
          <w:rStyle w:val="Strong"/>
          <w:rFonts w:ascii="仿宋_GB2312" w:eastAsia="仿宋_GB2312" w:hAnsi="仿宋_GB2312" w:cs="仿宋_GB2312" w:hint="eastAsia"/>
          <w:b w:val="0"/>
          <w:color w:val="auto"/>
          <w:sz w:val="32"/>
          <w:szCs w:val="32"/>
          <w:lang w:val="en-US" w:eastAsia="zh-CN" w:bidi="ar"/>
        </w:rPr>
        <w:t>59202.67</w:t>
      </w:r>
      <w:r>
        <w:rPr>
          <w:rStyle w:val="Strong"/>
          <w:rFonts w:ascii="仿宋_GB2312" w:eastAsia="仿宋_GB2312" w:hAnsi="仿宋_GB2312" w:cs="仿宋_GB2312" w:hint="eastAsia"/>
          <w:b w:val="0"/>
          <w:color w:val="auto"/>
          <w:sz w:val="32"/>
          <w:szCs w:val="32"/>
          <w:lang w:bidi="ar"/>
        </w:rPr>
        <w:t>万元，预算调整率</w:t>
      </w:r>
      <w:r>
        <w:rPr>
          <w:rStyle w:val="Strong"/>
          <w:rFonts w:ascii="仿宋_GB2312" w:eastAsia="仿宋_GB2312" w:hAnsi="仿宋_GB2312" w:cs="仿宋_GB2312" w:hint="eastAsia"/>
          <w:b w:val="0"/>
          <w:color w:val="auto"/>
          <w:sz w:val="32"/>
          <w:szCs w:val="32"/>
          <w:lang w:val="en-US" w:eastAsia="zh-CN" w:bidi="ar"/>
        </w:rPr>
        <w:t>2437.66</w:t>
      </w:r>
      <w:r>
        <w:rPr>
          <w:rStyle w:val="Strong"/>
          <w:rFonts w:ascii="仿宋_GB2312" w:eastAsia="仿宋_GB2312" w:hAnsi="仿宋_GB2312" w:cs="仿宋_GB2312" w:hint="eastAsia"/>
          <w:b w:val="0"/>
          <w:color w:val="auto"/>
          <w:sz w:val="32"/>
          <w:szCs w:val="32"/>
          <w:lang w:bidi="ar"/>
        </w:rPr>
        <w:t>%。（预算调整率=调整数/年初预算数=</w:t>
      </w:r>
      <w:r>
        <w:rPr>
          <w:rStyle w:val="Strong"/>
          <w:rFonts w:ascii="仿宋_GB2312" w:eastAsia="仿宋_GB2312" w:hAnsi="仿宋_GB2312" w:cs="仿宋_GB2312"/>
          <w:b w:val="0"/>
          <w:color w:val="auto"/>
          <w:sz w:val="32"/>
          <w:szCs w:val="32"/>
          <w:lang w:bidi="ar"/>
        </w:rPr>
        <w:t>**</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（调整后全年预算数=全年预算数）</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年初政府采购预算数为938.86万元，实际政府采购数为938.86万元，年初政府采购执行率为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%。（年初政府采购执行率=政府采购执行数/年初政府采购预算数=**%。）</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bookmarkStart w:id="2" w:name="_Hlk49856735"/>
      <w:r>
        <w:rPr>
          <w:rStyle w:val="Strong"/>
          <w:rFonts w:ascii="仿宋_GB2312" w:eastAsia="仿宋_GB2312" w:hAnsi="仿宋_GB2312" w:cs="仿宋_GB2312" w:hint="eastAsia"/>
          <w:b w:val="0"/>
          <w:color w:val="auto"/>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评价的对象及主要内容为:</w:t>
      </w:r>
      <w:r>
        <w:rPr>
          <w:rStyle w:val="Strong"/>
          <w:rFonts w:ascii="仿宋_GB2312" w:eastAsia="仿宋_GB2312" w:hAnsi="仿宋_GB2312" w:cs="仿宋_GB2312" w:hint="eastAsia"/>
          <w:b w:val="0"/>
          <w:bCs w:val="0"/>
          <w:color w:val="auto"/>
          <w:sz w:val="32"/>
          <w:szCs w:val="32"/>
          <w:lang w:bidi="ar"/>
        </w:rPr>
        <w:t>一是</w:t>
      </w:r>
      <w:r>
        <w:rPr>
          <w:rStyle w:val="Strong"/>
          <w:rFonts w:ascii="仿宋_GB2312" w:eastAsia="仿宋_GB2312" w:hAnsi="仿宋_GB2312" w:cs="仿宋_GB2312" w:hint="eastAsia"/>
          <w:b w:val="0"/>
          <w:color w:val="auto"/>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lang w:bidi="ar"/>
        </w:rPr>
        <w:t>二是</w:t>
      </w:r>
      <w:r>
        <w:rPr>
          <w:rStyle w:val="Strong"/>
          <w:rFonts w:ascii="仿宋_GB2312" w:eastAsia="仿宋_GB2312" w:hAnsi="仿宋_GB2312" w:cs="仿宋_GB2312" w:hint="eastAsia"/>
          <w:b w:val="0"/>
          <w:color w:val="auto"/>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lang w:bidi="ar"/>
        </w:rPr>
        <w:t>三是</w:t>
      </w:r>
      <w:r>
        <w:rPr>
          <w:rStyle w:val="Strong"/>
          <w:rFonts w:ascii="仿宋_GB2312" w:eastAsia="仿宋_GB2312" w:hAnsi="仿宋_GB2312" w:cs="仿宋_GB2312" w:hint="eastAsia"/>
          <w:b w:val="0"/>
          <w:color w:val="auto"/>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lang w:bidi="ar"/>
        </w:rPr>
        <w:t>四是</w:t>
      </w:r>
      <w:r>
        <w:rPr>
          <w:rStyle w:val="Strong"/>
          <w:rFonts w:ascii="仿宋_GB2312" w:eastAsia="仿宋_GB2312" w:hAnsi="仿宋_GB2312" w:cs="仿宋_GB2312" w:hint="eastAsia"/>
          <w:b w:val="0"/>
          <w:color w:val="auto"/>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3" w:name="_Toc32535_WPSOffice_Level1"/>
      <w:r>
        <w:rPr>
          <w:rFonts w:ascii="黑体" w:eastAsia="黑体" w:hAnsi="黑体" w:cs="仿宋_GB2312" w:hint="eastAsia"/>
          <w:color w:val="auto"/>
          <w:sz w:val="32"/>
          <w:szCs w:val="32"/>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本单位为加强预算管理，规范财务行为，已制定《</w:t>
      </w:r>
      <w:r>
        <w:rPr>
          <w:rStyle w:val="Strong"/>
          <w:rFonts w:ascii="仿宋_GB2312" w:eastAsia="仿宋_GB2312" w:hAnsi="仿宋_GB2312" w:cs="仿宋_GB2312" w:hint="eastAsia"/>
          <w:b w:val="0"/>
          <w:color w:val="auto"/>
          <w:sz w:val="32"/>
          <w:szCs w:val="32"/>
          <w:lang w:eastAsia="zh-CN" w:bidi="ar"/>
        </w:rPr>
        <w:t>农业农村局</w:t>
      </w:r>
      <w:r>
        <w:rPr>
          <w:rStyle w:val="Strong"/>
          <w:rFonts w:ascii="仿宋_GB2312" w:eastAsia="仿宋_GB2312" w:hAnsi="仿宋_GB2312" w:cs="仿宋_GB2312" w:hint="eastAsia"/>
          <w:b w:val="0"/>
          <w:color w:val="auto"/>
          <w:sz w:val="32"/>
          <w:szCs w:val="32"/>
          <w:lang w:bidi="ar"/>
        </w:rPr>
        <w:t>部门单位预算绩效管理工作实施办法》，《</w:t>
      </w:r>
      <w:r>
        <w:rPr>
          <w:rStyle w:val="Strong"/>
          <w:rFonts w:ascii="仿宋_GB2312" w:eastAsia="仿宋_GB2312" w:hAnsi="仿宋_GB2312" w:cs="仿宋_GB2312" w:hint="eastAsia"/>
          <w:b w:val="0"/>
          <w:color w:val="auto"/>
          <w:sz w:val="32"/>
          <w:szCs w:val="32"/>
          <w:lang w:eastAsia="zh-CN" w:bidi="ar"/>
        </w:rPr>
        <w:t>农业农村局</w:t>
      </w:r>
      <w:r>
        <w:rPr>
          <w:rStyle w:val="Strong"/>
          <w:rFonts w:ascii="仿宋_GB2312" w:eastAsia="仿宋_GB2312" w:hAnsi="仿宋_GB2312" w:cs="仿宋_GB2312" w:hint="eastAsia"/>
          <w:b w:val="0"/>
          <w:color w:val="auto"/>
          <w:sz w:val="32"/>
          <w:szCs w:val="32"/>
          <w:lang w:bidi="ar"/>
        </w:rPr>
        <w:t>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Fonts w:ascii="仿宋_GB2312" w:eastAsia="仿宋_GB2312" w:hAnsi="仿宋" w:cs="宋体" w:hint="eastAsia"/>
          <w:bCs/>
          <w:color w:val="auto"/>
          <w:sz w:val="32"/>
          <w:szCs w:val="32"/>
          <w:lang w:bidi="ar"/>
        </w:rPr>
        <w:t>按照</w:t>
      </w:r>
      <w:r>
        <w:rPr>
          <w:rFonts w:ascii="仿宋_GB2312" w:eastAsia="仿宋_GB2312" w:hAnsi="仿宋" w:cs="宋体" w:hint="eastAsia"/>
          <w:bCs/>
          <w:color w:val="auto"/>
          <w:sz w:val="32"/>
          <w:szCs w:val="32"/>
          <w:lang w:eastAsia="zh-CN" w:bidi="ar"/>
        </w:rPr>
        <w:t>乌苏市</w:t>
      </w:r>
      <w:r>
        <w:rPr>
          <w:rFonts w:ascii="仿宋_GB2312" w:eastAsia="仿宋_GB2312" w:hAnsi="仿宋" w:cs="宋体" w:hint="eastAsia"/>
          <w:bCs/>
          <w:color w:val="auto"/>
          <w:sz w:val="32"/>
          <w:szCs w:val="32"/>
          <w:lang w:bidi="ar"/>
        </w:rPr>
        <w:t>财政局预决算信息公开工作要求，我单位在</w:t>
      </w:r>
      <w:r>
        <w:rPr>
          <w:rFonts w:ascii="仿宋_GB2312" w:eastAsia="仿宋_GB2312" w:hAnsi="仿宋" w:cs="宋体" w:hint="eastAsia"/>
          <w:bCs/>
          <w:color w:val="auto"/>
          <w:sz w:val="32"/>
          <w:szCs w:val="32"/>
          <w:lang w:eastAsia="zh-CN" w:bidi="ar"/>
        </w:rPr>
        <w:t>乌苏市</w:t>
      </w:r>
      <w:r>
        <w:rPr>
          <w:rFonts w:ascii="仿宋_GB2312" w:eastAsia="仿宋_GB2312" w:hAnsi="仿宋" w:cs="宋体" w:hint="eastAsia"/>
          <w:bCs/>
          <w:color w:val="auto"/>
          <w:sz w:val="32"/>
          <w:szCs w:val="32"/>
          <w:lang w:bidi="ar"/>
        </w:rPr>
        <w:t>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2022年本单位基本支出全年预算总额2,743.58万元，其中：人员经费2,710.39万元，公用经费33.20万元。实际支出2,743.58万元，基本支出预算执行率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2.三公经费控制情况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只减不增。2022年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预算为49.30万元，实际支出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控制率为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%，其中：因公出国（境）费预算为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万元；公务接待费预算为3.77万元，实际支出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万元；公务用车购置费预算为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万元；公务用车运行维护费预算为</w:t>
      </w:r>
      <w:r>
        <w:rPr>
          <w:rFonts w:ascii="仿宋_GB2312" w:eastAsia="仿宋_GB2312" w:hAnsi="仿宋" w:cs="宋体" w:hint="eastAsia"/>
          <w:bCs/>
          <w:color w:val="auto"/>
          <w:sz w:val="32"/>
          <w:szCs w:val="32"/>
          <w:lang w:val="en-US" w:eastAsia="zh-CN" w:bidi="ar"/>
        </w:rPr>
        <w:t>45.53</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万元，公务用车运行维护费控制率</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hint="eastAsia"/>
          <w:bCs/>
          <w:color w:val="auto"/>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2022年本单位安排专项支出预算总额74,010.44万元（本年度所有项目资金），实际支出58,707.28万元，专项支出预算执行率</w:t>
      </w:r>
      <w:r>
        <w:rPr>
          <w:rStyle w:val="Strong"/>
          <w:rFonts w:ascii="仿宋_GB2312" w:eastAsia="仿宋_GB2312" w:hAnsi="仿宋_GB2312" w:cs="仿宋_GB2312" w:hint="eastAsia"/>
          <w:b w:val="0"/>
          <w:color w:val="auto"/>
          <w:sz w:val="32"/>
          <w:szCs w:val="32"/>
          <w:lang w:val="en-US" w:eastAsia="zh-CN" w:bidi="ar"/>
        </w:rPr>
        <w:t>79.32%</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2022年本单位共有</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个资金项目，其中</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个属经常性项目、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个属当年度新增项目，已完成项目</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个、未完成项目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w:t>
      </w:r>
    </w:p>
    <w:p>
      <w:pPr>
        <w:snapToGrid w:val="0"/>
        <w:spacing w:line="540" w:lineRule="exact"/>
        <w:ind w:left="648"/>
        <w:outlineLvl w:val="0"/>
        <w:rPr>
          <w:rFonts w:ascii="黑体" w:eastAsia="黑体" w:hAnsi="黑体" w:cs="仿宋_GB2312"/>
          <w:color w:val="auto"/>
          <w:sz w:val="32"/>
          <w:szCs w:val="32"/>
          <w:lang w:bidi="ar"/>
        </w:rPr>
      </w:pPr>
      <w:bookmarkStart w:id="4" w:name="_Toc1734_WPSOffice_Level1"/>
      <w:r>
        <w:rPr>
          <w:rFonts w:ascii="黑体" w:eastAsia="黑体" w:hAnsi="黑体" w:cs="仿宋_GB2312" w:hint="eastAsia"/>
          <w:color w:val="auto"/>
          <w:sz w:val="32"/>
          <w:szCs w:val="32"/>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Cs w:val="0"/>
          <w:color w:val="auto"/>
          <w:spacing w:val="-4"/>
          <w:sz w:val="32"/>
          <w:szCs w:val="32"/>
        </w:rPr>
      </w:pPr>
      <w:r>
        <w:rPr>
          <w:rStyle w:val="Strong"/>
          <w:rFonts w:ascii="仿宋_GB2312" w:eastAsia="仿宋_GB2312" w:hAnsi="仿宋_GB2312" w:cs="仿宋_GB2312" w:hint="eastAsia"/>
          <w:b w:val="0"/>
          <w:color w:val="auto"/>
          <w:sz w:val="32"/>
          <w:szCs w:val="32"/>
          <w:lang w:bidi="ar"/>
        </w:rPr>
        <w:t>本年我单位实施专项项目</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个，涉及金额58,707.28万元，其中：中央专项项目</w:t>
      </w:r>
      <w:r>
        <w:rPr>
          <w:rStyle w:val="Strong"/>
          <w:rFonts w:ascii="仿宋_GB2312" w:eastAsia="仿宋_GB2312" w:hAnsi="仿宋_GB2312" w:cs="仿宋_GB2312" w:hint="eastAsia"/>
          <w:b w:val="0"/>
          <w:color w:val="auto"/>
          <w:sz w:val="32"/>
          <w:szCs w:val="32"/>
          <w:lang w:val="en-US" w:eastAsia="zh-CN" w:bidi="ar"/>
        </w:rPr>
        <w:t>4</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53024.24</w:t>
      </w:r>
      <w:r>
        <w:rPr>
          <w:rStyle w:val="Strong"/>
          <w:rFonts w:ascii="仿宋_GB2312" w:eastAsia="仿宋_GB2312" w:hAnsi="仿宋_GB2312" w:cs="仿宋_GB2312" w:hint="eastAsia"/>
          <w:b w:val="0"/>
          <w:color w:val="auto"/>
          <w:sz w:val="32"/>
          <w:szCs w:val="32"/>
          <w:lang w:bidi="ar"/>
        </w:rPr>
        <w:t>万元，自治区专项项目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万元，地区本级专项项目</w:t>
      </w:r>
      <w:r>
        <w:rPr>
          <w:rStyle w:val="Strong"/>
          <w:rFonts w:ascii="仿宋_GB2312" w:eastAsia="仿宋_GB2312" w:hAnsi="仿宋_GB2312" w:cs="仿宋_GB2312" w:hint="eastAsia"/>
          <w:b w:val="0"/>
          <w:color w:val="auto"/>
          <w:sz w:val="32"/>
          <w:szCs w:val="32"/>
          <w:lang w:val="en-US" w:eastAsia="zh-CN" w:bidi="ar"/>
        </w:rPr>
        <w:t>4</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5665.04</w:t>
      </w:r>
      <w:r>
        <w:rPr>
          <w:rStyle w:val="Strong"/>
          <w:rFonts w:ascii="仿宋_GB2312" w:eastAsia="仿宋_GB2312" w:hAnsi="仿宋_GB2312" w:cs="仿宋_GB2312" w:hint="eastAsia"/>
          <w:b w:val="0"/>
          <w:color w:val="auto"/>
          <w:sz w:val="32"/>
          <w:szCs w:val="32"/>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eastAsia="zh-CN"/>
        </w:rPr>
        <w:t>农业农村局单位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我单位成立</w:t>
      </w:r>
      <w:r>
        <w:rPr>
          <w:rStyle w:val="Strong"/>
          <w:rFonts w:ascii="仿宋_GB2312" w:eastAsia="仿宋_GB2312" w:hAnsi="仿宋_GB2312" w:cs="仿宋_GB2312" w:hint="eastAsia"/>
          <w:b w:val="0"/>
          <w:color w:val="auto"/>
          <w:sz w:val="32"/>
          <w:szCs w:val="32"/>
          <w:lang w:eastAsia="zh-CN" w:bidi="ar"/>
        </w:rPr>
        <w:t>农业农村局绩效评价工作</w:t>
      </w:r>
      <w:r>
        <w:rPr>
          <w:rStyle w:val="Strong"/>
          <w:rFonts w:ascii="仿宋_GB2312" w:eastAsia="仿宋_GB2312" w:hAnsi="仿宋_GB2312" w:cs="仿宋_GB2312" w:hint="eastAsia"/>
          <w:b w:val="0"/>
          <w:color w:val="auto"/>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eastAsia="zh-CN" w:bidi="ar"/>
        </w:rPr>
        <w:t>局长</w:t>
      </w:r>
      <w:r>
        <w:rPr>
          <w:rStyle w:val="Strong"/>
          <w:rFonts w:ascii="仿宋_GB2312" w:eastAsia="仿宋_GB2312" w:hAnsi="仿宋_GB2312" w:cs="仿宋_GB2312" w:hint="eastAsia"/>
          <w:b w:val="0"/>
          <w:color w:val="auto"/>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eastAsia="zh-CN" w:bidi="ar"/>
        </w:rPr>
        <w:t>分管财务党组成员</w:t>
      </w:r>
      <w:r>
        <w:rPr>
          <w:rStyle w:val="Strong"/>
          <w:rFonts w:ascii="仿宋_GB2312" w:eastAsia="仿宋_GB2312" w:hAnsi="仿宋_GB2312" w:cs="仿宋_GB2312" w:hint="eastAsia"/>
          <w:b w:val="0"/>
          <w:color w:val="auto"/>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eastAsia="zh-CN" w:bidi="ar"/>
        </w:rPr>
        <w:t>各单位项目管理人员</w:t>
      </w:r>
      <w:r>
        <w:rPr>
          <w:rStyle w:val="Strong"/>
          <w:rFonts w:ascii="仿宋_GB2312" w:eastAsia="仿宋_GB2312" w:hAnsi="仿宋_GB2312" w:cs="仿宋_GB2312" w:hint="eastAsia"/>
          <w:b w:val="0"/>
          <w:color w:val="auto"/>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r>
        <w:rPr>
          <w:rStyle w:val="Strong"/>
          <w:rFonts w:ascii="仿宋_GB2312" w:eastAsia="仿宋_GB2312" w:hAnsi="仿宋_GB2312" w:cs="仿宋_GB2312" w:hint="eastAsia"/>
          <w:b w:val="0"/>
          <w:color w:val="auto"/>
          <w:sz w:val="32"/>
          <w:szCs w:val="32"/>
          <w:lang w:bidi="ar"/>
        </w:rPr>
        <w:t>（本年度所有项目资金）</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6,212.31万元，实际到位74,010.44万元，实际支出58,707.28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eastAsia="zh-CN"/>
        </w:rPr>
        <w:t>农业农村局</w:t>
      </w:r>
      <w:r>
        <w:rPr>
          <w:rStyle w:val="Strong"/>
          <w:rFonts w:ascii="仿宋_GB2312" w:eastAsia="仿宋_GB2312" w:hAnsi="仿宋_GB2312" w:cs="仿宋_GB2312" w:hint="eastAsia"/>
          <w:b w:val="0"/>
          <w:bCs w:val="0"/>
          <w:color w:val="auto"/>
          <w:spacing w:val="-4"/>
          <w:sz w:val="32"/>
          <w:szCs w:val="32"/>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5" w:name="_Toc27846_WPSOffice_Level1"/>
      <w:r>
        <w:rPr>
          <w:rStyle w:val="Strong"/>
          <w:rFonts w:ascii="黑体" w:eastAsia="黑体" w:hAnsi="黑体" w:cs="仿宋_GB2312" w:hint="eastAsia"/>
          <w:b w:val="0"/>
          <w:color w:val="auto"/>
          <w:spacing w:val="-4"/>
          <w:sz w:val="32"/>
          <w:szCs w:val="32"/>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我单位2022年资产合计数为</w:t>
      </w:r>
      <w:r>
        <w:rPr>
          <w:rFonts w:ascii="仿宋_GB2312" w:eastAsia="仿宋_GB2312" w:hAnsi="仿宋" w:cs="宋体" w:hint="eastAsia"/>
          <w:bCs/>
          <w:color w:val="auto"/>
          <w:sz w:val="32"/>
          <w:szCs w:val="32"/>
          <w:lang w:val="en-US" w:eastAsia="zh-CN" w:bidi="ar"/>
        </w:rPr>
        <w:t>22201.84</w:t>
      </w:r>
      <w:r>
        <w:rPr>
          <w:rFonts w:ascii="仿宋_GB2312" w:eastAsia="仿宋_GB2312" w:hAnsi="仿宋" w:cs="宋体" w:hint="eastAsia"/>
          <w:bCs/>
          <w:color w:val="auto"/>
          <w:sz w:val="32"/>
          <w:szCs w:val="32"/>
          <w:lang w:bidi="ar"/>
        </w:rPr>
        <w:t>万元，比上年</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val="en-US" w:eastAsia="zh-CN" w:bidi="ar"/>
        </w:rPr>
        <w:t>5461.93</w:t>
      </w:r>
      <w:r>
        <w:rPr>
          <w:rFonts w:ascii="仿宋_GB2312" w:eastAsia="仿宋_GB2312" w:hAnsi="仿宋" w:cs="宋体" w:hint="eastAsia"/>
          <w:bCs/>
          <w:color w:val="auto"/>
          <w:sz w:val="32"/>
          <w:szCs w:val="32"/>
          <w:lang w:bidi="ar"/>
        </w:rPr>
        <w:t>万元，主要原因是</w:t>
      </w:r>
      <w:r>
        <w:rPr>
          <w:rFonts w:ascii="仿宋_GB2312" w:eastAsia="仿宋_GB2312" w:hAnsi="仿宋" w:cs="宋体" w:hint="eastAsia"/>
          <w:bCs/>
          <w:color w:val="auto"/>
          <w:sz w:val="32"/>
          <w:szCs w:val="32"/>
          <w:lang w:eastAsia="zh-CN" w:bidi="ar"/>
        </w:rPr>
        <w:t>固定资产折旧和</w:t>
      </w:r>
      <w:r>
        <w:rPr>
          <w:rFonts w:ascii="仿宋_GB2312" w:eastAsia="仿宋_GB2312" w:hAnsi="仿宋" w:cs="宋体" w:hint="eastAsia"/>
          <w:bCs/>
          <w:color w:val="auto"/>
          <w:sz w:val="32"/>
          <w:szCs w:val="32"/>
          <w:lang w:bidi="ar"/>
        </w:rPr>
        <w:t>财政应返还</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bidi="ar"/>
        </w:rPr>
        <w:t>；财政应返还额度</w:t>
      </w:r>
      <w:r>
        <w:rPr>
          <w:rFonts w:ascii="仿宋_GB2312" w:eastAsia="仿宋_GB2312" w:hAnsi="仿宋" w:cs="宋体" w:hint="eastAsia"/>
          <w:bCs/>
          <w:color w:val="auto"/>
          <w:sz w:val="32"/>
          <w:szCs w:val="32"/>
          <w:lang w:val="en-US" w:eastAsia="zh-CN" w:bidi="ar"/>
        </w:rPr>
        <w:t>8398.63</w:t>
      </w:r>
      <w:r>
        <w:rPr>
          <w:rFonts w:ascii="仿宋_GB2312" w:eastAsia="仿宋_GB2312" w:hAnsi="仿宋" w:cs="宋体" w:hint="eastAsia"/>
          <w:bCs/>
          <w:color w:val="auto"/>
          <w:sz w:val="32"/>
          <w:szCs w:val="32"/>
          <w:lang w:bidi="ar"/>
        </w:rPr>
        <w:t>万元，比上年</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val="en-US" w:eastAsia="zh-CN" w:bidi="ar"/>
        </w:rPr>
        <w:t>5488.62万元</w:t>
      </w:r>
      <w:r>
        <w:rPr>
          <w:rFonts w:ascii="仿宋_GB2312" w:eastAsia="仿宋_GB2312" w:hAnsi="仿宋" w:cs="宋体" w:hint="eastAsia"/>
          <w:bCs/>
          <w:color w:val="auto"/>
          <w:sz w:val="32"/>
          <w:szCs w:val="32"/>
          <w:lang w:bidi="ar"/>
        </w:rPr>
        <w:t>；房屋9,032.48平方米852.10万元，比上年减少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万元；车辆21辆250.69万元，与上年相比无变化；在建工程</w:t>
      </w:r>
      <w:r>
        <w:rPr>
          <w:rFonts w:ascii="仿宋_GB2312" w:eastAsia="仿宋_GB2312" w:hAnsi="仿宋" w:cs="宋体" w:hint="eastAsia"/>
          <w:bCs/>
          <w:color w:val="auto"/>
          <w:sz w:val="32"/>
          <w:szCs w:val="32"/>
          <w:lang w:val="en-US" w:eastAsia="zh-CN" w:bidi="ar"/>
        </w:rPr>
        <w:t>7747.31</w:t>
      </w:r>
      <w:r>
        <w:rPr>
          <w:rFonts w:ascii="仿宋_GB2312" w:eastAsia="仿宋_GB2312" w:hAnsi="仿宋" w:cs="宋体" w:hint="eastAsia"/>
          <w:bCs/>
          <w:color w:val="auto"/>
          <w:sz w:val="32"/>
          <w:szCs w:val="32"/>
          <w:lang w:bidi="ar"/>
        </w:rPr>
        <w:t>万元，与上年持平；办公设备及家具</w:t>
      </w:r>
      <w:r>
        <w:rPr>
          <w:rFonts w:ascii="仿宋_GB2312" w:eastAsia="仿宋_GB2312" w:hAnsi="仿宋" w:cs="宋体" w:hint="eastAsia"/>
          <w:bCs/>
          <w:color w:val="auto"/>
          <w:sz w:val="32"/>
          <w:szCs w:val="32"/>
          <w:lang w:val="en-US" w:eastAsia="zh-CN" w:bidi="ar"/>
        </w:rPr>
        <w:t>446.02</w:t>
      </w:r>
      <w:r>
        <w:rPr>
          <w:rFonts w:ascii="仿宋_GB2312" w:eastAsia="仿宋_GB2312" w:hAnsi="仿宋" w:cs="宋体" w:hint="eastAsia"/>
          <w:bCs/>
          <w:color w:val="auto"/>
          <w:sz w:val="32"/>
          <w:szCs w:val="32"/>
          <w:lang w:bidi="ar"/>
        </w:rPr>
        <w:t>万元，与上年相比</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val="en-US" w:eastAsia="zh-CN" w:bidi="ar"/>
        </w:rPr>
        <w:t>27.22万元</w:t>
      </w:r>
      <w:r>
        <w:rPr>
          <w:rFonts w:ascii="仿宋_GB2312" w:eastAsia="仿宋_GB2312" w:hAnsi="仿宋" w:cs="宋体" w:hint="eastAsia"/>
          <w:bCs/>
          <w:color w:val="auto"/>
          <w:sz w:val="32"/>
          <w:szCs w:val="32"/>
          <w:lang w:bidi="ar"/>
        </w:rPr>
        <w:t>。我单位本年无资产处置情况，资产配置合理，使用规范，安全完整。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1.资产管理情况。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2.固定资产利用情况。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我单位固定资产1,887.82万元,其中:</w:t>
      </w:r>
      <w:r>
        <w:rPr>
          <w:rFonts w:ascii="仿宋_GB2312" w:eastAsia="仿宋_GB2312" w:hAnsi="仿宋" w:cs="宋体" w:hint="eastAsia"/>
          <w:bCs/>
          <w:color w:val="auto"/>
          <w:sz w:val="32"/>
          <w:szCs w:val="32"/>
          <w:lang w:val="en-US" w:eastAsia="zh-CN" w:bidi="ar"/>
        </w:rPr>
        <w:t>9</w:t>
      </w:r>
      <w:r>
        <w:rPr>
          <w:rFonts w:ascii="仿宋_GB2312" w:eastAsia="仿宋_GB2312" w:hAnsi="仿宋" w:cs="宋体" w:hint="eastAsia"/>
          <w:bCs/>
          <w:color w:val="auto"/>
          <w:sz w:val="32"/>
          <w:szCs w:val="32"/>
          <w:lang w:bidi="ar"/>
        </w:rPr>
        <w:t>套房屋852.10万元，</w:t>
      </w:r>
      <w:r>
        <w:rPr>
          <w:rFonts w:ascii="仿宋_GB2312" w:eastAsia="仿宋_GB2312" w:hAnsi="仿宋" w:cs="宋体" w:hint="eastAsia"/>
          <w:bCs/>
          <w:color w:val="auto"/>
          <w:sz w:val="32"/>
          <w:szCs w:val="32"/>
          <w:lang w:val="en-US" w:eastAsia="zh-CN" w:bidi="ar"/>
        </w:rPr>
        <w:t>21</w:t>
      </w:r>
      <w:r>
        <w:rPr>
          <w:rFonts w:ascii="仿宋_GB2312" w:eastAsia="仿宋_GB2312" w:hAnsi="仿宋" w:cs="宋体" w:hint="eastAsia"/>
          <w:bCs/>
          <w:color w:val="auto"/>
          <w:sz w:val="32"/>
          <w:szCs w:val="32"/>
          <w:lang w:bidi="ar"/>
        </w:rPr>
        <w:t>辆车250.69万元，</w:t>
      </w:r>
      <w:r>
        <w:rPr>
          <w:rFonts w:ascii="仿宋_GB2312" w:eastAsia="仿宋_GB2312" w:hAnsi="仿宋" w:cs="宋体" w:hint="eastAsia"/>
          <w:bCs/>
          <w:color w:val="auto"/>
          <w:sz w:val="32"/>
          <w:szCs w:val="32"/>
          <w:lang w:val="en-US" w:eastAsia="zh-CN" w:bidi="ar"/>
        </w:rPr>
        <w:t>129</w:t>
      </w:r>
      <w:r>
        <w:rPr>
          <w:rFonts w:ascii="仿宋_GB2312" w:eastAsia="仿宋_GB2312" w:hAnsi="仿宋" w:cs="宋体" w:hint="eastAsia"/>
          <w:bCs/>
          <w:color w:val="auto"/>
          <w:sz w:val="32"/>
          <w:szCs w:val="32"/>
          <w:lang w:bidi="ar"/>
        </w:rPr>
        <w:t>个专用设备</w:t>
      </w:r>
      <w:r>
        <w:rPr>
          <w:rFonts w:ascii="仿宋_GB2312" w:eastAsia="仿宋_GB2312" w:hAnsi="仿宋" w:cs="宋体" w:hint="eastAsia"/>
          <w:bCs/>
          <w:color w:val="auto"/>
          <w:sz w:val="32"/>
          <w:szCs w:val="32"/>
          <w:lang w:val="en-US" w:eastAsia="zh-CN" w:bidi="ar"/>
        </w:rPr>
        <w:t>352.53</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245</w:t>
      </w:r>
      <w:r>
        <w:rPr>
          <w:rFonts w:ascii="仿宋_GB2312" w:eastAsia="仿宋_GB2312" w:hAnsi="仿宋" w:cs="宋体" w:hint="eastAsia"/>
          <w:bCs/>
          <w:color w:val="auto"/>
          <w:sz w:val="32"/>
          <w:szCs w:val="32"/>
          <w:lang w:bidi="ar"/>
        </w:rPr>
        <w:t>个办公设备</w:t>
      </w:r>
      <w:r>
        <w:rPr>
          <w:rFonts w:ascii="仿宋_GB2312" w:eastAsia="仿宋_GB2312" w:hAnsi="仿宋" w:cs="宋体" w:hint="eastAsia"/>
          <w:bCs/>
          <w:color w:val="auto"/>
          <w:sz w:val="32"/>
          <w:szCs w:val="32"/>
          <w:lang w:val="en-US" w:eastAsia="zh-CN" w:bidi="ar"/>
        </w:rPr>
        <w:t>412.06</w:t>
      </w:r>
      <w:r>
        <w:rPr>
          <w:rFonts w:ascii="仿宋_GB2312" w:eastAsia="仿宋_GB2312" w:hAnsi="仿宋" w:cs="宋体" w:hint="eastAsia"/>
          <w:bCs/>
          <w:color w:val="auto"/>
          <w:sz w:val="32"/>
          <w:szCs w:val="32"/>
          <w:lang w:bidi="ar"/>
        </w:rPr>
        <w:t>万元。目前正在使用的固定资产总额1,887.82万元，固定资产利用率为</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bCs/>
          <w:color w:val="auto"/>
          <w:sz w:val="32"/>
          <w:szCs w:val="32"/>
          <w:lang w:bidi="ar"/>
        </w:rPr>
        <w:t>%</w:t>
      </w:r>
      <w:r>
        <w:rPr>
          <w:rFonts w:ascii="仿宋_GB2312" w:eastAsia="仿宋_GB2312" w:hAnsi="仿宋" w:cs="宋体" w:hint="eastAsia"/>
          <w:bCs/>
          <w:color w:val="auto"/>
          <w:sz w:val="32"/>
          <w:szCs w:val="32"/>
          <w:lang w:bidi="ar"/>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hint="eastAsia"/>
          <w:color w:val="auto"/>
          <w:spacing w:val="-4"/>
          <w:sz w:val="32"/>
          <w:szCs w:val="32"/>
          <w:lang w:val="en-US" w:eastAsia="zh-CN"/>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w:t>
      </w:r>
      <w:r>
        <w:rPr>
          <w:rStyle w:val="Strong"/>
          <w:rFonts w:ascii="仿宋_GB2312" w:eastAsia="仿宋_GB2312" w:hAnsi="仿宋" w:hint="eastAsia"/>
          <w:b w:val="0"/>
          <w:bCs w:val="0"/>
          <w:color w:val="auto"/>
          <w:spacing w:val="-4"/>
          <w:sz w:val="32"/>
          <w:szCs w:val="32"/>
          <w:lang w:val="en-US" w:eastAsia="zh-CN"/>
        </w:rPr>
        <w:t>;单位实行国库集中支付制度。</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截止本年度固定资产账面净值886.69万元，年末实际在用固定资产886.69万元，固定资产利用率为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6" w:name="_Toc13582_WPSOffice_Level1"/>
      <w:r>
        <w:rPr>
          <w:rStyle w:val="Strong"/>
          <w:rFonts w:ascii="黑体" w:eastAsia="黑体" w:hAnsi="黑体" w:cs="仿宋_GB2312" w:hint="eastAsia"/>
          <w:b w:val="0"/>
          <w:color w:val="auto"/>
          <w:spacing w:val="-4"/>
          <w:sz w:val="32"/>
          <w:szCs w:val="32"/>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10</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lang w:eastAsia="zh-CN"/>
        </w:rPr>
        <w:t>数量指标，</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保障在职人数（人）</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154</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157人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lang w:eastAsia="zh-CN"/>
        </w:rPr>
        <w:t>数量指标，</w:t>
      </w:r>
      <w:r>
        <w:rPr>
          <w:rStyle w:val="Strong"/>
          <w:rFonts w:ascii="仿宋_GB2312" w:eastAsia="仿宋_GB2312" w:hAnsi="仿宋_GB2312" w:cs="仿宋_GB2312" w:hint="eastAsia"/>
          <w:b w:val="0"/>
          <w:bCs w:val="0"/>
          <w:color w:val="auto"/>
          <w:spacing w:val="-4"/>
          <w:sz w:val="32"/>
          <w:szCs w:val="32"/>
        </w:rPr>
        <w:t>“保障退休人数”指标，预期指标值为“</w:t>
      </w:r>
      <w:r>
        <w:rPr>
          <w:rStyle w:val="Strong"/>
          <w:rFonts w:ascii="仿宋_GB2312" w:eastAsia="仿宋_GB2312" w:hAnsi="仿宋_GB2312" w:cs="仿宋_GB2312" w:hint="eastAsia"/>
          <w:b w:val="0"/>
          <w:bCs w:val="0"/>
          <w:color w:val="auto"/>
          <w:spacing w:val="-4"/>
          <w:sz w:val="32"/>
          <w:szCs w:val="32"/>
          <w:lang w:val="en-US" w:eastAsia="zh-CN"/>
        </w:rPr>
        <w:t>199人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199</w:t>
      </w:r>
      <w:r>
        <w:rPr>
          <w:rStyle w:val="Strong"/>
          <w:rFonts w:ascii="仿宋_GB2312" w:eastAsia="仿宋_GB2312" w:hAnsi="仿宋_GB2312" w:cs="仿宋_GB2312" w:hint="eastAsia"/>
          <w:b w:val="0"/>
          <w:bCs w:val="0"/>
          <w:color w:val="auto"/>
          <w:spacing w:val="-4"/>
          <w:sz w:val="32"/>
          <w:szCs w:val="32"/>
        </w:rPr>
        <w:t>个”，指标完成率是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质量指标，</w:t>
      </w:r>
      <w:r>
        <w:rPr>
          <w:rStyle w:val="Strong"/>
          <w:rFonts w:ascii="仿宋_GB2312" w:eastAsia="仿宋_GB2312" w:hAnsi="仿宋_GB2312" w:cs="仿宋_GB2312" w:hint="eastAsia"/>
          <w:b w:val="0"/>
          <w:bCs w:val="0"/>
          <w:color w:val="auto"/>
          <w:spacing w:val="-4"/>
          <w:sz w:val="32"/>
          <w:szCs w:val="32"/>
        </w:rPr>
        <w:t>“草原保护利用奖补资金发放正确率”预期指标是</w:t>
      </w:r>
      <w:r>
        <w:rPr>
          <w:rFonts w:ascii="仿宋_GB2312" w:eastAsia="仿宋_GB2312" w:hAnsi="仿宋" w:cs="宋体" w:hint="eastAsia"/>
          <w:bCs/>
          <w:color w:val="auto"/>
          <w:sz w:val="32"/>
          <w:szCs w:val="32"/>
          <w:lang w:val="en-US" w:eastAsia="zh-CN" w:bidi="ar"/>
        </w:rPr>
        <w:t>&gt;=98</w:t>
      </w:r>
      <w:r>
        <w:rPr>
          <w:rStyle w:val="Strong"/>
          <w:rFonts w:ascii="仿宋_GB2312" w:eastAsia="仿宋_GB2312" w:hAnsi="仿宋_GB2312" w:cs="仿宋_GB2312" w:hint="eastAsia"/>
          <w:b w:val="0"/>
          <w:bCs w:val="0"/>
          <w:color w:val="auto"/>
          <w:spacing w:val="-4"/>
          <w:sz w:val="32"/>
          <w:szCs w:val="32"/>
        </w:rPr>
        <w:t>%，实际完成值是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%，达到质量提升及标准。</w:t>
      </w:r>
    </w:p>
    <w:p>
      <w:pPr>
        <w:pStyle w:val="ListParagraph"/>
        <w:snapToGrid w:val="0"/>
        <w:spacing w:line="540" w:lineRule="exact"/>
        <w:ind w:firstLine="624"/>
        <w:rPr>
          <w:rStyle w:val="Strong"/>
          <w:rFonts w:ascii="仿宋_GB2312" w:eastAsia="仿宋_GB2312" w:hAnsi="仿宋_GB2312" w:cs="仿宋_GB2312" w:hint="eastAsia"/>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eastAsia="zh-CN"/>
        </w:rPr>
        <w:t>质量指标，</w:t>
      </w:r>
      <w:r>
        <w:rPr>
          <w:rStyle w:val="Strong"/>
          <w:rFonts w:ascii="仿宋_GB2312" w:eastAsia="仿宋_GB2312" w:hAnsi="仿宋_GB2312" w:cs="仿宋_GB2312" w:hint="eastAsia"/>
          <w:b w:val="0"/>
          <w:bCs w:val="0"/>
          <w:color w:val="auto"/>
          <w:spacing w:val="-4"/>
          <w:sz w:val="32"/>
          <w:szCs w:val="32"/>
        </w:rPr>
        <w:t>“农业保险补贴知晓率”指标，预期指标值为“</w:t>
      </w:r>
      <w:r>
        <w:rPr>
          <w:rFonts w:ascii="仿宋_GB2312" w:eastAsia="仿宋_GB2312" w:hAnsi="仿宋" w:cs="宋体" w:hint="eastAsia"/>
          <w:bCs/>
          <w:color w:val="auto"/>
          <w:sz w:val="32"/>
          <w:szCs w:val="32"/>
          <w:lang w:val="en-US" w:eastAsia="zh-CN" w:bidi="ar"/>
        </w:rPr>
        <w:t>&gt;=95</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val="en-US" w:eastAsia="zh-CN"/>
        </w:rPr>
        <w:t>.</w:t>
      </w:r>
    </w:p>
    <w:p>
      <w:pPr>
        <w:pStyle w:val="ListParagraph"/>
        <w:snapToGrid w:val="0"/>
        <w:spacing w:line="540" w:lineRule="exact"/>
        <w:ind w:firstLine="627"/>
        <w:outlineLvl w:val="2"/>
        <w:rPr>
          <w:rStyle w:val="Strong"/>
          <w:rFonts w:ascii="仿宋_GB2312" w:eastAsia="仿宋_GB2312" w:hAnsi="仿宋_GB2312" w:cs="仿宋_GB2312" w:hint="eastAsia"/>
          <w:color w:val="auto"/>
          <w:spacing w:val="-4"/>
          <w:sz w:val="32"/>
          <w:szCs w:val="32"/>
          <w:lang w:eastAsia="zh-CN"/>
        </w:rPr>
      </w:pPr>
      <w:r>
        <w:rPr>
          <w:rStyle w:val="Strong"/>
          <w:rFonts w:ascii="仿宋_GB2312" w:eastAsia="仿宋_GB2312" w:hAnsi="仿宋_GB2312" w:cs="仿宋_GB2312" w:hint="eastAsia"/>
          <w:color w:val="auto"/>
          <w:spacing w:val="-4"/>
          <w:sz w:val="32"/>
          <w:szCs w:val="32"/>
        </w:rPr>
        <w:t>3.产出</w:t>
      </w:r>
      <w:r>
        <w:rPr>
          <w:rStyle w:val="Strong"/>
          <w:rFonts w:ascii="仿宋_GB2312" w:eastAsia="仿宋_GB2312" w:hAnsi="仿宋_GB2312" w:cs="仿宋_GB2312" w:hint="eastAsia"/>
          <w:color w:val="auto"/>
          <w:spacing w:val="-4"/>
          <w:sz w:val="32"/>
          <w:szCs w:val="32"/>
          <w:lang w:eastAsia="zh-CN"/>
        </w:rPr>
        <w:t>时效</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时效指标，</w:t>
      </w:r>
      <w:r>
        <w:rPr>
          <w:rStyle w:val="Strong"/>
          <w:rFonts w:ascii="仿宋_GB2312" w:eastAsia="仿宋_GB2312" w:hAnsi="仿宋_GB2312" w:cs="仿宋_GB2312" w:hint="eastAsia"/>
          <w:b w:val="0"/>
          <w:bCs w:val="0"/>
          <w:color w:val="auto"/>
          <w:spacing w:val="-4"/>
          <w:sz w:val="32"/>
          <w:szCs w:val="32"/>
        </w:rPr>
        <w:t>“人员工资发放及时率”指标，预期指标是“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成本指标，</w:t>
      </w:r>
      <w:r>
        <w:rPr>
          <w:rStyle w:val="Strong"/>
          <w:rFonts w:ascii="仿宋_GB2312" w:eastAsia="仿宋_GB2312" w:hAnsi="仿宋_GB2312" w:cs="仿宋_GB2312" w:hint="eastAsia"/>
          <w:b w:val="0"/>
          <w:bCs w:val="0"/>
          <w:color w:val="auto"/>
          <w:spacing w:val="-4"/>
          <w:sz w:val="32"/>
          <w:szCs w:val="32"/>
        </w:rPr>
        <w:t>“人员保障支出成本”指标，预期指标是等于2164.85万元，实际完成值是</w:t>
      </w:r>
      <w:r>
        <w:rPr>
          <w:rStyle w:val="Strong"/>
          <w:rFonts w:ascii="仿宋_GB2312" w:eastAsia="仿宋_GB2312" w:hAnsi="仿宋_GB2312" w:cs="仿宋_GB2312" w:hint="eastAsia"/>
          <w:b w:val="0"/>
          <w:bCs w:val="0"/>
          <w:color w:val="auto"/>
          <w:spacing w:val="-4"/>
          <w:sz w:val="32"/>
          <w:szCs w:val="32"/>
          <w:lang w:val="en-US" w:eastAsia="zh-CN"/>
        </w:rPr>
        <w:t>2710.39</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lang w:eastAsia="zh-CN"/>
        </w:rPr>
        <w:t>成本指标，</w:t>
      </w:r>
      <w:r>
        <w:rPr>
          <w:rStyle w:val="Strong"/>
          <w:rFonts w:ascii="仿宋_GB2312" w:eastAsia="仿宋_GB2312" w:hAnsi="仿宋_GB2312" w:cs="仿宋_GB2312" w:hint="eastAsia"/>
          <w:b w:val="0"/>
          <w:bCs w:val="0"/>
          <w:color w:val="auto"/>
          <w:spacing w:val="-4"/>
          <w:sz w:val="32"/>
          <w:szCs w:val="32"/>
        </w:rPr>
        <w:t>“运转保障支出成本”指标，预期指标是等于</w:t>
      </w:r>
      <w:r>
        <w:rPr>
          <w:rStyle w:val="Strong"/>
          <w:rFonts w:ascii="仿宋_GB2312" w:eastAsia="仿宋_GB2312" w:hAnsi="仿宋_GB2312" w:cs="仿宋_GB2312" w:hint="eastAsia"/>
          <w:b w:val="0"/>
          <w:bCs w:val="0"/>
          <w:color w:val="auto"/>
          <w:spacing w:val="-4"/>
          <w:sz w:val="32"/>
          <w:szCs w:val="32"/>
          <w:lang w:val="en-US" w:eastAsia="zh-CN"/>
        </w:rPr>
        <w:t>213.66</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38.2</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15.53</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eastAsia="zh-CN"/>
        </w:rPr>
        <w:t>因疫情，部分支出未支付。</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个，达到成本控制及改善目标，成本指标完成。</w:t>
      </w:r>
      <w:r>
        <w:rPr>
          <w:rStyle w:val="Strong"/>
          <w:rFonts w:ascii="仿宋_GB2312" w:eastAsia="仿宋_GB2312" w:hAnsi="仿宋_GB2312" w:cs="仿宋_GB2312" w:hint="eastAsia"/>
          <w:b w:val="0"/>
          <w:bCs w:val="0"/>
          <w:color w:val="auto"/>
          <w:spacing w:val="-4"/>
          <w:sz w:val="32"/>
          <w:szCs w:val="32"/>
          <w:lang w:val="en-US" w:eastAsia="zh-CN"/>
        </w:rPr>
        <w:t>1个</w:t>
      </w:r>
      <w:r>
        <w:rPr>
          <w:rStyle w:val="Strong"/>
          <w:rFonts w:ascii="仿宋_GB2312" w:eastAsia="仿宋_GB2312" w:hAnsi="仿宋_GB2312" w:cs="仿宋_GB2312" w:hint="eastAsia"/>
          <w:b w:val="0"/>
          <w:bCs w:val="0"/>
          <w:color w:val="auto"/>
          <w:spacing w:val="-4"/>
          <w:sz w:val="32"/>
          <w:szCs w:val="32"/>
        </w:rPr>
        <w:t>运转保障支出</w:t>
      </w:r>
      <w:r>
        <w:rPr>
          <w:rStyle w:val="Strong"/>
          <w:rFonts w:ascii="仿宋_GB2312" w:eastAsia="仿宋_GB2312" w:hAnsi="仿宋_GB2312" w:cs="仿宋_GB2312" w:hint="eastAsia"/>
          <w:b w:val="0"/>
          <w:bCs w:val="0"/>
          <w:color w:val="auto"/>
          <w:spacing w:val="-4"/>
          <w:sz w:val="32"/>
          <w:szCs w:val="32"/>
          <w:lang w:val="en-US" w:eastAsia="zh-CN"/>
        </w:rPr>
        <w:t>未完成，</w:t>
      </w:r>
      <w:r>
        <w:rPr>
          <w:rStyle w:val="Strong"/>
          <w:rFonts w:ascii="仿宋_GB2312" w:eastAsia="仿宋_GB2312" w:hAnsi="仿宋_GB2312" w:cs="仿宋_GB2312"/>
          <w:b w:val="0"/>
          <w:bCs w:val="0"/>
          <w:color w:val="auto"/>
          <w:spacing w:val="-4"/>
          <w:sz w:val="32"/>
          <w:szCs w:val="32"/>
        </w:rPr>
        <w:t>原因是：</w:t>
      </w:r>
      <w:r>
        <w:rPr>
          <w:rStyle w:val="Strong"/>
          <w:rFonts w:ascii="仿宋_GB2312" w:eastAsia="仿宋_GB2312" w:hAnsi="仿宋_GB2312" w:cs="仿宋_GB2312" w:hint="eastAsia"/>
          <w:b w:val="0"/>
          <w:bCs w:val="0"/>
          <w:color w:val="auto"/>
          <w:spacing w:val="-4"/>
          <w:sz w:val="32"/>
          <w:szCs w:val="32"/>
          <w:lang w:eastAsia="zh-CN"/>
        </w:rPr>
        <w:t>因疫情，办公费等支出未支付。</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1.项目实施的经济效益分析</w:t>
      </w:r>
    </w:p>
    <w:p>
      <w:pPr>
        <w:pStyle w:val="ListParagraph"/>
        <w:snapToGrid w:val="0"/>
        <w:spacing w:line="540" w:lineRule="exact"/>
        <w:ind w:firstLine="624"/>
        <w:outlineLvl w:val="2"/>
        <w:rPr>
          <w:rStyle w:val="Strong"/>
          <w:rFonts w:ascii="仿宋_GB2312" w:eastAsia="仿宋_GB2312" w:hAnsi="仿宋_GB2312" w:cs="仿宋_GB2312" w:hint="default"/>
          <w:color w:val="auto"/>
          <w:spacing w:val="-4"/>
          <w:sz w:val="32"/>
          <w:szCs w:val="32"/>
          <w:lang w:val="en-US" w:eastAsia="zh-CN"/>
        </w:rPr>
      </w:pPr>
      <w:r>
        <w:rPr>
          <w:rStyle w:val="Strong"/>
          <w:rFonts w:ascii="仿宋_GB2312" w:eastAsia="仿宋_GB2312" w:hAnsi="仿宋_GB2312" w:cs="仿宋_GB2312" w:hint="eastAsia"/>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社会效益指标，</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ab/>
      </w:r>
      <w:r>
        <w:rPr>
          <w:rStyle w:val="Strong"/>
          <w:rFonts w:ascii="仿宋_GB2312" w:eastAsia="仿宋_GB2312" w:hAnsi="仿宋_GB2312" w:cs="仿宋_GB2312" w:hint="eastAsia"/>
          <w:b w:val="0"/>
          <w:bCs w:val="0"/>
          <w:color w:val="auto"/>
          <w:spacing w:val="-4"/>
          <w:sz w:val="32"/>
          <w:szCs w:val="32"/>
        </w:rPr>
        <w:t>提高职工工作效率”指标；预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有效提高</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outlineLvl w:val="2"/>
        <w:rPr>
          <w:rStyle w:val="Strong"/>
          <w:rFonts w:ascii="仿宋_GB2312" w:eastAsia="仿宋_GB2312" w:hAnsi="仿宋_GB2312" w:cs="仿宋_GB2312" w:hint="eastAsia"/>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个，达到单位履职能力对社会带来的影响预期目标，社会效益指标提高职工工作效率。</w:t>
      </w:r>
      <w:r>
        <w:rPr>
          <w:rStyle w:val="Strong"/>
          <w:rFonts w:ascii="仿宋_GB2312" w:eastAsia="仿宋_GB2312" w:hAnsi="仿宋_GB2312" w:cs="仿宋_GB2312" w:hint="eastAsia"/>
          <w:b w:val="0"/>
          <w:bCs w:val="0"/>
          <w:color w:val="auto"/>
          <w:spacing w:val="-4"/>
          <w:sz w:val="32"/>
          <w:szCs w:val="32"/>
          <w:lang w:eastAsia="zh-CN"/>
        </w:rPr>
        <w:t>达到年度指标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3.项目实施的生态效益分析</w:t>
      </w:r>
    </w:p>
    <w:p>
      <w:pPr>
        <w:pStyle w:val="ListParagraph"/>
        <w:snapToGrid w:val="0"/>
        <w:spacing w:line="540" w:lineRule="exact"/>
        <w:ind w:firstLine="624"/>
        <w:outlineLvl w:val="2"/>
        <w:rPr>
          <w:rStyle w:val="Strong"/>
          <w:rFonts w:ascii="仿宋_GB2312" w:eastAsia="仿宋_GB2312" w:hAnsi="仿宋_GB2312" w:cs="仿宋_GB2312" w:hint="default"/>
          <w:color w:val="auto"/>
          <w:spacing w:val="-4"/>
          <w:sz w:val="32"/>
          <w:szCs w:val="32"/>
          <w:lang w:val="en-US" w:eastAsia="zh-CN"/>
        </w:rPr>
      </w:pPr>
      <w:r>
        <w:rPr>
          <w:rStyle w:val="Strong"/>
          <w:rFonts w:ascii="仿宋_GB2312" w:eastAsia="仿宋_GB2312" w:hAnsi="仿宋_GB2312" w:cs="仿宋_GB2312" w:hint="eastAsia"/>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可持续指标，</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ab/>
      </w:r>
      <w:r>
        <w:rPr>
          <w:rStyle w:val="Strong"/>
          <w:rFonts w:ascii="仿宋_GB2312" w:eastAsia="仿宋_GB2312" w:hAnsi="仿宋_GB2312" w:cs="仿宋_GB2312" w:hint="eastAsia"/>
          <w:b w:val="0"/>
          <w:bCs w:val="0"/>
          <w:color w:val="auto"/>
          <w:spacing w:val="-4"/>
          <w:sz w:val="32"/>
          <w:szCs w:val="32"/>
          <w:lang w:eastAsia="zh-CN"/>
        </w:rPr>
        <w:t>保障产业结构</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有所保障</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可持续指标</w:t>
      </w:r>
      <w:r>
        <w:rPr>
          <w:rStyle w:val="Strong"/>
          <w:rFonts w:ascii="仿宋_GB2312" w:eastAsia="仿宋_GB2312" w:hAnsi="仿宋_GB2312" w:cs="仿宋_GB2312" w:hint="eastAsia"/>
          <w:b w:val="0"/>
          <w:bCs w:val="0"/>
          <w:color w:val="auto"/>
          <w:spacing w:val="-4"/>
          <w:sz w:val="32"/>
          <w:szCs w:val="32"/>
        </w:rPr>
        <w:t>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w:t>
      </w:r>
      <w:r>
        <w:rPr>
          <w:rStyle w:val="Strong"/>
          <w:rFonts w:ascii="仿宋_GB2312" w:eastAsia="仿宋_GB2312" w:hAnsi="仿宋_GB2312" w:cs="仿宋_GB2312" w:hint="eastAsia"/>
          <w:b w:val="0"/>
          <w:bCs w:val="0"/>
          <w:color w:val="auto"/>
          <w:spacing w:val="-4"/>
          <w:sz w:val="32"/>
          <w:szCs w:val="32"/>
          <w:lang w:eastAsia="zh-CN"/>
        </w:rPr>
        <w:t>保障产业结构</w:t>
      </w:r>
      <w:r>
        <w:rPr>
          <w:rStyle w:val="Strong"/>
          <w:rFonts w:ascii="仿宋_GB2312" w:eastAsia="仿宋_GB2312" w:hAnsi="仿宋_GB2312" w:cs="仿宋_GB2312" w:hint="eastAsia"/>
          <w:b w:val="0"/>
          <w:bCs w:val="0"/>
          <w:color w:val="auto"/>
          <w:spacing w:val="-4"/>
          <w:sz w:val="32"/>
          <w:szCs w:val="32"/>
        </w:rPr>
        <w:t>预期目标。</w:t>
      </w:r>
    </w:p>
    <w:p>
      <w:pPr>
        <w:pStyle w:val="ListParagraph"/>
        <w:snapToGrid w:val="0"/>
        <w:spacing w:line="540" w:lineRule="exact"/>
        <w:ind w:firstLine="624"/>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满意度指标，</w:t>
      </w:r>
      <w:r>
        <w:rPr>
          <w:rStyle w:val="Strong"/>
          <w:rFonts w:ascii="仿宋_GB2312" w:eastAsia="仿宋_GB2312" w:hAnsi="仿宋_GB2312" w:cs="仿宋_GB2312" w:hint="eastAsia"/>
          <w:b w:val="0"/>
          <w:bCs w:val="0"/>
          <w:color w:val="auto"/>
          <w:spacing w:val="-4"/>
          <w:sz w:val="32"/>
          <w:szCs w:val="32"/>
        </w:rPr>
        <w:t>“群众满意度”，预期指标值为“≥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96</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eastAsia="zh-CN"/>
        </w:rPr>
        <w:t>群众</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个，达到部门（单位）服务对象对</w:t>
      </w:r>
      <w:r>
        <w:rPr>
          <w:rStyle w:val="Strong"/>
          <w:rFonts w:ascii="仿宋_GB2312" w:eastAsia="仿宋_GB2312" w:hAnsi="仿宋_GB2312" w:cs="仿宋_GB2312" w:hint="eastAsia"/>
          <w:b w:val="0"/>
          <w:bCs w:val="0"/>
          <w:color w:val="auto"/>
          <w:spacing w:val="-4"/>
          <w:sz w:val="32"/>
          <w:szCs w:val="32"/>
          <w:lang w:eastAsia="zh-CN"/>
        </w:rPr>
        <w:t>农业农村</w:t>
      </w:r>
      <w:r>
        <w:rPr>
          <w:rStyle w:val="Strong"/>
          <w:rFonts w:ascii="仿宋_GB2312" w:eastAsia="仿宋_GB2312" w:hAnsi="仿宋_GB2312" w:cs="仿宋_GB2312" w:hint="eastAsia"/>
          <w:b w:val="0"/>
          <w:bCs w:val="0"/>
          <w:color w:val="auto"/>
          <w:spacing w:val="-4"/>
          <w:sz w:val="32"/>
          <w:szCs w:val="32"/>
        </w:rPr>
        <w:t>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7" w:name="_Toc22800_WPSOffice_Level1"/>
      <w:r>
        <w:rPr>
          <w:rStyle w:val="Strong"/>
          <w:rFonts w:ascii="黑体" w:eastAsia="黑体" w:hAnsi="黑体" w:cs="仿宋_GB2312" w:hint="eastAsia"/>
          <w:b w:val="0"/>
          <w:color w:val="auto"/>
          <w:spacing w:val="-4"/>
          <w:sz w:val="32"/>
          <w:szCs w:val="32"/>
        </w:rPr>
        <w:t>存在的主要问题</w:t>
      </w:r>
      <w:bookmarkEnd w:id="7"/>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部分业务人员绩效管理意识有待增强，未能全面深入认识理解绩效管理工作的意义。绩效管理经验不足，预算绩效管理工作有待进一步落实。</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29546_WPSOffice_Level1"/>
      <w:r>
        <w:rPr>
          <w:rStyle w:val="Strong"/>
          <w:rFonts w:ascii="黑体" w:eastAsia="黑体" w:hAnsi="黑体" w:cs="仿宋_GB2312" w:hint="eastAsia"/>
          <w:b w:val="0"/>
          <w:color w:val="auto"/>
          <w:spacing w:val="-4"/>
          <w:sz w:val="32"/>
          <w:szCs w:val="32"/>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（一）改进措施</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2. 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4.</w:t>
      </w:r>
      <w:r>
        <w:rPr>
          <w:rStyle w:val="Strong"/>
          <w:rFonts w:ascii="仿宋_GB2312" w:eastAsia="仿宋_GB2312" w:hAnsi="仿宋_GB2312" w:cs="仿宋_GB2312" w:hint="eastAsia"/>
          <w:b w:val="0"/>
          <w:bCs w:val="0"/>
          <w:color w:val="auto"/>
          <w:spacing w:val="-4"/>
          <w:sz w:val="32"/>
          <w:szCs w:val="32"/>
        </w:rPr>
        <w:t>在保证资金安全的前提下加快资金支出进度，支出条件已经成熟的项目，抓紧报销，尽快形成有效支出。</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Fonts w:ascii="仿宋_GB2312" w:eastAsia="仿宋_GB2312"/>
          <w:color w:val="auto"/>
          <w:sz w:val="32"/>
          <w:szCs w:val="32"/>
        </w:rPr>
      </w:pPr>
      <w:r>
        <w:rPr>
          <w:rFonts w:ascii="仿宋_GB2312" w:eastAsia="仿宋_GB2312" w:hint="eastAsia"/>
          <w:color w:val="auto"/>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606E5B"/>
    <w:rsid w:val="01CC583F"/>
    <w:rsid w:val="04FF0482"/>
    <w:rsid w:val="05062887"/>
    <w:rsid w:val="057259ED"/>
    <w:rsid w:val="05F70F85"/>
    <w:rsid w:val="07270EB6"/>
    <w:rsid w:val="079B2306"/>
    <w:rsid w:val="084208C4"/>
    <w:rsid w:val="08B74480"/>
    <w:rsid w:val="098A3C0A"/>
    <w:rsid w:val="09F045A7"/>
    <w:rsid w:val="0A9A7091"/>
    <w:rsid w:val="0AA51CF4"/>
    <w:rsid w:val="0C5D7572"/>
    <w:rsid w:val="0CFB1F5F"/>
    <w:rsid w:val="10FE60D7"/>
    <w:rsid w:val="1143786B"/>
    <w:rsid w:val="12982F02"/>
    <w:rsid w:val="13D35AF7"/>
    <w:rsid w:val="15085607"/>
    <w:rsid w:val="15A63CEA"/>
    <w:rsid w:val="17336A8E"/>
    <w:rsid w:val="175D58E3"/>
    <w:rsid w:val="17817D8C"/>
    <w:rsid w:val="18061B60"/>
    <w:rsid w:val="186A4EB9"/>
    <w:rsid w:val="18BC3246"/>
    <w:rsid w:val="190C3DF8"/>
    <w:rsid w:val="19F83E30"/>
    <w:rsid w:val="1B403139"/>
    <w:rsid w:val="1C6D319F"/>
    <w:rsid w:val="1CF649F5"/>
    <w:rsid w:val="1D4D74D6"/>
    <w:rsid w:val="1DE32CFD"/>
    <w:rsid w:val="1F1A602A"/>
    <w:rsid w:val="1F2854B6"/>
    <w:rsid w:val="203528DD"/>
    <w:rsid w:val="21C768CD"/>
    <w:rsid w:val="22315912"/>
    <w:rsid w:val="22E14253"/>
    <w:rsid w:val="22F762F5"/>
    <w:rsid w:val="23A36FC9"/>
    <w:rsid w:val="23F209A3"/>
    <w:rsid w:val="2403516E"/>
    <w:rsid w:val="24755532"/>
    <w:rsid w:val="256A2A9E"/>
    <w:rsid w:val="26FE59B2"/>
    <w:rsid w:val="2805537E"/>
    <w:rsid w:val="289437EE"/>
    <w:rsid w:val="2AA975FF"/>
    <w:rsid w:val="2AF56E86"/>
    <w:rsid w:val="2E8416F2"/>
    <w:rsid w:val="2EBA2E50"/>
    <w:rsid w:val="2EBF757D"/>
    <w:rsid w:val="2F711067"/>
    <w:rsid w:val="308C17AE"/>
    <w:rsid w:val="31B83F5F"/>
    <w:rsid w:val="328E2AB6"/>
    <w:rsid w:val="329B12EA"/>
    <w:rsid w:val="332A6E5F"/>
    <w:rsid w:val="33A36B4B"/>
    <w:rsid w:val="33A83F87"/>
    <w:rsid w:val="33CE501A"/>
    <w:rsid w:val="355C2B3F"/>
    <w:rsid w:val="35F12468"/>
    <w:rsid w:val="36851B5C"/>
    <w:rsid w:val="377D4957"/>
    <w:rsid w:val="37D360CA"/>
    <w:rsid w:val="38CB5066"/>
    <w:rsid w:val="39FA573D"/>
    <w:rsid w:val="3AC456A0"/>
    <w:rsid w:val="3AD7426F"/>
    <w:rsid w:val="3C1315F1"/>
    <w:rsid w:val="3F1B4757"/>
    <w:rsid w:val="3F301058"/>
    <w:rsid w:val="417A34F9"/>
    <w:rsid w:val="418810F4"/>
    <w:rsid w:val="41A37673"/>
    <w:rsid w:val="42C30950"/>
    <w:rsid w:val="42C95507"/>
    <w:rsid w:val="43656625"/>
    <w:rsid w:val="43EC1008"/>
    <w:rsid w:val="45A65C7F"/>
    <w:rsid w:val="468C2A4A"/>
    <w:rsid w:val="46AD2493"/>
    <w:rsid w:val="46EC7F14"/>
    <w:rsid w:val="480B2121"/>
    <w:rsid w:val="48AF4C7F"/>
    <w:rsid w:val="48EE027C"/>
    <w:rsid w:val="49494B09"/>
    <w:rsid w:val="4A49018B"/>
    <w:rsid w:val="4A81677A"/>
    <w:rsid w:val="4D056050"/>
    <w:rsid w:val="4DA177B2"/>
    <w:rsid w:val="4DF36D4F"/>
    <w:rsid w:val="4EB41A1D"/>
    <w:rsid w:val="501B7C76"/>
    <w:rsid w:val="504D5CCF"/>
    <w:rsid w:val="533A7469"/>
    <w:rsid w:val="53526129"/>
    <w:rsid w:val="542B3593"/>
    <w:rsid w:val="565F61A9"/>
    <w:rsid w:val="5717153E"/>
    <w:rsid w:val="57232FC4"/>
    <w:rsid w:val="572D2326"/>
    <w:rsid w:val="57365691"/>
    <w:rsid w:val="59EE1E48"/>
    <w:rsid w:val="5A490F5C"/>
    <w:rsid w:val="5AF560BD"/>
    <w:rsid w:val="5BD21464"/>
    <w:rsid w:val="5BDE2B83"/>
    <w:rsid w:val="5D0164D8"/>
    <w:rsid w:val="5D355238"/>
    <w:rsid w:val="5F7D08B9"/>
    <w:rsid w:val="5FB4124F"/>
    <w:rsid w:val="605F4A03"/>
    <w:rsid w:val="61635F72"/>
    <w:rsid w:val="618606C5"/>
    <w:rsid w:val="61FC5425"/>
    <w:rsid w:val="62A24195"/>
    <w:rsid w:val="63E114D3"/>
    <w:rsid w:val="63EE5A8B"/>
    <w:rsid w:val="6444028A"/>
    <w:rsid w:val="65D62C49"/>
    <w:rsid w:val="68915B76"/>
    <w:rsid w:val="6A5119B3"/>
    <w:rsid w:val="6A8713FC"/>
    <w:rsid w:val="6AAC6382"/>
    <w:rsid w:val="6AD46D46"/>
    <w:rsid w:val="6D2A7252"/>
    <w:rsid w:val="6D892A1D"/>
    <w:rsid w:val="6DE07909"/>
    <w:rsid w:val="6E58438A"/>
    <w:rsid w:val="6E9D5508"/>
    <w:rsid w:val="6ED26F8D"/>
    <w:rsid w:val="6EFBF267"/>
    <w:rsid w:val="713E30D6"/>
    <w:rsid w:val="71EB22B3"/>
    <w:rsid w:val="72010FA6"/>
    <w:rsid w:val="723A5EE3"/>
    <w:rsid w:val="727F2ED4"/>
    <w:rsid w:val="72A401FE"/>
    <w:rsid w:val="73246011"/>
    <w:rsid w:val="73724312"/>
    <w:rsid w:val="739F53EC"/>
    <w:rsid w:val="73B71EE3"/>
    <w:rsid w:val="748A4F72"/>
    <w:rsid w:val="74AB67E4"/>
    <w:rsid w:val="75664078"/>
    <w:rsid w:val="761E4132"/>
    <w:rsid w:val="77554033"/>
    <w:rsid w:val="78061A79"/>
    <w:rsid w:val="79504D32"/>
    <w:rsid w:val="7A9B3749"/>
    <w:rsid w:val="7AC1551D"/>
    <w:rsid w:val="7BC003CA"/>
    <w:rsid w:val="7CBF4BB4"/>
    <w:rsid w:val="7DED2C82"/>
    <w:rsid w:val="7E5D346D"/>
    <w:rsid w:val="7EA96552"/>
    <w:rsid w:val="7EB34307"/>
    <w:rsid w:val="7EB62219"/>
    <w:rsid w:val="7EC31AF6"/>
    <w:rsid w:val="7F9C0F7A"/>
    <w:rsid w:val="7FDB1E88"/>
  </w:rsids>
  <w:docVars>
    <w:docVar w:name="commondata" w:val="eyJoZGlkIjoiOGU1ZmI3OTEyMWRlNDNmMDM1MGRjMjlhZjRkODQ0ZDQ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2"/>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FirstIndent2">
    <w:name w:val="Body Text First Indent 2"/>
    <w:basedOn w:val="BodyTextIndent"/>
    <w:next w:val="BodyTextIndent"/>
    <w:qFormat/>
    <w:pPr>
      <w:ind w:firstLine="420" w:firstLineChars="200"/>
    </w:pPr>
  </w:style>
  <w:style w:type="paragraph" w:styleId="BodyTextIndent">
    <w:name w:val="Body Text Indent"/>
    <w:basedOn w:val="Normal"/>
    <w:qFormat/>
    <w:pPr>
      <w:spacing w:after="120"/>
      <w:ind w:left="420" w:leftChars="200"/>
    </w:pPr>
    <w:rPr>
      <w:rFonts w:ascii="Calibri" w:eastAsia="宋体" w:hAnsi="Calibri"/>
      <w:sz w:val="21"/>
      <w:szCs w:val="22"/>
    </w:rPr>
  </w:style>
  <w:style w:type="paragraph" w:styleId="CommentText">
    <w:name w:val="annotation text"/>
    <w:basedOn w:val="Normal"/>
    <w:link w:val="a2"/>
    <w:uiPriority w:val="99"/>
    <w:semiHidden/>
    <w:unhideWhenUsed/>
    <w:qFormat/>
    <w:pPr>
      <w:jc w:val="left"/>
    </w:pPr>
  </w:style>
  <w:style w:type="paragraph" w:styleId="BodyText">
    <w:name w:val="Body Text"/>
    <w:basedOn w:val="Normal"/>
    <w:next w:val="BodyTextFirstIndent"/>
    <w:qFormat/>
    <w:pPr>
      <w:spacing w:before="240" w:after="240" w:line="360" w:lineRule="auto"/>
      <w:jc w:val="center"/>
    </w:pPr>
    <w:rPr>
      <w:b/>
      <w:sz w:val="44"/>
    </w:rPr>
  </w:style>
  <w:style w:type="paragraph" w:styleId="BodyTextFirstIndent">
    <w:name w:val="Body Text First Indent"/>
    <w:basedOn w:val="BodyText"/>
    <w:uiPriority w:val="99"/>
    <w:unhideWhenUsed/>
    <w:qFormat/>
    <w:pPr>
      <w:ind w:firstLine="420" w:firstLineChars="100"/>
    </w:p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 w:type="character" w:customStyle="1" w:styleId="NormalCharacter">
    <w:name w:val="NormalCharacter"/>
    <w:qFormat/>
    <w:rPr>
      <w:rFonts w:ascii="Calibri" w:eastAsia="宋体" w:hAnsi="Calibri" w:cs="仿宋_GB2312"/>
      <w:kern w:val="2"/>
      <w:sz w:val="32"/>
      <w:szCs w:val="3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22669</Words>
  <Characters>23946</Characters>
  <Application>Microsoft Office Word</Application>
  <DocSecurity>0</DocSecurity>
  <Lines>60</Lines>
  <Paragraphs>17</Paragraphs>
  <ScaleCrop>false</ScaleCrop>
  <Company>市直单位</Company>
  <LinksUpToDate>false</LinksUpToDate>
  <CharactersWithSpaces>23969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2023-02-14T12:56:49Z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FA48308C584B4C498E9734F137FE4F69</vt:lpwstr>
  </property>
  <property fmtid="{D5CDD505-2E9C-101B-9397-08002B2CF9AE}" pid="3" name="KSOProductBuildVer">
    <vt:lpwstr>2052-11.8.2.8555</vt:lpwstr>
  </property>
</Properties>
</file>