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540" w:lineRule="exact"/>
        <w:jc w:val="center"/>
        <w:rPr>
          <w:rFonts w:eastAsia="华文中宋"/>
          <w:b/>
          <w:kern w:val="0"/>
          <w:sz w:val="28"/>
          <w:szCs w:val="28"/>
        </w:rPr>
      </w:pPr>
    </w:p>
    <w:p>
      <w:pPr>
        <w:spacing w:line="540" w:lineRule="exact"/>
        <w:rPr>
          <w:rFonts w:eastAsia="华文中宋"/>
          <w:b/>
          <w:kern w:val="0"/>
          <w:sz w:val="28"/>
          <w:szCs w:val="28"/>
        </w:rPr>
      </w:pPr>
    </w:p>
    <w:p>
      <w:pPr>
        <w:spacing w:line="540" w:lineRule="exact"/>
        <w:jc w:val="center"/>
        <w:rPr>
          <w:rFonts w:eastAsia="华文中宋"/>
          <w:b/>
          <w:kern w:val="0"/>
          <w:sz w:val="28"/>
          <w:szCs w:val="28"/>
        </w:rPr>
      </w:pPr>
    </w:p>
    <w:p>
      <w:pPr>
        <w:spacing w:line="540" w:lineRule="exact"/>
        <w:jc w:val="center"/>
        <w:rPr>
          <w:rFonts w:eastAsia="华文中宋"/>
          <w:b/>
          <w:kern w:val="0"/>
          <w:sz w:val="28"/>
          <w:szCs w:val="28"/>
        </w:rPr>
      </w:pPr>
    </w:p>
    <w:p>
      <w:pPr>
        <w:jc w:val="center"/>
        <w:rPr>
          <w:rFonts w:eastAsia="方正小标宋简体"/>
          <w:sz w:val="44"/>
          <w:szCs w:val="44"/>
        </w:rPr>
      </w:pPr>
      <w:r>
        <w:rPr>
          <w:rFonts w:eastAsia="方正小标宋简体" w:hint="eastAsia"/>
          <w:sz w:val="44"/>
          <w:szCs w:val="44"/>
          <w:lang w:val="en-US" w:eastAsia="zh-CN"/>
        </w:rPr>
        <w:t>2022</w:t>
      </w:r>
      <w:r>
        <w:rPr>
          <w:rFonts w:eastAsia="方正小标宋简体"/>
          <w:sz w:val="44"/>
          <w:szCs w:val="44"/>
        </w:rPr>
        <w:t>年化解教育系统工程设备欠款项目资金项目支出绩效评价报告</w:t>
      </w:r>
    </w:p>
    <w:p>
      <w:pPr>
        <w:spacing w:line="540" w:lineRule="exact"/>
        <w:jc w:val="center"/>
        <w:rPr>
          <w:rFonts w:eastAsia="华文中宋"/>
          <w:b/>
          <w:kern w:val="0"/>
          <w:sz w:val="44"/>
          <w:szCs w:val="44"/>
        </w:rPr>
      </w:pPr>
    </w:p>
    <w:p>
      <w:pPr>
        <w:spacing w:line="540" w:lineRule="exact"/>
        <w:jc w:val="center"/>
        <w:rPr>
          <w:rFonts w:ascii="仿宋_GB2312" w:eastAsia="仿宋_GB2312"/>
          <w:kern w:val="0"/>
          <w:sz w:val="44"/>
          <w:szCs w:val="44"/>
        </w:rPr>
      </w:pPr>
      <w:r>
        <w:rPr>
          <w:rFonts w:ascii="仿宋_GB2312" w:eastAsia="仿宋_GB2312"/>
          <w:kern w:val="0"/>
          <w:sz w:val="44"/>
          <w:szCs w:val="44"/>
        </w:rPr>
        <w:t xml:space="preserve">（ </w:t>
      </w:r>
      <w:r>
        <w:rPr>
          <w:rFonts w:ascii="仿宋_GB2312" w:eastAsia="仿宋_GB2312" w:hint="eastAsia"/>
          <w:kern w:val="0"/>
          <w:sz w:val="44"/>
          <w:szCs w:val="44"/>
          <w:lang w:val="en-US" w:eastAsia="zh-CN"/>
        </w:rPr>
        <w:t>2022</w:t>
      </w:r>
      <w:r>
        <w:rPr>
          <w:rFonts w:ascii="仿宋_GB2312" w:eastAsia="仿宋_GB2312"/>
          <w:kern w:val="0"/>
          <w:sz w:val="44"/>
          <w:szCs w:val="44"/>
        </w:rPr>
        <w:t>年度）</w:t>
      </w:r>
    </w:p>
    <w:p>
      <w:pPr>
        <w:spacing w:line="540" w:lineRule="exact"/>
        <w:jc w:val="center"/>
        <w:rPr>
          <w:rFonts w:eastAsia="仿宋_GB2312"/>
          <w:kern w:val="0"/>
          <w:sz w:val="28"/>
          <w:szCs w:val="28"/>
        </w:rPr>
      </w:pPr>
    </w:p>
    <w:p>
      <w:pPr>
        <w:spacing w:line="540" w:lineRule="exact"/>
        <w:jc w:val="center"/>
        <w:rPr>
          <w:rFonts w:eastAsia="仿宋_GB2312"/>
          <w:kern w:val="0"/>
          <w:sz w:val="28"/>
          <w:szCs w:val="28"/>
        </w:rPr>
      </w:pPr>
    </w:p>
    <w:p>
      <w:pPr>
        <w:spacing w:line="540" w:lineRule="exact"/>
        <w:jc w:val="center"/>
        <w:rPr>
          <w:rFonts w:eastAsia="仿宋_GB2312"/>
          <w:kern w:val="0"/>
          <w:sz w:val="28"/>
          <w:szCs w:val="28"/>
        </w:rPr>
      </w:pPr>
    </w:p>
    <w:p>
      <w:pPr>
        <w:spacing w:line="540" w:lineRule="exact"/>
        <w:jc w:val="center"/>
        <w:rPr>
          <w:rFonts w:eastAsia="仿宋_GB2312"/>
          <w:kern w:val="0"/>
          <w:sz w:val="28"/>
          <w:szCs w:val="28"/>
        </w:rPr>
      </w:pPr>
    </w:p>
    <w:p>
      <w:pPr>
        <w:spacing w:line="540" w:lineRule="exact"/>
        <w:rPr>
          <w:rFonts w:eastAsia="仿宋_GB2312"/>
          <w:kern w:val="0"/>
          <w:sz w:val="28"/>
          <w:szCs w:val="28"/>
        </w:rPr>
      </w:pPr>
    </w:p>
    <w:p>
      <w:pPr>
        <w:spacing w:line="700" w:lineRule="exact"/>
        <w:ind w:firstLine="1280" w:firstLineChars="400"/>
        <w:jc w:val="left"/>
        <w:rPr>
          <w:rFonts w:ascii="仿宋_GB2312" w:eastAsia="仿宋_GB2312" w:hint="eastAsia"/>
          <w:kern w:val="0"/>
          <w:sz w:val="32"/>
          <w:szCs w:val="32"/>
        </w:rPr>
      </w:pPr>
      <w:r>
        <w:rPr>
          <w:rFonts w:ascii="仿宋_GB2312" w:eastAsia="仿宋_GB2312" w:hint="eastAsia"/>
          <w:kern w:val="0"/>
          <w:sz w:val="32"/>
          <w:szCs w:val="32"/>
        </w:rPr>
        <w:t>项目名称：</w:t>
      </w:r>
      <w:r>
        <w:rPr>
          <w:rFonts w:ascii="仿宋_GB2312" w:eastAsia="仿宋_GB2312" w:hint="eastAsia"/>
          <w:kern w:val="0"/>
          <w:sz w:val="32"/>
          <w:szCs w:val="32"/>
          <w:lang w:val="en-US" w:eastAsia="zh-CN"/>
        </w:rPr>
        <w:t>2022</w:t>
      </w:r>
      <w:r>
        <w:rPr>
          <w:rFonts w:ascii="仿宋_GB2312" w:eastAsia="仿宋_GB2312" w:hint="eastAsia"/>
          <w:kern w:val="0"/>
          <w:sz w:val="32"/>
          <w:szCs w:val="32"/>
        </w:rPr>
        <w:t>年化解教育系统工程设备欠款项目</w:t>
      </w:r>
    </w:p>
    <w:p>
      <w:pPr>
        <w:spacing w:line="700" w:lineRule="exact"/>
        <w:ind w:firstLine="1280" w:firstLineChars="400"/>
        <w:jc w:val="left"/>
        <w:rPr>
          <w:rFonts w:ascii="仿宋_GB2312" w:eastAsia="仿宋_GB2312" w:hint="eastAsia"/>
          <w:kern w:val="0"/>
          <w:sz w:val="32"/>
          <w:szCs w:val="32"/>
        </w:rPr>
      </w:pPr>
      <w:r>
        <w:rPr>
          <w:rFonts w:ascii="仿宋_GB2312" w:eastAsia="仿宋_GB2312" w:hint="eastAsia"/>
          <w:kern w:val="0"/>
          <w:sz w:val="32"/>
          <w:szCs w:val="32"/>
        </w:rPr>
        <w:t>实施单位（公章）：乌苏市教育和科学技术局</w:t>
      </w:r>
    </w:p>
    <w:p>
      <w:pPr>
        <w:spacing w:line="700" w:lineRule="exact"/>
        <w:ind w:firstLine="1280" w:firstLineChars="400"/>
        <w:jc w:val="left"/>
        <w:rPr>
          <w:rFonts w:ascii="仿宋_GB2312" w:eastAsia="仿宋_GB2312" w:hint="eastAsia"/>
          <w:kern w:val="0"/>
          <w:sz w:val="32"/>
          <w:szCs w:val="32"/>
        </w:rPr>
      </w:pPr>
      <w:r>
        <w:rPr>
          <w:rFonts w:ascii="仿宋_GB2312" w:eastAsia="仿宋_GB2312" w:hint="eastAsia"/>
          <w:kern w:val="0"/>
          <w:sz w:val="32"/>
          <w:szCs w:val="32"/>
        </w:rPr>
        <w:t>主管部门（公章）：乌苏市教育和科学技术局</w:t>
      </w:r>
    </w:p>
    <w:p>
      <w:pPr>
        <w:spacing w:line="700" w:lineRule="exact"/>
        <w:ind w:firstLine="1280" w:firstLineChars="400"/>
        <w:jc w:val="left"/>
        <w:rPr>
          <w:rFonts w:ascii="仿宋_GB2312" w:eastAsia="仿宋_GB2312" w:hint="default"/>
          <w:kern w:val="0"/>
          <w:sz w:val="32"/>
          <w:szCs w:val="32"/>
          <w:lang w:val="en-US" w:eastAsia="zh-CN"/>
        </w:rPr>
      </w:pPr>
      <w:r>
        <w:rPr>
          <w:rFonts w:ascii="仿宋_GB2312" w:eastAsia="仿宋_GB2312" w:hint="eastAsia"/>
          <w:kern w:val="0"/>
          <w:sz w:val="32"/>
          <w:szCs w:val="32"/>
        </w:rPr>
        <w:t>项目负责人（签章）：</w:t>
      </w:r>
      <w:r>
        <w:rPr>
          <w:rFonts w:ascii="仿宋_GB2312" w:eastAsia="仿宋_GB2312" w:hint="eastAsia"/>
          <w:kern w:val="0"/>
          <w:sz w:val="32"/>
          <w:szCs w:val="32"/>
          <w:lang w:val="en-US" w:eastAsia="zh-CN"/>
        </w:rPr>
        <w:t>李作勇</w:t>
      </w:r>
    </w:p>
    <w:p>
      <w:pPr>
        <w:spacing w:line="700" w:lineRule="exact"/>
        <w:ind w:firstLine="1280" w:firstLineChars="400"/>
        <w:jc w:val="both"/>
        <w:rPr>
          <w:rFonts w:ascii="仿宋_GB2312" w:eastAsia="仿宋_GB2312" w:hint="eastAsia"/>
          <w:kern w:val="0"/>
          <w:sz w:val="32"/>
          <w:szCs w:val="32"/>
        </w:rPr>
      </w:pPr>
      <w:r>
        <w:rPr>
          <w:rFonts w:ascii="仿宋_GB2312" w:eastAsia="仿宋_GB2312" w:hint="eastAsia"/>
          <w:kern w:val="0"/>
          <w:sz w:val="32"/>
          <w:szCs w:val="32"/>
        </w:rPr>
        <w:t>填报时间：202</w:t>
      </w:r>
      <w:r>
        <w:rPr>
          <w:rFonts w:ascii="仿宋_GB2312" w:eastAsia="仿宋_GB2312" w:hint="eastAsia"/>
          <w:kern w:val="0"/>
          <w:sz w:val="32"/>
          <w:szCs w:val="32"/>
          <w:lang w:val="en-US" w:eastAsia="zh-CN"/>
        </w:rPr>
        <w:t>2</w:t>
      </w:r>
      <w:r>
        <w:rPr>
          <w:rFonts w:ascii="仿宋_GB2312" w:eastAsia="仿宋_GB2312" w:hint="eastAsia"/>
          <w:kern w:val="0"/>
          <w:sz w:val="32"/>
          <w:szCs w:val="32"/>
        </w:rPr>
        <w:t>年</w:t>
      </w:r>
      <w:r>
        <w:rPr>
          <w:rFonts w:ascii="仿宋_GB2312" w:eastAsia="仿宋_GB2312" w:hint="eastAsia"/>
          <w:kern w:val="0"/>
          <w:sz w:val="32"/>
          <w:szCs w:val="32"/>
          <w:lang w:val="en-US" w:eastAsia="zh-CN"/>
        </w:rPr>
        <w:t>2</w:t>
      </w:r>
      <w:r>
        <w:rPr>
          <w:rFonts w:ascii="仿宋_GB2312" w:eastAsia="仿宋_GB2312" w:hint="eastAsia"/>
          <w:kern w:val="0"/>
          <w:sz w:val="32"/>
          <w:szCs w:val="32"/>
        </w:rPr>
        <w:t>月</w:t>
      </w:r>
    </w:p>
    <w:p>
      <w:pPr>
        <w:pStyle w:val="BodyTextFirstIndent2"/>
        <w:rPr>
          <w:rFonts w:ascii="仿宋_GB2312" w:eastAsia="仿宋_GB2312" w:hint="eastAsia"/>
          <w:kern w:val="0"/>
          <w:sz w:val="32"/>
          <w:szCs w:val="32"/>
        </w:rPr>
      </w:pPr>
    </w:p>
    <w:p>
      <w:pPr>
        <w:pStyle w:val="BodyTextFirstIndent2"/>
        <w:rPr>
          <w:rFonts w:ascii="仿宋_GB2312" w:eastAsia="仿宋_GB2312" w:hint="eastAsia"/>
          <w:kern w:val="0"/>
          <w:sz w:val="32"/>
          <w:szCs w:val="32"/>
        </w:rPr>
      </w:pPr>
    </w:p>
    <w:p>
      <w:pPr>
        <w:spacing w:line="540" w:lineRule="exact"/>
        <w:jc w:val="center"/>
        <w:rPr>
          <w:rFonts w:eastAsia="仿宋_GB2312"/>
          <w:kern w:val="0"/>
          <w:sz w:val="28"/>
          <w:szCs w:val="28"/>
        </w:rPr>
      </w:pPr>
    </w:p>
    <w:p>
      <w:pPr>
        <w:spacing w:line="540" w:lineRule="exact"/>
        <w:rPr>
          <w:rStyle w:val="Strong"/>
          <w:rFonts w:eastAsia="黑体"/>
          <w:b w:val="0"/>
          <w:spacing w:val="-4"/>
          <w:sz w:val="28"/>
          <w:szCs w:val="28"/>
        </w:rPr>
      </w:pPr>
    </w:p>
    <w:p>
      <w:pPr>
        <w:tabs>
          <w:tab w:val="left" w:pos="1224"/>
        </w:tabs>
        <w:ind w:firstLine="0" w:firstLineChars="0"/>
        <w:jc w:val="center"/>
        <w:rPr>
          <w:rStyle w:val="CommentReference"/>
        </w:rPr>
      </w:pPr>
      <w:r>
        <w:rPr>
          <w:rFonts w:hint="eastAsia"/>
          <w:b/>
          <w:bCs/>
        </w:rPr>
        <w:t xml:space="preserve">目 </w:t>
      </w:r>
      <w:r>
        <w:rPr>
          <w:b/>
          <w:bCs/>
        </w:rPr>
        <w:t xml:space="preserve"> </w:t>
      </w:r>
      <w:r>
        <w:rPr>
          <w:rFonts w:hint="eastAsia"/>
          <w:b/>
          <w:bCs/>
        </w:rPr>
        <w:t>录</w:t>
      </w:r>
    </w:p>
    <w:p>
      <w:pPr>
        <w:pStyle w:val="WPSOffice1"/>
        <w:tabs>
          <w:tab w:val="right" w:leader="dot" w:pos="8306"/>
        </w:tabs>
        <w:spacing w:line="560" w:lineRule="exact"/>
        <w:rPr>
          <w:rFonts w:ascii="仿宋" w:eastAsia="仿宋" w:hAnsi="仿宋" w:cs="仿宋" w:hint="eastAsia"/>
          <w:b/>
          <w:sz w:val="32"/>
          <w:szCs w:val="32"/>
        </w:rPr>
      </w:pPr>
      <w:r>
        <w:rPr>
          <w:rFonts w:ascii="仿宋" w:eastAsia="仿宋" w:hAnsi="仿宋" w:cs="仿宋" w:hint="eastAsia"/>
          <w:sz w:val="36"/>
          <w:szCs w:val="36"/>
        </w:rPr>
        <w:fldChar w:fldCharType="begin"/>
      </w:r>
      <w:r>
        <w:rPr>
          <w:rStyle w:val="CommentReference"/>
          <w:rFonts w:ascii="仿宋" w:eastAsia="仿宋" w:hAnsi="仿宋" w:cs="仿宋" w:hint="eastAsia"/>
          <w:sz w:val="36"/>
          <w:szCs w:val="36"/>
        </w:rPr>
        <w:instrText xml:space="preserve">TOC \o "1-2" \h \u </w:instrText>
      </w:r>
      <w:r>
        <w:rPr>
          <w:rFonts w:ascii="仿宋" w:eastAsia="仿宋" w:hAnsi="仿宋" w:cs="仿宋" w:hint="eastAsia"/>
          <w:sz w:val="36"/>
          <w:szCs w:val="36"/>
        </w:rPr>
        <w:fldChar w:fldCharType="separate"/>
      </w:r>
      <w:hyperlink w:anchor="_Toc13154" w:history="1">
        <w:r>
          <w:rPr>
            <w:rFonts w:ascii="仿宋" w:eastAsia="仿宋" w:hAnsi="仿宋" w:cs="仿宋" w:hint="eastAsia"/>
            <w:b/>
            <w:bCs/>
            <w:sz w:val="32"/>
            <w:szCs w:val="52"/>
            <w:lang w:bidi="en-US"/>
          </w:rPr>
          <w:t>一、基本情况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_Toc13154 </w:instrText>
        </w:r>
        <w:r>
          <w:rPr>
            <w:rFonts w:ascii="仿宋" w:eastAsia="仿宋" w:hAnsi="仿宋" w:cs="仿宋" w:hint="eastAsia"/>
            <w:b/>
            <w:sz w:val="32"/>
            <w:szCs w:val="32"/>
          </w:rPr>
          <w:fldChar w:fldCharType="separate"/>
        </w:r>
        <w:r>
          <w:rPr>
            <w:rFonts w:ascii="仿宋" w:eastAsia="仿宋" w:hAnsi="仿宋" w:cs="仿宋" w:hint="eastAsia"/>
            <w:b/>
            <w:sz w:val="32"/>
            <w:szCs w:val="32"/>
          </w:rPr>
          <w:t>3</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044" w:history="1">
        <w:r>
          <w:rPr>
            <w:rFonts w:ascii="仿宋" w:eastAsia="仿宋" w:hAnsi="仿宋" w:cs="仿宋" w:hint="eastAsia"/>
            <w:bCs/>
            <w:sz w:val="32"/>
            <w:szCs w:val="48"/>
            <w:lang w:bidi="en-US"/>
          </w:rPr>
          <w:t>（一）项目概况：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_Toc2044 </w:instrText>
        </w:r>
        <w:r>
          <w:rPr>
            <w:rFonts w:ascii="仿宋" w:eastAsia="仿宋" w:hAnsi="仿宋" w:cs="仿宋" w:hint="eastAsia"/>
            <w:sz w:val="32"/>
            <w:szCs w:val="32"/>
          </w:rPr>
          <w:fldChar w:fldCharType="separate"/>
        </w:r>
        <w:r>
          <w:rPr>
            <w:rFonts w:ascii="仿宋" w:eastAsia="仿宋" w:hAnsi="仿宋" w:cs="仿宋" w:hint="eastAsia"/>
            <w:sz w:val="32"/>
            <w:szCs w:val="32"/>
          </w:rPr>
          <w:t>3</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4316" w:history="1">
        <w:r>
          <w:rPr>
            <w:rFonts w:ascii="仿宋" w:eastAsia="仿宋" w:hAnsi="仿宋" w:cs="仿宋" w:hint="eastAsia"/>
            <w:bCs/>
            <w:sz w:val="32"/>
            <w:szCs w:val="48"/>
            <w:lang w:bidi="en-US"/>
          </w:rPr>
          <w:t>（二）项目绩效目标：</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_Toc4316 </w:instrText>
        </w:r>
        <w:r>
          <w:rPr>
            <w:rFonts w:ascii="仿宋" w:eastAsia="仿宋" w:hAnsi="仿宋" w:cs="仿宋" w:hint="eastAsia"/>
            <w:sz w:val="32"/>
            <w:szCs w:val="32"/>
          </w:rPr>
          <w:fldChar w:fldCharType="separate"/>
        </w:r>
        <w:r>
          <w:rPr>
            <w:rFonts w:ascii="仿宋" w:eastAsia="仿宋" w:hAnsi="仿宋" w:cs="仿宋" w:hint="eastAsia"/>
            <w:sz w:val="32"/>
            <w:szCs w:val="32"/>
          </w:rPr>
          <w:t>4</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lang w:val="en-US" w:eastAsia="zh-CN"/>
        </w:rPr>
      </w:pPr>
      <w:hyperlink w:anchor="_Toc7851" w:history="1">
        <w:r>
          <w:rPr>
            <w:rFonts w:ascii="仿宋" w:eastAsia="仿宋" w:hAnsi="仿宋" w:cs="仿宋" w:hint="eastAsia"/>
            <w:b/>
            <w:bCs/>
            <w:sz w:val="32"/>
            <w:szCs w:val="52"/>
          </w:rPr>
          <w:t>二、绩效评价工作开展情况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_Toc7851 </w:instrText>
        </w:r>
        <w:r>
          <w:rPr>
            <w:rFonts w:ascii="仿宋" w:eastAsia="仿宋" w:hAnsi="仿宋" w:cs="仿宋" w:hint="eastAsia"/>
            <w:b/>
            <w:sz w:val="32"/>
            <w:szCs w:val="32"/>
          </w:rPr>
          <w:fldChar w:fldCharType="separate"/>
        </w:r>
        <w:r>
          <w:rPr>
            <w:rFonts w:ascii="仿宋" w:eastAsia="仿宋" w:hAnsi="仿宋" w:cs="仿宋" w:hint="eastAsia"/>
            <w:b/>
            <w:sz w:val="32"/>
            <w:szCs w:val="32"/>
          </w:rPr>
          <w:t>5</w:t>
        </w:r>
        <w:r>
          <w:rPr>
            <w:rFonts w:ascii="仿宋" w:eastAsia="仿宋" w:hAnsi="仿宋" w:cs="仿宋" w:hint="eastAsia"/>
            <w:b/>
            <w:sz w:val="32"/>
            <w:szCs w:val="32"/>
          </w:rPr>
          <w:fldChar w:fldCharType="end"/>
        </w:r>
      </w:hyperlink>
      <w:r>
        <w:rPr>
          <w:rFonts w:ascii="仿宋" w:eastAsia="仿宋" w:hAnsi="仿宋" w:cs="仿宋" w:hint="eastAsia"/>
          <w:b/>
          <w:sz w:val="32"/>
          <w:szCs w:val="32"/>
          <w:lang w:val="en-US" w:eastAsia="zh-CN"/>
        </w:rPr>
        <w:t xml:space="preserve"> </w:t>
      </w:r>
    </w:p>
    <w:p>
      <w:pPr>
        <w:pStyle w:val="WPSOffice2"/>
        <w:tabs>
          <w:tab w:val="right" w:leader="dot" w:pos="8306"/>
        </w:tabs>
        <w:spacing w:line="560" w:lineRule="exact"/>
        <w:ind w:left="560"/>
        <w:rPr>
          <w:rFonts w:ascii="仿宋" w:eastAsia="仿宋" w:hAnsi="仿宋" w:cs="仿宋" w:hint="eastAsia"/>
          <w:sz w:val="32"/>
          <w:szCs w:val="32"/>
        </w:rPr>
      </w:pPr>
      <w:hyperlink w:anchor="_Toc20568" w:history="1">
        <w:r>
          <w:rPr>
            <w:rFonts w:ascii="仿宋" w:eastAsia="仿宋" w:hAnsi="仿宋" w:cs="仿宋" w:hint="eastAsia"/>
            <w:bCs/>
            <w:sz w:val="32"/>
            <w:szCs w:val="48"/>
          </w:rPr>
          <w:t>（一）绩效评价目的、对象和范围</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_Toc20568 </w:instrText>
        </w:r>
        <w:r>
          <w:rPr>
            <w:rFonts w:ascii="仿宋" w:eastAsia="仿宋" w:hAnsi="仿宋" w:cs="仿宋" w:hint="eastAsia"/>
            <w:sz w:val="32"/>
            <w:szCs w:val="32"/>
          </w:rPr>
          <w:fldChar w:fldCharType="separate"/>
        </w:r>
        <w:r>
          <w:rPr>
            <w:rFonts w:ascii="仿宋" w:eastAsia="仿宋" w:hAnsi="仿宋" w:cs="仿宋" w:hint="eastAsia"/>
            <w:sz w:val="32"/>
            <w:szCs w:val="32"/>
          </w:rPr>
          <w:t>5</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646" w:history="1">
        <w:r>
          <w:rPr>
            <w:rFonts w:ascii="仿宋" w:eastAsia="仿宋" w:hAnsi="仿宋" w:cs="仿宋" w:hint="eastAsia"/>
            <w:bCs/>
            <w:sz w:val="32"/>
            <w:szCs w:val="32"/>
          </w:rPr>
          <w:t>（二）绩效评价原则、指标体系、方法及标准</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_Toc23646 </w:instrText>
        </w:r>
        <w:r>
          <w:rPr>
            <w:rFonts w:ascii="仿宋" w:eastAsia="仿宋" w:hAnsi="仿宋" w:cs="仿宋" w:hint="eastAsia"/>
            <w:sz w:val="32"/>
            <w:szCs w:val="32"/>
          </w:rPr>
          <w:fldChar w:fldCharType="separate"/>
        </w:r>
        <w:r>
          <w:rPr>
            <w:rFonts w:ascii="仿宋" w:eastAsia="仿宋" w:hAnsi="仿宋" w:cs="仿宋" w:hint="eastAsia"/>
            <w:sz w:val="32"/>
            <w:szCs w:val="32"/>
          </w:rPr>
          <w:t>6</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2695" w:history="1">
        <w:r>
          <w:rPr>
            <w:rFonts w:ascii="仿宋" w:eastAsia="仿宋" w:hAnsi="仿宋" w:cs="仿宋" w:hint="eastAsia"/>
            <w:bCs/>
            <w:sz w:val="32"/>
            <w:szCs w:val="32"/>
          </w:rPr>
          <w:t>（三）绩效评价工作过程</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_Toc12695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8860" w:history="1">
        <w:r>
          <w:rPr>
            <w:rFonts w:ascii="仿宋" w:eastAsia="仿宋" w:hAnsi="仿宋" w:cs="仿宋" w:hint="eastAsia"/>
            <w:b/>
            <w:bCs/>
            <w:sz w:val="32"/>
            <w:szCs w:val="52"/>
          </w:rPr>
          <w:t>三、综合评价情况及评价结论</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_Toc28860 </w:instrText>
        </w:r>
        <w:r>
          <w:rPr>
            <w:rFonts w:ascii="仿宋" w:eastAsia="仿宋" w:hAnsi="仿宋" w:cs="仿宋" w:hint="eastAsia"/>
            <w:b/>
            <w:sz w:val="32"/>
            <w:szCs w:val="32"/>
          </w:rPr>
          <w:fldChar w:fldCharType="separate"/>
        </w:r>
        <w:r>
          <w:rPr>
            <w:rFonts w:ascii="仿宋" w:eastAsia="仿宋" w:hAnsi="仿宋" w:cs="仿宋" w:hint="eastAsia"/>
            <w:b/>
            <w:sz w:val="32"/>
            <w:szCs w:val="32"/>
          </w:rPr>
          <w:t>8</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4030" w:history="1">
        <w:r>
          <w:rPr>
            <w:rFonts w:ascii="仿宋" w:eastAsia="仿宋" w:hAnsi="仿宋" w:cs="仿宋" w:hint="eastAsia"/>
            <w:bCs/>
            <w:sz w:val="32"/>
            <w:szCs w:val="48"/>
          </w:rPr>
          <w:t>（一）评价结论</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_Toc14030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106" w:history="1">
        <w:r>
          <w:rPr>
            <w:rFonts w:ascii="仿宋" w:eastAsia="仿宋" w:hAnsi="仿宋" w:cs="仿宋" w:hint="eastAsia"/>
            <w:bCs/>
            <w:sz w:val="32"/>
            <w:szCs w:val="48"/>
          </w:rPr>
          <w:t>（二）主要绩效</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_Toc23106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0059" w:history="1">
        <w:r>
          <w:rPr>
            <w:rFonts w:ascii="仿宋" w:eastAsia="仿宋" w:hAnsi="仿宋" w:cs="仿宋" w:hint="eastAsia"/>
            <w:b/>
            <w:bCs/>
            <w:sz w:val="32"/>
            <w:szCs w:val="52"/>
          </w:rPr>
          <w:t>四、绩效评价指标分析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_Toc20059 </w:instrText>
        </w:r>
        <w:r>
          <w:rPr>
            <w:rFonts w:ascii="仿宋" w:eastAsia="仿宋" w:hAnsi="仿宋" w:cs="仿宋" w:hint="eastAsia"/>
            <w:b/>
            <w:sz w:val="32"/>
            <w:szCs w:val="32"/>
          </w:rPr>
          <w:fldChar w:fldCharType="separate"/>
        </w:r>
        <w:r>
          <w:rPr>
            <w:rFonts w:ascii="仿宋" w:eastAsia="仿宋" w:hAnsi="仿宋" w:cs="仿宋" w:hint="eastAsia"/>
            <w:b/>
            <w:sz w:val="32"/>
            <w:szCs w:val="32"/>
          </w:rPr>
          <w:t>8</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2626" w:history="1">
        <w:r>
          <w:rPr>
            <w:rFonts w:ascii="仿宋" w:eastAsia="仿宋" w:hAnsi="仿宋" w:cs="仿宋" w:hint="eastAsia"/>
            <w:bCs/>
            <w:sz w:val="32"/>
            <w:szCs w:val="48"/>
          </w:rPr>
          <w:t>（一）项目决策情况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_Toc22626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6968" w:history="1">
        <w:r>
          <w:rPr>
            <w:rFonts w:ascii="仿宋" w:eastAsia="仿宋" w:hAnsi="仿宋" w:cs="仿宋" w:hint="eastAsia"/>
            <w:bCs/>
            <w:sz w:val="32"/>
            <w:szCs w:val="48"/>
          </w:rPr>
          <w:t>（二）项目过程情况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_Toc16968 </w:instrText>
        </w:r>
        <w:r>
          <w:rPr>
            <w:rFonts w:ascii="仿宋" w:eastAsia="仿宋" w:hAnsi="仿宋" w:cs="仿宋" w:hint="eastAsia"/>
            <w:sz w:val="32"/>
            <w:szCs w:val="32"/>
          </w:rPr>
          <w:fldChar w:fldCharType="separate"/>
        </w:r>
        <w:r>
          <w:rPr>
            <w:rFonts w:ascii="仿宋" w:eastAsia="仿宋" w:hAnsi="仿宋" w:cs="仿宋" w:hint="eastAsia"/>
            <w:sz w:val="32"/>
            <w:szCs w:val="32"/>
          </w:rPr>
          <w:t>9</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704" w:history="1">
        <w:r>
          <w:rPr>
            <w:rFonts w:ascii="仿宋" w:eastAsia="仿宋" w:hAnsi="仿宋" w:cs="仿宋" w:hint="eastAsia"/>
            <w:bCs/>
            <w:sz w:val="32"/>
            <w:szCs w:val="48"/>
          </w:rPr>
          <w:t>（三）项目产出情况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_Toc31704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697" w:history="1">
        <w:r>
          <w:rPr>
            <w:rFonts w:ascii="仿宋" w:eastAsia="仿宋" w:hAnsi="仿宋" w:cs="仿宋" w:hint="eastAsia"/>
            <w:bCs/>
            <w:sz w:val="32"/>
            <w:szCs w:val="48"/>
          </w:rPr>
          <w:t>（四）项目效益情况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_Toc31697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32407" w:history="1">
        <w:r>
          <w:rPr>
            <w:rFonts w:ascii="仿宋" w:eastAsia="仿宋" w:hAnsi="仿宋" w:cs="仿宋" w:hint="eastAsia"/>
            <w:b/>
            <w:bCs/>
            <w:sz w:val="32"/>
            <w:szCs w:val="52"/>
          </w:rPr>
          <w:t>五、预算执行进度与绩效指标偏差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_Toc32407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11</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5156" w:history="1">
        <w:r>
          <w:rPr>
            <w:rFonts w:ascii="仿宋" w:eastAsia="仿宋" w:hAnsi="仿宋" w:cs="仿宋" w:hint="eastAsia"/>
            <w:b/>
            <w:bCs/>
            <w:sz w:val="32"/>
            <w:szCs w:val="52"/>
          </w:rPr>
          <w:t>六、主要经验及做法、存在的问题及原因分析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_Toc5156 </w:instrText>
        </w:r>
        <w:r>
          <w:rPr>
            <w:rFonts w:ascii="仿宋" w:eastAsia="仿宋" w:hAnsi="仿宋" w:cs="仿宋" w:hint="eastAsia"/>
            <w:b/>
            <w:sz w:val="32"/>
            <w:szCs w:val="32"/>
          </w:rPr>
          <w:fldChar w:fldCharType="separate"/>
        </w:r>
        <w:r>
          <w:rPr>
            <w:rFonts w:ascii="仿宋" w:eastAsia="仿宋" w:hAnsi="仿宋" w:cs="仿宋" w:hint="eastAsia"/>
            <w:b/>
            <w:sz w:val="32"/>
            <w:szCs w:val="32"/>
          </w:rPr>
          <w:t>11</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8450" w:history="1">
        <w:r>
          <w:rPr>
            <w:rFonts w:ascii="仿宋" w:eastAsia="仿宋" w:hAnsi="仿宋" w:cs="仿宋" w:hint="eastAsia"/>
            <w:bCs/>
            <w:sz w:val="32"/>
            <w:szCs w:val="48"/>
          </w:rPr>
          <w:t>（一）主要经验及做法</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_Toc18450 </w:instrText>
        </w:r>
        <w:r>
          <w:rPr>
            <w:rFonts w:ascii="仿宋" w:eastAsia="仿宋" w:hAnsi="仿宋" w:cs="仿宋" w:hint="eastAsia"/>
            <w:sz w:val="32"/>
            <w:szCs w:val="32"/>
          </w:rPr>
          <w:fldChar w:fldCharType="separate"/>
        </w:r>
        <w:r>
          <w:rPr>
            <w:rFonts w:ascii="仿宋" w:eastAsia="仿宋" w:hAnsi="仿宋" w:cs="仿宋" w:hint="eastAsia"/>
            <w:sz w:val="32"/>
            <w:szCs w:val="32"/>
          </w:rPr>
          <w:t>11</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9205" w:history="1">
        <w:r>
          <w:rPr>
            <w:rFonts w:ascii="仿宋" w:eastAsia="仿宋" w:hAnsi="仿宋" w:cs="仿宋" w:hint="eastAsia"/>
            <w:bCs/>
            <w:sz w:val="32"/>
            <w:szCs w:val="48"/>
          </w:rPr>
          <w:t>（二）存在的问题及原因分析</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_Toc9205 </w:instrText>
        </w:r>
        <w:r>
          <w:rPr>
            <w:rFonts w:ascii="仿宋" w:eastAsia="仿宋" w:hAnsi="仿宋" w:cs="仿宋" w:hint="eastAsia"/>
            <w:sz w:val="32"/>
            <w:szCs w:val="32"/>
          </w:rPr>
          <w:fldChar w:fldCharType="separate"/>
        </w:r>
        <w:r>
          <w:rPr>
            <w:rFonts w:ascii="仿宋" w:eastAsia="仿宋" w:hAnsi="仿宋" w:cs="仿宋" w:hint="eastAsia"/>
            <w:sz w:val="32"/>
            <w:szCs w:val="32"/>
          </w:rPr>
          <w:t>12</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6872" w:history="1">
        <w:r>
          <w:rPr>
            <w:rFonts w:ascii="仿宋" w:eastAsia="仿宋" w:hAnsi="仿宋" w:cs="仿宋" w:hint="eastAsia"/>
            <w:b/>
            <w:bCs/>
            <w:sz w:val="32"/>
            <w:szCs w:val="52"/>
          </w:rPr>
          <w:t>七、其他需要说明的问题</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_Toc26872 </w:instrText>
        </w:r>
        <w:r>
          <w:rPr>
            <w:rFonts w:ascii="仿宋" w:eastAsia="仿宋" w:hAnsi="仿宋" w:cs="仿宋" w:hint="eastAsia"/>
            <w:b/>
            <w:sz w:val="32"/>
            <w:szCs w:val="32"/>
          </w:rPr>
          <w:fldChar w:fldCharType="separate"/>
        </w:r>
        <w:r>
          <w:rPr>
            <w:rFonts w:ascii="仿宋" w:eastAsia="仿宋" w:hAnsi="仿宋" w:cs="仿宋" w:hint="eastAsia"/>
            <w:b/>
            <w:sz w:val="32"/>
            <w:szCs w:val="32"/>
          </w:rPr>
          <w:t>12</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lang w:val="en-US" w:eastAsia="zh-CN"/>
        </w:rPr>
      </w:pPr>
      <w:hyperlink w:anchor="_Toc4317" w:history="1">
        <w:r>
          <w:rPr>
            <w:rFonts w:ascii="仿宋" w:eastAsia="仿宋" w:hAnsi="仿宋" w:cs="仿宋" w:hint="eastAsia"/>
            <w:b/>
            <w:bCs/>
            <w:sz w:val="32"/>
            <w:szCs w:val="52"/>
          </w:rPr>
          <w:t>八、有关建议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_Toc4317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w:t>
        </w:r>
        <w:r>
          <w:rPr>
            <w:rFonts w:ascii="仿宋" w:eastAsia="仿宋" w:hAnsi="仿宋" w:cs="仿宋" w:hint="eastAsia"/>
            <w:b/>
            <w:sz w:val="32"/>
            <w:szCs w:val="32"/>
          </w:rPr>
          <w:fldChar w:fldCharType="end"/>
        </w:r>
      </w:hyperlink>
      <w:r>
        <w:rPr>
          <w:rFonts w:ascii="仿宋" w:eastAsia="仿宋" w:hAnsi="仿宋" w:cs="仿宋" w:hint="eastAsia"/>
          <w:b/>
          <w:sz w:val="32"/>
          <w:szCs w:val="32"/>
          <w:lang w:val="en-US" w:eastAsia="zh-CN"/>
        </w:rPr>
        <w:t>3</w:t>
      </w:r>
    </w:p>
    <w:p>
      <w:pPr>
        <w:spacing w:line="600" w:lineRule="exact"/>
        <w:rPr>
          <w:rFonts w:eastAsia="黑体"/>
          <w:bCs/>
          <w:sz w:val="28"/>
          <w:szCs w:val="28"/>
        </w:rPr>
      </w:pPr>
      <w:r>
        <w:rPr>
          <w:rFonts w:ascii="仿宋" w:eastAsia="仿宋" w:hAnsi="仿宋" w:cs="仿宋" w:hint="eastAsia"/>
          <w:b/>
          <w:sz w:val="48"/>
          <w:szCs w:val="40"/>
        </w:rPr>
        <w:fldChar w:fldCharType="end"/>
      </w:r>
      <w:bookmarkStart w:id="0" w:name="_GoBack"/>
      <w:bookmarkEnd w:id="0"/>
    </w:p>
    <w:p>
      <w:pPr>
        <w:pStyle w:val="Heading1"/>
        <w:spacing w:line="560" w:lineRule="exact"/>
        <w:ind w:firstLine="585" w:firstLineChars="209"/>
        <w:rPr>
          <w:rFonts w:ascii="黑体" w:eastAsia="黑体" w:hAnsi="黑体"/>
          <w:b w:val="0"/>
          <w:bCs w:val="0"/>
          <w:sz w:val="28"/>
          <w:szCs w:val="28"/>
        </w:rPr>
      </w:pPr>
      <w:r>
        <w:rPr>
          <w:rFonts w:ascii="黑体" w:eastAsia="黑体" w:hAnsi="黑体"/>
          <w:b w:val="0"/>
          <w:bCs w:val="0"/>
          <w:sz w:val="28"/>
          <w:szCs w:val="28"/>
        </w:rPr>
        <w:t>一、基本情况</w:t>
      </w:r>
    </w:p>
    <w:p>
      <w:pPr>
        <w:pStyle w:val="Heading2"/>
        <w:spacing w:line="560" w:lineRule="exact"/>
        <w:ind w:firstLine="585" w:firstLineChars="209"/>
        <w:rPr>
          <w:rFonts w:eastAsia="楷体_GB2312"/>
          <w:i w:val="0"/>
          <w:sz w:val="28"/>
          <w:szCs w:val="28"/>
        </w:rPr>
      </w:pPr>
      <w:r>
        <w:rPr>
          <w:rFonts w:eastAsia="楷体_GB2312"/>
          <w:i w:val="0"/>
          <w:sz w:val="28"/>
          <w:szCs w:val="28"/>
        </w:rPr>
        <w:t>（一）项目概况</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1、项目背景</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严格执行《地区教育局校舍维修专项资金管理办法（试行）》等相关资金管理制度，同时本单位也制定了相应的财务管理制度，保障项目资金的及时到位；严格按照《地区教育局学校日常维修实施意见(试行)》等相关业务管理制度，同时本单位成立了化解教育系统工程设备欠款项目工作小组，统筹项目工程的开展，确保工程质量、进度和安全。</w:t>
      </w:r>
    </w:p>
    <w:p>
      <w:pPr>
        <w:pStyle w:val="Heading3"/>
        <w:numPr>
          <w:ilvl w:val="0"/>
          <w:numId w:val="0"/>
        </w:numPr>
        <w:spacing w:line="560" w:lineRule="exact"/>
        <w:ind w:firstLine="560" w:firstLineChars="200"/>
        <w:rPr>
          <w:rFonts w:ascii="仿宋_GB2312" w:eastAsia="仿宋_GB2312"/>
          <w:sz w:val="28"/>
          <w:szCs w:val="28"/>
        </w:rPr>
      </w:pPr>
      <w:r>
        <w:rPr>
          <w:rFonts w:ascii="仿宋_GB2312" w:eastAsia="仿宋_GB2312" w:hint="eastAsia"/>
          <w:sz w:val="28"/>
          <w:szCs w:val="28"/>
          <w:lang w:val="en-US" w:eastAsia="zh-CN"/>
        </w:rPr>
        <w:t>2、</w:t>
      </w:r>
      <w:r>
        <w:rPr>
          <w:rFonts w:ascii="仿宋_GB2312" w:eastAsia="仿宋_GB2312"/>
          <w:sz w:val="28"/>
          <w:szCs w:val="28"/>
        </w:rPr>
        <w:t>项目主要内容：</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偿还教育系统标准化设备采购、校舍新建</w:t>
      </w:r>
      <w:r>
        <w:rPr>
          <w:rFonts w:ascii="仿宋_GB2312" w:eastAsia="仿宋_GB2312" w:hAnsi="仿宋_GB2312" w:cs="仿宋_GB2312" w:hint="eastAsia"/>
          <w:sz w:val="28"/>
          <w:szCs w:val="28"/>
        </w:rPr>
        <w:t>及</w:t>
      </w:r>
      <w:r>
        <w:rPr>
          <w:rFonts w:ascii="仿宋_GB2312" w:eastAsia="仿宋_GB2312" w:hAnsi="仿宋_GB2312" w:cs="仿宋_GB2312" w:hint="eastAsia"/>
          <w:sz w:val="28"/>
          <w:szCs w:val="28"/>
        </w:rPr>
        <w:t>维修历年欠款。</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项目实施情况：</w:t>
      </w:r>
      <w:r>
        <w:rPr>
          <w:rFonts w:ascii="仿宋_GB2312" w:eastAsia="仿宋_GB2312" w:hAnsi="仿宋_GB2312" w:cs="仿宋_GB2312" w:hint="eastAsia"/>
          <w:sz w:val="28"/>
          <w:szCs w:val="28"/>
        </w:rPr>
        <w:t>改善本市各学校的基础设施条件，消除部分安全隐患，营造安全舒适的办学环境，为学生的健康成长提供坚实的保障，提高教师和学生家长的满意度，更好的满足教师和学生对于优化教学环境的需要，推动我市基础教育事业的长效发展，从而提升地区的基础教学层次。</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本项目总投资</w:t>
      </w:r>
      <w:r>
        <w:rPr>
          <w:rFonts w:ascii="仿宋_GB2312" w:eastAsia="仿宋_GB2312" w:hAnsi="仿宋_GB2312" w:cs="仿宋_GB2312" w:hint="eastAsia"/>
          <w:sz w:val="28"/>
          <w:szCs w:val="28"/>
        </w:rPr>
        <w:t>1683.04</w:t>
      </w:r>
      <w:r>
        <w:rPr>
          <w:rFonts w:ascii="仿宋_GB2312" w:eastAsia="仿宋_GB2312" w:hAnsi="仿宋_GB2312" w:cs="仿宋_GB2312"/>
          <w:sz w:val="28"/>
          <w:szCs w:val="28"/>
        </w:rPr>
        <w:t>万元，其中：财政本级资金</w:t>
      </w:r>
      <w:r>
        <w:rPr>
          <w:rFonts w:ascii="仿宋_GB2312" w:eastAsia="仿宋_GB2312" w:hAnsi="仿宋_GB2312" w:cs="仿宋_GB2312" w:hint="eastAsia"/>
          <w:sz w:val="28"/>
          <w:szCs w:val="28"/>
        </w:rPr>
        <w:t>1683.04</w:t>
      </w:r>
      <w:r>
        <w:rPr>
          <w:rFonts w:ascii="仿宋_GB2312" w:eastAsia="仿宋_GB2312" w:hAnsi="仿宋_GB2312" w:cs="仿宋_GB2312"/>
          <w:sz w:val="28"/>
          <w:szCs w:val="28"/>
        </w:rPr>
        <w:t>万元。项目实际支出</w:t>
      </w:r>
      <w:r>
        <w:rPr>
          <w:rFonts w:ascii="仿宋_GB2312" w:eastAsia="仿宋_GB2312" w:hAnsi="仿宋_GB2312" w:cs="仿宋_GB2312" w:hint="eastAsia"/>
          <w:sz w:val="28"/>
          <w:szCs w:val="28"/>
        </w:rPr>
        <w:t>1683.04</w:t>
      </w:r>
      <w:r>
        <w:rPr>
          <w:rFonts w:ascii="仿宋_GB2312" w:eastAsia="仿宋_GB2312" w:hAnsi="仿宋_GB2312" w:cs="仿宋_GB2312"/>
          <w:sz w:val="28"/>
          <w:szCs w:val="28"/>
        </w:rPr>
        <w:t>万元，支出率为100%。</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3、资金投入和使用情况</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（1）资金安排</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项目总投资</w:t>
      </w:r>
      <w:r>
        <w:rPr>
          <w:rFonts w:ascii="仿宋_GB2312" w:eastAsia="仿宋_GB2312" w:hAnsi="仿宋_GB2312" w:cs="仿宋_GB2312" w:hint="eastAsia"/>
          <w:sz w:val="28"/>
          <w:szCs w:val="28"/>
        </w:rPr>
        <w:t>1683.04</w:t>
      </w:r>
      <w:r>
        <w:rPr>
          <w:rFonts w:ascii="仿宋_GB2312" w:eastAsia="仿宋_GB2312" w:hAnsi="仿宋_GB2312" w:cs="仿宋_GB2312"/>
          <w:sz w:val="28"/>
          <w:szCs w:val="28"/>
        </w:rPr>
        <w:t>万元，按照《</w:t>
      </w:r>
      <w:r>
        <w:rPr>
          <w:rFonts w:ascii="仿宋_GB2312" w:eastAsia="仿宋_GB2312" w:hAnsi="仿宋_GB2312" w:cs="仿宋_GB2312" w:hint="eastAsia"/>
          <w:sz w:val="28"/>
          <w:szCs w:val="28"/>
        </w:rPr>
        <w:t>项目</w:t>
      </w:r>
      <w:r>
        <w:rPr>
          <w:rFonts w:ascii="仿宋_GB2312" w:eastAsia="仿宋_GB2312" w:hAnsi="仿宋_GB2312" w:cs="仿宋_GB2312"/>
          <w:sz w:val="28"/>
          <w:szCs w:val="28"/>
        </w:rPr>
        <w:t>资金管理办法》及单位财务制度等相关规定，资金支出符合专项资金费用范围，做到了专款专用。在项目资金拨付和使用过程中，为确保项目资金的安全性，提高项目资金使用效率，严格遵循</w:t>
      </w:r>
      <w:r>
        <w:rPr>
          <w:rFonts w:ascii="仿宋_GB2312" w:eastAsia="仿宋_GB2312" w:hAnsi="仿宋_GB2312" w:cs="仿宋_GB2312" w:hint="eastAsia"/>
          <w:sz w:val="28"/>
          <w:szCs w:val="28"/>
        </w:rPr>
        <w:t>项目</w:t>
      </w:r>
      <w:r>
        <w:rPr>
          <w:rFonts w:ascii="仿宋_GB2312" w:eastAsia="仿宋_GB2312" w:hAnsi="仿宋_GB2312" w:cs="仿宋_GB2312"/>
          <w:sz w:val="28"/>
          <w:szCs w:val="28"/>
        </w:rPr>
        <w:t>资金的拨付程序，认真审核项目实施各阶段的相关材料和手续，根据项目实施进展情况拨付资金。</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（2）预算资金来源及使用情况</w:t>
      </w:r>
      <w:bookmarkStart w:id="1" w:name="page10"/>
      <w:bookmarkEnd w:id="1"/>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仿宋_GB2312" w:eastAsia="仿宋_GB2312" w:hAnsi="仿宋_GB2312" w:cs="仿宋_GB2312"/>
          <w:sz w:val="28"/>
          <w:szCs w:val="28"/>
        </w:rPr>
      </w:pPr>
      <w:r>
        <w:rPr>
          <w:rFonts w:ascii="仿宋_GB2312" w:eastAsia="仿宋_GB2312" w:hAnsi="仿宋_GB2312" w:cs="仿宋_GB2312"/>
          <w:sz w:val="28"/>
          <w:szCs w:val="28"/>
        </w:rPr>
        <w:t>项目预算资金来源于</w:t>
      </w:r>
      <w:r>
        <w:rPr>
          <w:rFonts w:ascii="仿宋_GB2312" w:eastAsia="仿宋_GB2312" w:hAnsi="仿宋_GB2312" w:cs="仿宋_GB2312" w:hint="eastAsia"/>
          <w:sz w:val="28"/>
          <w:szCs w:val="28"/>
        </w:rPr>
        <w:t>本级财政拨款</w:t>
      </w:r>
      <w:r>
        <w:rPr>
          <w:rFonts w:ascii="仿宋_GB2312" w:eastAsia="仿宋_GB2312" w:hAnsi="仿宋_GB2312" w:cs="仿宋_GB2312"/>
          <w:sz w:val="28"/>
          <w:szCs w:val="28"/>
        </w:rPr>
        <w:t>，项目资金到</w:t>
      </w:r>
      <w:r>
        <w:rPr>
          <w:rFonts w:ascii="仿宋_GB2312" w:eastAsia="仿宋_GB2312" w:hAnsi="仿宋_GB2312" w:cs="仿宋_GB2312" w:hint="eastAsia"/>
          <w:sz w:val="28"/>
          <w:szCs w:val="28"/>
          <w:lang w:val="en-US" w:eastAsia="zh-CN"/>
        </w:rPr>
        <w:t>位</w:t>
      </w:r>
      <w:r>
        <w:rPr>
          <w:rFonts w:ascii="仿宋_GB2312" w:eastAsia="仿宋_GB2312" w:hAnsi="仿宋_GB2312" w:cs="仿宋_GB2312" w:hint="eastAsia"/>
          <w:sz w:val="28"/>
          <w:szCs w:val="28"/>
        </w:rPr>
        <w:t>1683.04</w:t>
      </w:r>
      <w:r>
        <w:rPr>
          <w:rFonts w:ascii="仿宋_GB2312" w:eastAsia="仿宋_GB2312" w:hAnsi="仿宋_GB2312" w:cs="仿宋_GB2312"/>
          <w:sz w:val="28"/>
          <w:szCs w:val="28"/>
        </w:rPr>
        <w:t>万元，用于支付项目实施进程中的各项费用。</w:t>
      </w:r>
    </w:p>
    <w:p>
      <w:pPr>
        <w:pStyle w:val="Heading2"/>
        <w:spacing w:line="560" w:lineRule="exact"/>
        <w:ind w:firstLine="585" w:firstLineChars="209"/>
        <w:rPr>
          <w:rFonts w:eastAsia="楷体_GB2312"/>
          <w:i w:val="0"/>
          <w:sz w:val="28"/>
          <w:szCs w:val="28"/>
        </w:rPr>
      </w:pPr>
      <w:r>
        <w:rPr>
          <w:rFonts w:eastAsia="楷体_GB2312"/>
          <w:i w:val="0"/>
          <w:sz w:val="28"/>
          <w:szCs w:val="28"/>
        </w:rPr>
        <w:t>（二）项目绩效目标</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1、总体目标</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一是突出教育优先发展战略，统筹兼顾标准化建设与城乡一体化优质均衡发展；二是创造良好的办学条件，促进学生身心健康成长；三是聚焦群众期盼，聚力重点任务，办好人民满意教育，努力让每一个适龄学生都能享有更加公平、更有质量的义务教育。</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2、阶段性目标</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在</w:t>
      </w:r>
      <w:r>
        <w:rPr>
          <w:rFonts w:ascii="仿宋_GB2312" w:eastAsia="仿宋_GB2312" w:hAnsi="仿宋_GB2312" w:cs="仿宋_GB2312" w:hint="eastAsia"/>
          <w:sz w:val="28"/>
          <w:szCs w:val="28"/>
          <w:lang w:eastAsia="zh-CN"/>
        </w:rPr>
        <w:t>2022</w:t>
      </w:r>
      <w:r>
        <w:rPr>
          <w:rFonts w:ascii="仿宋_GB2312" w:eastAsia="仿宋_GB2312" w:hAnsi="仿宋_GB2312" w:cs="仿宋_GB2312" w:hint="eastAsia"/>
          <w:sz w:val="28"/>
          <w:szCs w:val="28"/>
        </w:rPr>
        <w:t>年12月完成化解教育系统工程设备欠款项目的资金支付。</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（1）前期准备：通过制定项目实施方案，经项目负责人审核通过后，有序开展后续工作。</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（2）组织实施：资金一到位，立即根据项目要求实施项目。项目责任人按照项目实施方案要求逐一进行项目部署安排，提高项目质量及效率性。</w:t>
      </w:r>
    </w:p>
    <w:p>
      <w:pPr>
        <w:pStyle w:val="Heading1"/>
        <w:spacing w:line="560" w:lineRule="exact"/>
        <w:ind w:firstLine="585" w:firstLineChars="209"/>
        <w:rPr>
          <w:rFonts w:ascii="黑体" w:eastAsia="黑体" w:hAnsi="黑体"/>
          <w:b w:val="0"/>
          <w:bCs w:val="0"/>
          <w:sz w:val="28"/>
          <w:szCs w:val="28"/>
        </w:rPr>
      </w:pPr>
      <w:r>
        <w:rPr>
          <w:rFonts w:ascii="黑体" w:eastAsia="黑体" w:hAnsi="黑体"/>
          <w:b w:val="0"/>
          <w:bCs w:val="0"/>
          <w:sz w:val="28"/>
          <w:szCs w:val="28"/>
        </w:rPr>
        <w:t>二、绩效评价工作开展情况</w:t>
      </w:r>
    </w:p>
    <w:p>
      <w:pPr>
        <w:pStyle w:val="Heading2"/>
        <w:spacing w:line="560" w:lineRule="exact"/>
        <w:ind w:firstLine="585" w:firstLineChars="209"/>
        <w:rPr>
          <w:rFonts w:eastAsia="楷体_GB2312"/>
          <w:i w:val="0"/>
          <w:sz w:val="28"/>
          <w:szCs w:val="28"/>
        </w:rPr>
      </w:pPr>
      <w:r>
        <w:rPr>
          <w:rFonts w:eastAsia="楷体_GB2312"/>
          <w:i w:val="0"/>
          <w:sz w:val="28"/>
          <w:szCs w:val="28"/>
        </w:rPr>
        <w:t>（一）绩效评价目的、对象和范围</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1、绩效评价的目的</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项目在实施前向项目负责人提供财政支出绩效方面的资金管理信息，促进项目支出严格按照资金管理规定进行。</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（2）项目绩效管理财政支出运行提供及时、有效的信息。</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综合来看，通过开展有效的财政支出绩效评价管理，达到改进预算管理、控制节约成本，提高预算资金使用效益的目的。</w:t>
      </w:r>
    </w:p>
    <w:p>
      <w:pPr>
        <w:spacing w:line="560" w:lineRule="exact"/>
        <w:ind w:firstLine="641"/>
        <w:jc w:val="left"/>
        <w:rPr>
          <w:rFonts w:ascii="仿宋_GB2312" w:eastAsia="仿宋_GB2312" w:hAnsi="仿宋_GB2312" w:cs="仿宋_GB2312"/>
          <w:b/>
          <w:bCs/>
          <w:sz w:val="28"/>
          <w:szCs w:val="28"/>
        </w:rPr>
      </w:pPr>
      <w:r>
        <w:rPr>
          <w:rFonts w:ascii="仿宋_GB2312" w:eastAsia="仿宋_GB2312" w:hAnsi="仿宋_GB2312" w:cs="仿宋_GB2312"/>
          <w:b/>
          <w:bCs/>
          <w:sz w:val="28"/>
          <w:szCs w:val="28"/>
        </w:rPr>
        <w:t>2、绩效评价的对象</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lang w:eastAsia="zh-CN"/>
        </w:rPr>
        <w:t>2022</w:t>
      </w:r>
      <w:r>
        <w:rPr>
          <w:rFonts w:ascii="仿宋_GB2312" w:eastAsia="仿宋_GB2312" w:hAnsi="仿宋_GB2312" w:cs="仿宋_GB2312" w:hint="eastAsia"/>
          <w:sz w:val="28"/>
          <w:szCs w:val="28"/>
        </w:rPr>
        <w:t>年化解教育系统工程设备欠款项目所包含的全部项目建设内容。</w:t>
      </w:r>
    </w:p>
    <w:p>
      <w:pPr>
        <w:spacing w:line="560" w:lineRule="exact"/>
        <w:ind w:firstLine="641"/>
        <w:jc w:val="left"/>
        <w:rPr>
          <w:rFonts w:ascii="仿宋_GB2312" w:eastAsia="仿宋_GB2312" w:hAnsi="仿宋_GB2312" w:cs="仿宋_GB2312"/>
          <w:b/>
          <w:bCs/>
          <w:sz w:val="28"/>
          <w:szCs w:val="28"/>
        </w:rPr>
      </w:pPr>
      <w:r>
        <w:rPr>
          <w:rFonts w:ascii="仿宋_GB2312" w:eastAsia="仿宋_GB2312" w:hAnsi="仿宋_GB2312" w:cs="仿宋_GB2312"/>
          <w:b/>
          <w:bCs/>
          <w:sz w:val="28"/>
          <w:szCs w:val="28"/>
        </w:rPr>
        <w:t>3、绩效评价的范围</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lang w:eastAsia="zh-CN"/>
        </w:rPr>
        <w:t>2022</w:t>
      </w:r>
      <w:r>
        <w:rPr>
          <w:rFonts w:ascii="仿宋_GB2312" w:eastAsia="仿宋_GB2312" w:hAnsi="仿宋_GB2312" w:cs="仿宋_GB2312" w:hint="eastAsia"/>
          <w:sz w:val="28"/>
          <w:szCs w:val="28"/>
        </w:rPr>
        <w:t>年化解教育系统工程设备欠款项目的决策、过程、产出、效益等。</w:t>
      </w:r>
    </w:p>
    <w:p>
      <w:pPr>
        <w:spacing w:line="560" w:lineRule="exact"/>
        <w:ind w:firstLine="641"/>
        <w:jc w:val="left"/>
        <w:rPr>
          <w:rFonts w:eastAsia="楷体_GB2312"/>
          <w:b/>
          <w:bCs/>
          <w:i w:val="0"/>
          <w:sz w:val="28"/>
          <w:szCs w:val="28"/>
        </w:rPr>
      </w:pPr>
      <w:r>
        <w:rPr>
          <w:rFonts w:ascii="仿宋_GB2312" w:eastAsia="仿宋_GB2312" w:hAnsi="仿宋_GB2312" w:cs="仿宋_GB2312"/>
          <w:b/>
          <w:bCs/>
          <w:sz w:val="28"/>
          <w:szCs w:val="28"/>
        </w:rPr>
        <w:t>（二）绩效评价原则、评价指</w:t>
      </w:r>
      <w:r>
        <w:rPr>
          <w:rFonts w:eastAsia="楷体_GB2312"/>
          <w:b/>
          <w:bCs/>
          <w:i w:val="0"/>
          <w:sz w:val="28"/>
          <w:szCs w:val="28"/>
        </w:rPr>
        <w:t>标体系（详情见表1）、评价方法、评价标准。</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1、绩效评价原则</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本次项目绩效评价遵循以下基本原则：</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（1）科学公正。绩效评价应当运用科学合理的方法，按照规范的程序，对项目绩效进行客观、公正的反映。</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（2）统筹兼顾。单位自评、部门评价和财政评价应职责明确，各有侧重，相互衔接。单位自评应由项目单位自主实施，即“谁支出、谁自评”。部门评价和财政评价应在单位自评的基础上开展。</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（3）激励约束。绩效评价结果应与预算安排、政策调整、改进管理实质性挂钩，体现奖优罚劣和激励相容导向，有效要安排、低效要压减、无效要问责。</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（4）公开透明。绩效评价结果应依法依规公开，并自觉接受社会监督。</w:t>
      </w:r>
    </w:p>
    <w:p>
      <w:pPr>
        <w:spacing w:line="560" w:lineRule="exact"/>
        <w:ind w:firstLine="641"/>
        <w:jc w:val="left"/>
        <w:rPr>
          <w:rFonts w:ascii="仿宋_GB2312" w:eastAsia="仿宋_GB2312" w:hAnsi="仿宋_GB2312" w:cs="仿宋_GB2312"/>
          <w:b/>
          <w:bCs/>
          <w:sz w:val="28"/>
          <w:szCs w:val="28"/>
        </w:rPr>
      </w:pPr>
      <w:r>
        <w:rPr>
          <w:rFonts w:ascii="仿宋_GB2312" w:eastAsia="仿宋_GB2312" w:hAnsi="仿宋_GB2312" w:cs="仿宋_GB2312"/>
          <w:b/>
          <w:bCs/>
          <w:sz w:val="28"/>
          <w:szCs w:val="28"/>
        </w:rPr>
        <w:t>2、评价指标体系</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绩效评价框架是开展绩效评价的核心。绩效评价框架包括评价准则、关键评价问题、评价指标、数据来源、数据收集方法等。指标体系建立过程如下：</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（1）确定评价指标</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（2）确定权重</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确定各个指标相对于项目总体绩效的权重分值。在绩效评价指标体系中，项目决策权重为5分，项目过程权重为5分，项目产出权重为50分，项目效益权重为40分。</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（3）确定指标标准值</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指标标准值是绩效评价指标的尺度，既要反映同类项目的先进水平，又要符合项目的实际绩效水平。具体采用计划标准等确定此次绩效评价指标标准值。</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具体评价指标体系详情见附件1</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3、绩效评价方法</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绩效评价从项目决策、项目过程、项目产出、项目效益四个维度进行评价。评价对象为项目目标实施情况，  评价核心为资金的支出完成情况和项目的产出效益。</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本次评价指标中，既有定性指标又有定量指标，各类指标因考核内容不同和客观标准不同存在较大差异，因此核定具体指标时采用了不同方法，具体评价方法如下：</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（1）比较法</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通过对绩效目标与实施效果、历史与当期情况，综合分析绩效目标实现程度。对项目最终验收情况与年度绩效目标对比、预算资金执行情况等相关因素进行比较。</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（2）因素分析法</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Style w:val="Heading3"/>
        <w:spacing w:line="560" w:lineRule="exact"/>
        <w:ind w:firstLine="585" w:firstLineChars="209"/>
        <w:rPr>
          <w:rFonts w:ascii="仿宋_GB2312" w:eastAsia="仿宋_GB2312"/>
          <w:sz w:val="28"/>
          <w:szCs w:val="28"/>
        </w:rPr>
      </w:pPr>
      <w:r>
        <w:rPr>
          <w:rFonts w:ascii="仿宋_GB2312" w:eastAsia="仿宋_GB2312"/>
          <w:sz w:val="28"/>
          <w:szCs w:val="28"/>
        </w:rPr>
        <w:t>4、评价标准</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绩效评价标准通常包括计划标准、行业标准、历史标准等，用于对绩效指标完成情况进行比较。本次评价主要采用了计划标准和行业标准。</w:t>
      </w:r>
    </w:p>
    <w:p>
      <w:pPr>
        <w:pStyle w:val="Heading1"/>
        <w:numPr>
          <w:ilvl w:val="0"/>
          <w:numId w:val="0"/>
        </w:numPr>
        <w:spacing w:line="560" w:lineRule="exact"/>
        <w:rPr>
          <w:rFonts w:ascii="黑体" w:eastAsia="黑体" w:hAnsi="黑体"/>
          <w:b w:val="0"/>
          <w:bCs w:val="0"/>
          <w:sz w:val="28"/>
          <w:szCs w:val="28"/>
        </w:rPr>
      </w:pPr>
      <w:r>
        <w:rPr>
          <w:rFonts w:ascii="黑体" w:eastAsia="黑体" w:hAnsi="黑体" w:hint="eastAsia"/>
          <w:b w:val="0"/>
          <w:bCs w:val="0"/>
          <w:sz w:val="28"/>
          <w:szCs w:val="28"/>
          <w:lang w:val="en-US" w:eastAsia="zh-CN"/>
        </w:rPr>
        <w:t xml:space="preserve">    三、</w:t>
      </w:r>
      <w:r>
        <w:rPr>
          <w:rFonts w:ascii="黑体" w:eastAsia="黑体" w:hAnsi="黑体"/>
          <w:b w:val="0"/>
          <w:bCs w:val="0"/>
          <w:sz w:val="28"/>
          <w:szCs w:val="28"/>
        </w:rPr>
        <w:t>综合评价情况及评价结论（附相关评分表）</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对</w:t>
      </w:r>
      <w:r>
        <w:rPr>
          <w:rFonts w:ascii="仿宋_GB2312" w:eastAsia="仿宋_GB2312" w:hAnsi="仿宋_GB2312" w:cs="仿宋_GB2312" w:hint="eastAsia"/>
          <w:sz w:val="28"/>
          <w:szCs w:val="28"/>
          <w:lang w:eastAsia="zh-CN"/>
        </w:rPr>
        <w:t>2022</w:t>
      </w:r>
      <w:r>
        <w:rPr>
          <w:rFonts w:ascii="仿宋_GB2312" w:eastAsia="仿宋_GB2312" w:hAnsi="仿宋_GB2312" w:cs="仿宋_GB2312" w:hint="eastAsia"/>
          <w:sz w:val="28"/>
          <w:szCs w:val="28"/>
        </w:rPr>
        <w:t>年化解教育系统工程设备欠款项目</w:t>
      </w:r>
      <w:r>
        <w:rPr>
          <w:rFonts w:ascii="仿宋_GB2312" w:eastAsia="仿宋_GB2312" w:hAnsi="仿宋_GB2312" w:cs="仿宋_GB2312"/>
          <w:sz w:val="28"/>
          <w:szCs w:val="28"/>
        </w:rPr>
        <w:t xml:space="preserve">项目进行客观评价，最终评分结果：总得分为 </w:t>
      </w:r>
      <w:r>
        <w:rPr>
          <w:rFonts w:ascii="仿宋_GB2312" w:eastAsia="仿宋_GB2312" w:hAnsi="仿宋_GB2312" w:cs="仿宋_GB2312" w:hint="eastAsia"/>
          <w:sz w:val="28"/>
          <w:szCs w:val="28"/>
        </w:rPr>
        <w:t>97</w:t>
      </w:r>
      <w:r>
        <w:rPr>
          <w:rFonts w:ascii="仿宋_GB2312" w:eastAsia="仿宋_GB2312" w:hAnsi="仿宋_GB2312" w:cs="仿宋_GB2312"/>
          <w:sz w:val="28"/>
          <w:szCs w:val="28"/>
        </w:rPr>
        <w:t xml:space="preserve">分，属于“优”。其中，项目决策类指标权重为5分，得分为 </w:t>
      </w:r>
      <w:r>
        <w:rPr>
          <w:rFonts w:ascii="仿宋_GB2312" w:eastAsia="仿宋_GB2312" w:hAnsi="仿宋_GB2312" w:cs="仿宋_GB2312" w:hint="eastAsia"/>
          <w:sz w:val="28"/>
          <w:szCs w:val="28"/>
        </w:rPr>
        <w:t>5</w:t>
      </w:r>
      <w:r>
        <w:rPr>
          <w:rFonts w:ascii="仿宋_GB2312" w:eastAsia="仿宋_GB2312" w:hAnsi="仿宋_GB2312" w:cs="仿宋_GB2312"/>
          <w:sz w:val="28"/>
          <w:szCs w:val="28"/>
        </w:rPr>
        <w:t xml:space="preserve">分，得分率为 </w:t>
      </w:r>
      <w:r>
        <w:rPr>
          <w:rFonts w:ascii="仿宋_GB2312" w:eastAsia="仿宋_GB2312" w:hAnsi="仿宋_GB2312" w:cs="仿宋_GB2312" w:hint="eastAsia"/>
          <w:sz w:val="28"/>
          <w:szCs w:val="28"/>
        </w:rPr>
        <w:t>100</w:t>
      </w:r>
      <w:r>
        <w:rPr>
          <w:rFonts w:ascii="仿宋_GB2312" w:eastAsia="仿宋_GB2312" w:hAnsi="仿宋_GB2312" w:cs="仿宋_GB2312"/>
          <w:sz w:val="28"/>
          <w:szCs w:val="28"/>
        </w:rPr>
        <w:t>%。项目过程类指标权重为5分，得分为</w:t>
      </w:r>
      <w:r>
        <w:rPr>
          <w:rFonts w:ascii="仿宋_GB2312" w:eastAsia="仿宋_GB2312" w:hAnsi="仿宋_GB2312" w:cs="仿宋_GB2312" w:hint="eastAsia"/>
          <w:sz w:val="28"/>
          <w:szCs w:val="28"/>
        </w:rPr>
        <w:t>5</w:t>
      </w:r>
      <w:r>
        <w:rPr>
          <w:rFonts w:ascii="仿宋_GB2312" w:eastAsia="仿宋_GB2312" w:hAnsi="仿宋_GB2312" w:cs="仿宋_GB2312"/>
          <w:sz w:val="28"/>
          <w:szCs w:val="28"/>
        </w:rPr>
        <w:t xml:space="preserve">分，得分率为 </w:t>
      </w:r>
      <w:r>
        <w:rPr>
          <w:rFonts w:ascii="仿宋_GB2312" w:eastAsia="仿宋_GB2312" w:hAnsi="仿宋_GB2312" w:cs="仿宋_GB2312" w:hint="eastAsia"/>
          <w:sz w:val="28"/>
          <w:szCs w:val="28"/>
        </w:rPr>
        <w:t>100</w:t>
      </w:r>
      <w:r>
        <w:rPr>
          <w:rFonts w:ascii="仿宋_GB2312" w:eastAsia="仿宋_GB2312" w:hAnsi="仿宋_GB2312" w:cs="仿宋_GB2312"/>
          <w:sz w:val="28"/>
          <w:szCs w:val="28"/>
        </w:rPr>
        <w:t>%。项目产出类指标权重为50分，得分为</w:t>
      </w:r>
      <w:r>
        <w:rPr>
          <w:rFonts w:ascii="仿宋_GB2312" w:eastAsia="仿宋_GB2312" w:hAnsi="仿宋_GB2312" w:cs="仿宋_GB2312" w:hint="eastAsia"/>
          <w:sz w:val="28"/>
          <w:szCs w:val="28"/>
        </w:rPr>
        <w:t>48</w:t>
      </w:r>
      <w:r>
        <w:rPr>
          <w:rFonts w:ascii="仿宋_GB2312" w:eastAsia="仿宋_GB2312" w:hAnsi="仿宋_GB2312" w:cs="仿宋_GB2312"/>
          <w:sz w:val="28"/>
          <w:szCs w:val="28"/>
        </w:rPr>
        <w:t xml:space="preserve">分，得分率为 </w:t>
      </w:r>
      <w:r>
        <w:rPr>
          <w:rFonts w:ascii="仿宋_GB2312" w:eastAsia="仿宋_GB2312" w:hAnsi="仿宋_GB2312" w:cs="仿宋_GB2312" w:hint="eastAsia"/>
          <w:sz w:val="28"/>
          <w:szCs w:val="28"/>
        </w:rPr>
        <w:t>96</w:t>
      </w:r>
      <w:r>
        <w:rPr>
          <w:rFonts w:ascii="仿宋_GB2312" w:eastAsia="仿宋_GB2312" w:hAnsi="仿宋_GB2312" w:cs="仿宋_GB2312"/>
          <w:sz w:val="28"/>
          <w:szCs w:val="28"/>
        </w:rPr>
        <w:t>%。项目效益类指标权重为40分，得分为</w:t>
      </w:r>
      <w:r>
        <w:rPr>
          <w:rFonts w:ascii="仿宋_GB2312" w:eastAsia="仿宋_GB2312" w:hAnsi="仿宋_GB2312" w:cs="仿宋_GB2312" w:hint="eastAsia"/>
          <w:sz w:val="28"/>
          <w:szCs w:val="28"/>
        </w:rPr>
        <w:t>39</w:t>
      </w:r>
      <w:r>
        <w:rPr>
          <w:rFonts w:ascii="仿宋_GB2312" w:eastAsia="仿宋_GB2312" w:hAnsi="仿宋_GB2312" w:cs="仿宋_GB2312"/>
          <w:sz w:val="28"/>
          <w:szCs w:val="28"/>
        </w:rPr>
        <w:t>分，得分率为</w:t>
      </w:r>
      <w:r>
        <w:rPr>
          <w:rFonts w:ascii="仿宋_GB2312" w:eastAsia="仿宋_GB2312" w:hAnsi="仿宋_GB2312" w:cs="仿宋_GB2312" w:hint="eastAsia"/>
          <w:sz w:val="28"/>
          <w:szCs w:val="28"/>
        </w:rPr>
        <w:t>98</w:t>
      </w:r>
      <w:r>
        <w:rPr>
          <w:rFonts w:ascii="仿宋_GB2312" w:eastAsia="仿宋_GB2312" w:hAnsi="仿宋_GB2312" w:cs="仿宋_GB2312"/>
          <w:sz w:val="28"/>
          <w:szCs w:val="28"/>
        </w:rPr>
        <w:t>%。</w:t>
      </w:r>
    </w:p>
    <w:p>
      <w:pPr>
        <w:jc w:val="center"/>
        <w:rPr>
          <w:rFonts w:ascii="方正小标宋简体" w:eastAsia="方正小标宋简体" w:hint="eastAsia"/>
          <w:sz w:val="28"/>
          <w:szCs w:val="28"/>
        </w:rPr>
      </w:pPr>
    </w:p>
    <w:p>
      <w:pPr>
        <w:jc w:val="center"/>
        <w:rPr>
          <w:rFonts w:ascii="方正小标宋简体" w:eastAsia="方正小标宋简体" w:hint="eastAsia"/>
          <w:sz w:val="28"/>
          <w:szCs w:val="28"/>
        </w:rPr>
      </w:pPr>
    </w:p>
    <w:p>
      <w:pPr>
        <w:jc w:val="center"/>
        <w:rPr>
          <w:rFonts w:ascii="方正小标宋简体" w:eastAsia="方正小标宋简体" w:hint="eastAsia"/>
          <w:sz w:val="28"/>
          <w:szCs w:val="28"/>
        </w:rPr>
      </w:pPr>
    </w:p>
    <w:p>
      <w:pPr>
        <w:jc w:val="center"/>
        <w:rPr>
          <w:rFonts w:ascii="方正小标宋简体" w:eastAsia="方正小标宋简体" w:hint="eastAsia"/>
          <w:sz w:val="28"/>
          <w:szCs w:val="28"/>
        </w:rPr>
      </w:pPr>
      <w:r>
        <w:rPr>
          <w:rFonts w:ascii="方正小标宋简体" w:eastAsia="方正小标宋简体" w:hint="eastAsia"/>
          <w:sz w:val="28"/>
          <w:szCs w:val="28"/>
        </w:rPr>
        <w:t>表1综合评分表</w:t>
      </w:r>
    </w:p>
    <w:p>
      <w:pPr>
        <w:rPr>
          <w:sz w:val="28"/>
          <w:szCs w:val="28"/>
        </w:rPr>
      </w:pPr>
    </w:p>
    <w:p>
      <w:pPr>
        <w:rPr>
          <w:sz w:val="28"/>
          <w:szCs w:val="28"/>
        </w:rPr>
      </w:pPr>
    </w:p>
    <w:tbl>
      <w:tblPr>
        <w:tblStyle w:val="TableNormal"/>
        <w:tblpPr w:leftFromText="180" w:rightFromText="180" w:vertAnchor="text" w:horzAnchor="page" w:tblpX="1016" w:tblpY="-67"/>
        <w:tblOverlap w:val="never"/>
        <w:tblW w:w="995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W w:w="9954" w:type="dxa"/>
          <w:tblInd w:w="0" w:type="dxa"/>
          <w:tblLayout w:type="fixed"/>
        </w:tblPrEx>
        <w:trPr>
          <w:trHeight w:val="380"/>
          <w:tblHeader/>
        </w:trPr>
        <w:tc>
          <w:tcPr>
            <w:tcW w:w="1104" w:type="dxa"/>
            <w:shd w:val="clear" w:color="auto" w:fill="BFBFBF"/>
            <w:vAlign w:val="center"/>
          </w:tcPr>
          <w:p>
            <w:pPr>
              <w:widowControl/>
              <w:spacing w:line="0" w:lineRule="atLeast"/>
              <w:rPr>
                <w:rFonts w:ascii="宋体" w:hAnsi="宋体"/>
                <w:b/>
                <w:bCs/>
                <w:color w:val="000000"/>
                <w:kern w:val="0"/>
                <w:sz w:val="28"/>
                <w:szCs w:val="28"/>
              </w:rPr>
            </w:pPr>
            <w:r>
              <w:rPr>
                <w:rFonts w:ascii="宋体" w:hAnsi="宋体"/>
                <w:b/>
                <w:bCs/>
                <w:color w:val="000000"/>
                <w:kern w:val="0"/>
                <w:sz w:val="28"/>
                <w:szCs w:val="28"/>
              </w:rPr>
              <w:t>一级指标</w:t>
            </w:r>
          </w:p>
        </w:tc>
        <w:tc>
          <w:tcPr>
            <w:tcW w:w="990" w:type="dxa"/>
            <w:shd w:val="clear" w:color="auto" w:fill="BFBFBF"/>
            <w:vAlign w:val="center"/>
          </w:tcPr>
          <w:p>
            <w:pPr>
              <w:widowControl/>
              <w:spacing w:line="0" w:lineRule="atLeast"/>
              <w:jc w:val="center"/>
              <w:rPr>
                <w:rFonts w:ascii="宋体" w:hAnsi="宋体"/>
                <w:b/>
                <w:bCs/>
                <w:color w:val="000000"/>
                <w:kern w:val="0"/>
                <w:sz w:val="28"/>
                <w:szCs w:val="28"/>
              </w:rPr>
            </w:pPr>
            <w:r>
              <w:rPr>
                <w:rFonts w:ascii="宋体" w:hAnsi="宋体"/>
                <w:b/>
                <w:bCs/>
                <w:color w:val="000000"/>
                <w:kern w:val="0"/>
                <w:sz w:val="28"/>
                <w:szCs w:val="28"/>
              </w:rPr>
              <w:t>分值</w:t>
            </w:r>
          </w:p>
        </w:tc>
        <w:tc>
          <w:tcPr>
            <w:tcW w:w="1283" w:type="dxa"/>
            <w:shd w:val="clear" w:color="auto" w:fill="BFBFBF"/>
            <w:vAlign w:val="center"/>
          </w:tcPr>
          <w:p>
            <w:pPr>
              <w:widowControl/>
              <w:spacing w:line="0" w:lineRule="atLeast"/>
              <w:jc w:val="center"/>
              <w:rPr>
                <w:rFonts w:ascii="宋体" w:hAnsi="宋体"/>
                <w:b/>
                <w:bCs/>
                <w:color w:val="000000"/>
                <w:kern w:val="0"/>
                <w:sz w:val="28"/>
                <w:szCs w:val="28"/>
              </w:rPr>
            </w:pPr>
            <w:r>
              <w:rPr>
                <w:rFonts w:ascii="宋体" w:hAnsi="宋体"/>
                <w:b/>
                <w:bCs/>
                <w:color w:val="000000"/>
                <w:kern w:val="0"/>
                <w:sz w:val="28"/>
                <w:szCs w:val="28"/>
              </w:rPr>
              <w:t>二级指标</w:t>
            </w:r>
          </w:p>
        </w:tc>
        <w:tc>
          <w:tcPr>
            <w:tcW w:w="1707" w:type="dxa"/>
            <w:shd w:val="clear" w:color="auto" w:fill="BFBFBF"/>
            <w:vAlign w:val="center"/>
          </w:tcPr>
          <w:p>
            <w:pPr>
              <w:widowControl/>
              <w:spacing w:line="0" w:lineRule="atLeast"/>
              <w:jc w:val="center"/>
              <w:rPr>
                <w:rFonts w:ascii="宋体" w:hAnsi="宋体"/>
                <w:b/>
                <w:bCs/>
                <w:color w:val="000000"/>
                <w:kern w:val="0"/>
                <w:sz w:val="28"/>
                <w:szCs w:val="28"/>
              </w:rPr>
            </w:pPr>
            <w:r>
              <w:rPr>
                <w:rFonts w:ascii="宋体" w:hAnsi="宋体"/>
                <w:b/>
                <w:bCs/>
                <w:color w:val="000000"/>
                <w:kern w:val="0"/>
                <w:sz w:val="28"/>
                <w:szCs w:val="28"/>
              </w:rPr>
              <w:t>三级指标</w:t>
            </w:r>
          </w:p>
        </w:tc>
        <w:tc>
          <w:tcPr>
            <w:tcW w:w="727" w:type="dxa"/>
            <w:shd w:val="clear" w:color="auto" w:fill="BFBFBF"/>
            <w:vAlign w:val="center"/>
          </w:tcPr>
          <w:p>
            <w:pPr>
              <w:widowControl/>
              <w:spacing w:line="0" w:lineRule="atLeast"/>
              <w:jc w:val="center"/>
              <w:rPr>
                <w:rFonts w:ascii="宋体" w:hAnsi="宋体"/>
                <w:b/>
                <w:bCs/>
                <w:color w:val="000000"/>
                <w:kern w:val="0"/>
                <w:sz w:val="28"/>
                <w:szCs w:val="28"/>
              </w:rPr>
            </w:pPr>
            <w:r>
              <w:rPr>
                <w:rFonts w:ascii="宋体" w:hAnsi="宋体"/>
                <w:b/>
                <w:bCs/>
                <w:color w:val="000000"/>
                <w:kern w:val="0"/>
                <w:sz w:val="28"/>
                <w:szCs w:val="28"/>
              </w:rPr>
              <w:t>权重</w:t>
            </w:r>
          </w:p>
        </w:tc>
        <w:tc>
          <w:tcPr>
            <w:tcW w:w="1044" w:type="dxa"/>
            <w:shd w:val="clear" w:color="auto" w:fill="BFBFBF"/>
            <w:vAlign w:val="center"/>
          </w:tcPr>
          <w:p>
            <w:pPr>
              <w:widowControl/>
              <w:tabs>
                <w:tab w:val="left" w:pos="1333"/>
                <w:tab w:val="center" w:pos="3623"/>
              </w:tabs>
              <w:spacing w:line="0" w:lineRule="atLeast"/>
              <w:jc w:val="center"/>
              <w:rPr>
                <w:rFonts w:ascii="宋体" w:hAnsi="宋体"/>
                <w:b/>
                <w:bCs/>
                <w:color w:val="000000"/>
                <w:kern w:val="0"/>
                <w:sz w:val="28"/>
                <w:szCs w:val="28"/>
              </w:rPr>
            </w:pPr>
            <w:r>
              <w:rPr>
                <w:rFonts w:ascii="宋体" w:hAnsi="宋体"/>
                <w:b/>
                <w:bCs/>
                <w:color w:val="000000"/>
                <w:kern w:val="0"/>
                <w:sz w:val="28"/>
                <w:szCs w:val="28"/>
              </w:rPr>
              <w:t>目标值</w:t>
            </w:r>
          </w:p>
        </w:tc>
        <w:tc>
          <w:tcPr>
            <w:tcW w:w="924" w:type="dxa"/>
            <w:shd w:val="clear" w:color="auto" w:fill="BFBFBF"/>
            <w:vAlign w:val="center"/>
          </w:tcPr>
          <w:p>
            <w:pPr>
              <w:widowControl/>
              <w:tabs>
                <w:tab w:val="left" w:pos="1333"/>
                <w:tab w:val="center" w:pos="3623"/>
              </w:tabs>
              <w:spacing w:line="0" w:lineRule="atLeast"/>
              <w:jc w:val="center"/>
              <w:rPr>
                <w:rFonts w:ascii="宋体" w:hAnsi="宋体"/>
                <w:b/>
                <w:bCs/>
                <w:color w:val="000000"/>
                <w:kern w:val="0"/>
                <w:sz w:val="28"/>
                <w:szCs w:val="28"/>
              </w:rPr>
            </w:pPr>
            <w:r>
              <w:rPr>
                <w:rFonts w:ascii="宋体" w:hAnsi="宋体"/>
                <w:b/>
                <w:bCs/>
                <w:color w:val="000000"/>
                <w:kern w:val="0"/>
                <w:sz w:val="28"/>
                <w:szCs w:val="28"/>
              </w:rPr>
              <w:t>业绩值</w:t>
            </w:r>
          </w:p>
        </w:tc>
        <w:tc>
          <w:tcPr>
            <w:tcW w:w="1215" w:type="dxa"/>
            <w:shd w:val="clear" w:color="auto" w:fill="BFBFBF"/>
            <w:vAlign w:val="center"/>
          </w:tcPr>
          <w:p>
            <w:pPr>
              <w:widowControl/>
              <w:tabs>
                <w:tab w:val="left" w:pos="1333"/>
                <w:tab w:val="center" w:pos="3623"/>
              </w:tabs>
              <w:spacing w:line="0" w:lineRule="atLeast"/>
              <w:jc w:val="center"/>
              <w:rPr>
                <w:rFonts w:ascii="宋体" w:hAnsi="宋体"/>
                <w:b/>
                <w:bCs/>
                <w:color w:val="000000"/>
                <w:kern w:val="0"/>
                <w:sz w:val="28"/>
                <w:szCs w:val="28"/>
              </w:rPr>
            </w:pPr>
            <w:r>
              <w:rPr>
                <w:rFonts w:ascii="宋体" w:hAnsi="宋体"/>
                <w:b/>
                <w:bCs/>
                <w:color w:val="000000"/>
                <w:kern w:val="0"/>
                <w:sz w:val="28"/>
                <w:szCs w:val="28"/>
              </w:rPr>
              <w:t>得分率</w:t>
            </w:r>
          </w:p>
        </w:tc>
        <w:tc>
          <w:tcPr>
            <w:tcW w:w="960" w:type="dxa"/>
            <w:shd w:val="clear" w:color="auto" w:fill="BFBFBF"/>
            <w:vAlign w:val="center"/>
          </w:tcPr>
          <w:p>
            <w:pPr>
              <w:widowControl/>
              <w:tabs>
                <w:tab w:val="left" w:pos="1333"/>
                <w:tab w:val="center" w:pos="3623"/>
              </w:tabs>
              <w:spacing w:line="0" w:lineRule="atLeast"/>
              <w:jc w:val="center"/>
              <w:rPr>
                <w:rFonts w:ascii="宋体" w:hAnsi="宋体"/>
                <w:b/>
                <w:bCs/>
                <w:color w:val="000000"/>
                <w:kern w:val="0"/>
                <w:sz w:val="28"/>
                <w:szCs w:val="28"/>
              </w:rPr>
            </w:pPr>
            <w:r>
              <w:rPr>
                <w:rFonts w:ascii="宋体" w:hAnsi="宋体"/>
                <w:b/>
                <w:bCs/>
                <w:color w:val="000000"/>
                <w:kern w:val="0"/>
                <w:sz w:val="28"/>
                <w:szCs w:val="28"/>
              </w:rPr>
              <w:t>得分</w:t>
            </w:r>
          </w:p>
        </w:tc>
      </w:tr>
      <w:tr>
        <w:tblPrEx>
          <w:tblW w:w="9954" w:type="dxa"/>
          <w:tblInd w:w="0" w:type="dxa"/>
          <w:tblLayout w:type="fixed"/>
        </w:tblPrEx>
        <w:trPr>
          <w:trHeight w:val="567"/>
        </w:trPr>
        <w:tc>
          <w:tcPr>
            <w:tcW w:w="1104"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决策　</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　</w:t>
            </w:r>
          </w:p>
          <w:p>
            <w:pPr>
              <w:spacing w:line="0" w:lineRule="atLeast"/>
              <w:jc w:val="center"/>
              <w:rPr>
                <w:rFonts w:ascii="宋体" w:hAnsi="宋体"/>
                <w:color w:val="000000"/>
                <w:kern w:val="0"/>
                <w:sz w:val="28"/>
                <w:szCs w:val="28"/>
              </w:rPr>
            </w:pPr>
            <w:r>
              <w:rPr>
                <w:rFonts w:ascii="宋体" w:hAnsi="宋体"/>
                <w:color w:val="000000"/>
                <w:kern w:val="0"/>
                <w:sz w:val="28"/>
                <w:szCs w:val="28"/>
              </w:rPr>
              <w:t>　</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　</w:t>
            </w:r>
          </w:p>
        </w:tc>
        <w:tc>
          <w:tcPr>
            <w:tcW w:w="990"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kern w:val="0"/>
                <w:sz w:val="28"/>
                <w:szCs w:val="28"/>
              </w:rPr>
              <w:t>5分</w:t>
            </w:r>
          </w:p>
        </w:tc>
        <w:tc>
          <w:tcPr>
            <w:tcW w:w="1283"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项目立项　</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立项依据</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充分性</w:t>
            </w:r>
          </w:p>
        </w:tc>
        <w:tc>
          <w:tcPr>
            <w:tcW w:w="72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0.5</w:t>
            </w:r>
          </w:p>
        </w:tc>
        <w:tc>
          <w:tcPr>
            <w:tcW w:w="104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充分</w:t>
            </w:r>
          </w:p>
        </w:tc>
        <w:tc>
          <w:tcPr>
            <w:tcW w:w="92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充分</w:t>
            </w:r>
          </w:p>
        </w:tc>
        <w:tc>
          <w:tcPr>
            <w:tcW w:w="1215"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0.5</w:t>
            </w:r>
          </w:p>
        </w:tc>
      </w:tr>
      <w:tr>
        <w:tblPrEx>
          <w:tblW w:w="9954" w:type="dxa"/>
          <w:tblInd w:w="0" w:type="dxa"/>
          <w:tblLayout w:type="fixed"/>
        </w:tblPrEx>
        <w:trPr>
          <w:trHeight w:val="567"/>
        </w:trPr>
        <w:tc>
          <w:tcPr>
            <w:tcW w:w="1104" w:type="dxa"/>
            <w:vMerge/>
            <w:shd w:val="clear" w:color="auto" w:fill="FFFFFF"/>
            <w:vAlign w:val="center"/>
          </w:tcPr>
          <w:p>
            <w:pPr>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vMerge/>
            <w:shd w:val="clear" w:color="auto" w:fill="FFFFFF"/>
            <w:vAlign w:val="center"/>
          </w:tcPr>
          <w:p>
            <w:pPr>
              <w:widowControl/>
              <w:spacing w:line="0" w:lineRule="atLeast"/>
              <w:jc w:val="center"/>
              <w:rPr>
                <w:rFonts w:ascii="宋体" w:hAnsi="宋体"/>
                <w:color w:val="000000"/>
                <w:kern w:val="0"/>
                <w:sz w:val="28"/>
                <w:szCs w:val="28"/>
              </w:rPr>
            </w:pP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立项程序</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规范性</w:t>
            </w:r>
          </w:p>
        </w:tc>
        <w:tc>
          <w:tcPr>
            <w:tcW w:w="72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0.5</w:t>
            </w:r>
          </w:p>
        </w:tc>
        <w:tc>
          <w:tcPr>
            <w:tcW w:w="104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规范</w:t>
            </w:r>
          </w:p>
        </w:tc>
        <w:tc>
          <w:tcPr>
            <w:tcW w:w="92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规范</w:t>
            </w:r>
          </w:p>
        </w:tc>
        <w:tc>
          <w:tcPr>
            <w:tcW w:w="1215"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0.5</w:t>
            </w:r>
          </w:p>
        </w:tc>
      </w:tr>
      <w:tr>
        <w:tblPrEx>
          <w:tblW w:w="9954" w:type="dxa"/>
          <w:tblInd w:w="0" w:type="dxa"/>
          <w:tblLayout w:type="fixed"/>
        </w:tblPrEx>
        <w:trPr>
          <w:trHeight w:val="567"/>
        </w:trPr>
        <w:tc>
          <w:tcPr>
            <w:tcW w:w="1104" w:type="dxa"/>
            <w:vMerge/>
            <w:shd w:val="clear" w:color="auto" w:fill="FFFFFF"/>
            <w:vAlign w:val="center"/>
          </w:tcPr>
          <w:p>
            <w:pPr>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绩效目标　</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绩效目标</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合理性</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合理</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合理</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PrEx>
        <w:trPr>
          <w:trHeight w:val="567"/>
        </w:trPr>
        <w:tc>
          <w:tcPr>
            <w:tcW w:w="1104" w:type="dxa"/>
            <w:vMerge/>
            <w:shd w:val="clear" w:color="auto" w:fill="FFFFFF"/>
            <w:vAlign w:val="center"/>
          </w:tcPr>
          <w:p>
            <w:pPr>
              <w:widowControl/>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vMerge/>
            <w:shd w:val="clear" w:color="auto" w:fill="FFFFFF"/>
            <w:vAlign w:val="center"/>
          </w:tcPr>
          <w:p>
            <w:pPr>
              <w:widowControl/>
              <w:spacing w:line="0" w:lineRule="atLeast"/>
              <w:jc w:val="center"/>
              <w:rPr>
                <w:rFonts w:ascii="宋体" w:hAnsi="宋体"/>
                <w:color w:val="000000"/>
                <w:kern w:val="0"/>
                <w:sz w:val="28"/>
                <w:szCs w:val="28"/>
              </w:rPr>
            </w:pP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绩效指标</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明确性</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明确</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明确</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PrEx>
        <w:trPr>
          <w:trHeight w:val="567"/>
        </w:trPr>
        <w:tc>
          <w:tcPr>
            <w:tcW w:w="1104" w:type="dxa"/>
            <w:vMerge/>
            <w:shd w:val="clear" w:color="auto" w:fill="FFFFFF"/>
            <w:vAlign w:val="center"/>
          </w:tcPr>
          <w:p>
            <w:pPr>
              <w:spacing w:line="0" w:lineRule="atLeast"/>
              <w:jc w:val="center"/>
              <w:rPr>
                <w:rFonts w:ascii="宋体" w:hAnsi="宋体"/>
                <w:color w:val="000000"/>
                <w:kern w:val="0"/>
                <w:sz w:val="28"/>
                <w:szCs w:val="28"/>
              </w:rPr>
            </w:pPr>
          </w:p>
        </w:tc>
        <w:tc>
          <w:tcPr>
            <w:tcW w:w="990" w:type="dxa"/>
            <w:vMerge/>
            <w:shd w:val="clear" w:color="auto" w:fill="FFFFFF"/>
            <w:vAlign w:val="center"/>
          </w:tcPr>
          <w:p>
            <w:pPr>
              <w:spacing w:line="0" w:lineRule="atLeast"/>
              <w:jc w:val="center"/>
              <w:rPr>
                <w:rFonts w:ascii="宋体" w:hAnsi="宋体"/>
                <w:color w:val="000000"/>
                <w:kern w:val="0"/>
                <w:sz w:val="28"/>
                <w:szCs w:val="28"/>
              </w:rPr>
            </w:pPr>
          </w:p>
        </w:tc>
        <w:tc>
          <w:tcPr>
            <w:tcW w:w="1283"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资金投入</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预算编制</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科学性</w:t>
            </w:r>
          </w:p>
        </w:tc>
        <w:tc>
          <w:tcPr>
            <w:tcW w:w="72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科学</w:t>
            </w:r>
          </w:p>
        </w:tc>
        <w:tc>
          <w:tcPr>
            <w:tcW w:w="92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科学</w:t>
            </w:r>
          </w:p>
        </w:tc>
        <w:tc>
          <w:tcPr>
            <w:tcW w:w="1215"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PrEx>
        <w:trPr>
          <w:trHeight w:val="567"/>
        </w:trPr>
        <w:tc>
          <w:tcPr>
            <w:tcW w:w="1104" w:type="dxa"/>
            <w:vMerge/>
            <w:shd w:val="clear" w:color="auto" w:fill="FFFFFF"/>
            <w:vAlign w:val="center"/>
          </w:tcPr>
          <w:p>
            <w:pPr>
              <w:widowControl/>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vMerge/>
            <w:shd w:val="clear" w:color="auto" w:fill="FFFFFF"/>
            <w:vAlign w:val="center"/>
          </w:tcPr>
          <w:p>
            <w:pPr>
              <w:widowControl/>
              <w:spacing w:line="0" w:lineRule="atLeast"/>
              <w:jc w:val="center"/>
              <w:rPr>
                <w:rFonts w:ascii="宋体" w:hAnsi="宋体"/>
                <w:color w:val="000000"/>
                <w:kern w:val="0"/>
                <w:sz w:val="28"/>
                <w:szCs w:val="28"/>
              </w:rPr>
            </w:pP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资金分配</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合理性</w:t>
            </w:r>
          </w:p>
        </w:tc>
        <w:tc>
          <w:tcPr>
            <w:tcW w:w="72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合理</w:t>
            </w:r>
          </w:p>
        </w:tc>
        <w:tc>
          <w:tcPr>
            <w:tcW w:w="92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合理</w:t>
            </w:r>
          </w:p>
        </w:tc>
        <w:tc>
          <w:tcPr>
            <w:tcW w:w="1215"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PrEx>
        <w:trPr>
          <w:trHeight w:val="567"/>
        </w:trPr>
        <w:tc>
          <w:tcPr>
            <w:tcW w:w="1104" w:type="dxa"/>
            <w:vMerge w:val="restart"/>
            <w:shd w:val="clear" w:color="auto" w:fill="FFFFFF"/>
            <w:vAlign w:val="center"/>
          </w:tcPr>
          <w:p>
            <w:pPr>
              <w:spacing w:line="0" w:lineRule="atLeast"/>
              <w:jc w:val="center"/>
              <w:rPr>
                <w:rFonts w:ascii="宋体" w:hAnsi="宋体"/>
                <w:color w:val="000000"/>
                <w:kern w:val="0"/>
                <w:sz w:val="28"/>
                <w:szCs w:val="28"/>
              </w:rPr>
            </w:pPr>
            <w:r>
              <w:rPr>
                <w:rFonts w:ascii="宋体" w:hAnsi="宋体"/>
                <w:color w:val="000000"/>
                <w:kern w:val="0"/>
                <w:sz w:val="28"/>
                <w:szCs w:val="28"/>
              </w:rPr>
              <w:t>过程</w:t>
            </w:r>
          </w:p>
          <w:p>
            <w:pPr>
              <w:spacing w:line="0" w:lineRule="atLeast"/>
              <w:jc w:val="center"/>
              <w:rPr>
                <w:rFonts w:ascii="宋体" w:hAnsi="宋体"/>
                <w:color w:val="000000"/>
                <w:kern w:val="0"/>
                <w:sz w:val="28"/>
                <w:szCs w:val="28"/>
              </w:rPr>
            </w:pPr>
            <w:r>
              <w:rPr>
                <w:rFonts w:ascii="宋体" w:hAnsi="宋体"/>
                <w:color w:val="000000"/>
                <w:kern w:val="0"/>
                <w:sz w:val="28"/>
                <w:szCs w:val="28"/>
              </w:rPr>
              <w:t>　</w:t>
            </w:r>
          </w:p>
        </w:tc>
        <w:tc>
          <w:tcPr>
            <w:tcW w:w="990"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kern w:val="0"/>
                <w:sz w:val="28"/>
                <w:szCs w:val="28"/>
              </w:rPr>
              <w:t>5分</w:t>
            </w:r>
          </w:p>
        </w:tc>
        <w:tc>
          <w:tcPr>
            <w:tcW w:w="1283"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资金管理</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资金到位率</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100%</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r>
              <w:rPr>
                <w:rFonts w:ascii="宋体" w:hAnsi="宋体"/>
                <w:color w:val="000000"/>
                <w:kern w:val="0"/>
                <w:sz w:val="28"/>
                <w:szCs w:val="28"/>
              </w:rPr>
              <w:t>%</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PrEx>
        <w:trPr>
          <w:trHeight w:val="567"/>
        </w:trPr>
        <w:tc>
          <w:tcPr>
            <w:tcW w:w="1104" w:type="dxa"/>
            <w:vMerge/>
            <w:shd w:val="clear" w:color="auto" w:fill="FFFFFF"/>
            <w:vAlign w:val="center"/>
          </w:tcPr>
          <w:p>
            <w:pPr>
              <w:spacing w:line="0" w:lineRule="atLeast"/>
              <w:jc w:val="center"/>
              <w:rPr>
                <w:rFonts w:ascii="宋体" w:hAnsi="宋体"/>
                <w:color w:val="000000"/>
                <w:kern w:val="0"/>
                <w:sz w:val="28"/>
                <w:szCs w:val="28"/>
              </w:rPr>
            </w:pPr>
          </w:p>
        </w:tc>
        <w:tc>
          <w:tcPr>
            <w:tcW w:w="990" w:type="dxa"/>
            <w:vMerge/>
            <w:shd w:val="clear" w:color="auto" w:fill="FFFFFF"/>
            <w:vAlign w:val="center"/>
          </w:tcPr>
          <w:p>
            <w:pPr>
              <w:spacing w:line="0" w:lineRule="atLeast"/>
              <w:jc w:val="center"/>
              <w:rPr>
                <w:rFonts w:ascii="宋体" w:hAnsi="宋体"/>
                <w:color w:val="000000"/>
                <w:kern w:val="0"/>
                <w:sz w:val="28"/>
                <w:szCs w:val="28"/>
              </w:rPr>
            </w:pPr>
          </w:p>
        </w:tc>
        <w:tc>
          <w:tcPr>
            <w:tcW w:w="1283" w:type="dxa"/>
            <w:vMerge/>
            <w:shd w:val="clear" w:color="auto" w:fill="FFFFFF"/>
            <w:vAlign w:val="center"/>
          </w:tcPr>
          <w:p>
            <w:pPr>
              <w:spacing w:line="0" w:lineRule="atLeast"/>
              <w:jc w:val="center"/>
              <w:rPr>
                <w:rFonts w:ascii="宋体" w:hAnsi="宋体"/>
                <w:color w:val="000000"/>
                <w:kern w:val="0"/>
                <w:sz w:val="28"/>
                <w:szCs w:val="28"/>
              </w:rPr>
            </w:pP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预算执行率</w:t>
            </w:r>
          </w:p>
        </w:tc>
        <w:tc>
          <w:tcPr>
            <w:tcW w:w="72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100%</w:t>
            </w:r>
          </w:p>
        </w:tc>
        <w:tc>
          <w:tcPr>
            <w:tcW w:w="92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r>
              <w:rPr>
                <w:rFonts w:ascii="宋体" w:hAnsi="宋体"/>
                <w:color w:val="000000"/>
                <w:kern w:val="0"/>
                <w:sz w:val="28"/>
                <w:szCs w:val="28"/>
              </w:rPr>
              <w:t>%</w:t>
            </w:r>
          </w:p>
        </w:tc>
        <w:tc>
          <w:tcPr>
            <w:tcW w:w="1215"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PrEx>
        <w:trPr>
          <w:trHeight w:val="567"/>
        </w:trPr>
        <w:tc>
          <w:tcPr>
            <w:tcW w:w="1104" w:type="dxa"/>
            <w:vMerge/>
            <w:shd w:val="clear" w:color="auto" w:fill="FFFFFF"/>
            <w:vAlign w:val="center"/>
          </w:tcPr>
          <w:p>
            <w:pPr>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资金管理</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资金使用</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合规性</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合格</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合格</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PrEx>
        <w:trPr>
          <w:trHeight w:val="567"/>
        </w:trPr>
        <w:tc>
          <w:tcPr>
            <w:tcW w:w="1104" w:type="dxa"/>
            <w:vMerge/>
            <w:shd w:val="clear" w:color="auto" w:fill="FFFFFF"/>
            <w:vAlign w:val="center"/>
          </w:tcPr>
          <w:p>
            <w:pPr>
              <w:spacing w:line="0" w:lineRule="atLeast"/>
              <w:jc w:val="center"/>
              <w:rPr>
                <w:rFonts w:ascii="宋体" w:hAnsi="宋体"/>
                <w:color w:val="000000"/>
                <w:kern w:val="0"/>
                <w:sz w:val="28"/>
                <w:szCs w:val="28"/>
              </w:rPr>
            </w:pPr>
          </w:p>
        </w:tc>
        <w:tc>
          <w:tcPr>
            <w:tcW w:w="990" w:type="dxa"/>
            <w:vMerge/>
            <w:shd w:val="clear" w:color="auto" w:fill="FFFFFF"/>
            <w:vAlign w:val="center"/>
          </w:tcPr>
          <w:p>
            <w:pPr>
              <w:spacing w:line="0" w:lineRule="atLeast"/>
              <w:jc w:val="center"/>
              <w:rPr>
                <w:rFonts w:ascii="宋体" w:hAnsi="宋体"/>
                <w:color w:val="000000"/>
                <w:kern w:val="0"/>
                <w:sz w:val="28"/>
                <w:szCs w:val="28"/>
              </w:rPr>
            </w:pPr>
          </w:p>
        </w:tc>
        <w:tc>
          <w:tcPr>
            <w:tcW w:w="1283"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组织实施</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管理制度</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健全性</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健全</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健全</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PrEx>
        <w:trPr>
          <w:trHeight w:val="567"/>
        </w:trPr>
        <w:tc>
          <w:tcPr>
            <w:tcW w:w="1104" w:type="dxa"/>
            <w:vMerge/>
            <w:shd w:val="clear" w:color="auto" w:fill="FFFFFF"/>
            <w:vAlign w:val="center"/>
          </w:tcPr>
          <w:p>
            <w:pPr>
              <w:widowControl/>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vMerge/>
            <w:shd w:val="clear" w:color="auto" w:fill="FFFFFF"/>
            <w:vAlign w:val="center"/>
          </w:tcPr>
          <w:p>
            <w:pPr>
              <w:widowControl/>
              <w:spacing w:line="0" w:lineRule="atLeast"/>
              <w:jc w:val="center"/>
              <w:rPr>
                <w:rFonts w:ascii="宋体" w:hAnsi="宋体"/>
                <w:color w:val="000000"/>
                <w:kern w:val="0"/>
                <w:sz w:val="28"/>
                <w:szCs w:val="28"/>
              </w:rPr>
            </w:pP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制度执行</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有效性</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有效</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有效</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w:t>
            </w:r>
          </w:p>
        </w:tc>
      </w:tr>
      <w:tr>
        <w:tblPrEx>
          <w:tblW w:w="9954" w:type="dxa"/>
          <w:tblInd w:w="0" w:type="dxa"/>
          <w:tblLayout w:type="fixed"/>
        </w:tblPrEx>
        <w:trPr>
          <w:trHeight w:val="567"/>
        </w:trPr>
        <w:tc>
          <w:tcPr>
            <w:tcW w:w="1104"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产出</w:t>
            </w:r>
          </w:p>
        </w:tc>
        <w:tc>
          <w:tcPr>
            <w:tcW w:w="990"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kern w:val="0"/>
                <w:sz w:val="28"/>
                <w:szCs w:val="28"/>
              </w:rPr>
              <w:t>50分</w:t>
            </w:r>
          </w:p>
        </w:tc>
        <w:tc>
          <w:tcPr>
            <w:tcW w:w="1283"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产出数量</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实际完成率</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15</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100%</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15</w:t>
            </w:r>
          </w:p>
        </w:tc>
      </w:tr>
      <w:tr>
        <w:tblPrEx>
          <w:tblW w:w="9954" w:type="dxa"/>
          <w:tblInd w:w="0" w:type="dxa"/>
          <w:tblLayout w:type="fixed"/>
        </w:tblPrEx>
        <w:trPr>
          <w:trHeight w:val="567"/>
        </w:trPr>
        <w:tc>
          <w:tcPr>
            <w:tcW w:w="1104" w:type="dxa"/>
            <w:vMerge/>
            <w:shd w:val="clear" w:color="auto" w:fill="FFFFFF"/>
            <w:vAlign w:val="center"/>
          </w:tcPr>
          <w:p>
            <w:pPr>
              <w:widowControl/>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产出质量</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质量达标率</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100%</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90</w:t>
            </w:r>
            <w:r>
              <w:rPr>
                <w:rFonts w:ascii="宋体" w:hAnsi="宋体"/>
                <w:color w:val="000000"/>
                <w:kern w:val="0"/>
                <w:sz w:val="28"/>
                <w:szCs w:val="28"/>
              </w:rPr>
              <w:t>%</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90%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9</w:t>
            </w:r>
          </w:p>
        </w:tc>
      </w:tr>
      <w:tr>
        <w:tblPrEx>
          <w:tblW w:w="9954" w:type="dxa"/>
          <w:tblInd w:w="0" w:type="dxa"/>
          <w:tblLayout w:type="fixed"/>
        </w:tblPrEx>
        <w:trPr>
          <w:trHeight w:val="567"/>
        </w:trPr>
        <w:tc>
          <w:tcPr>
            <w:tcW w:w="1104" w:type="dxa"/>
            <w:vMerge/>
            <w:shd w:val="clear" w:color="auto" w:fill="FFFFFF"/>
            <w:vAlign w:val="center"/>
          </w:tcPr>
          <w:p>
            <w:pPr>
              <w:spacing w:line="0" w:lineRule="atLeast"/>
              <w:jc w:val="center"/>
              <w:rPr>
                <w:rFonts w:ascii="宋体" w:hAnsi="宋体"/>
                <w:color w:val="000000"/>
                <w:kern w:val="0"/>
                <w:sz w:val="28"/>
                <w:szCs w:val="28"/>
              </w:rPr>
            </w:pPr>
          </w:p>
        </w:tc>
        <w:tc>
          <w:tcPr>
            <w:tcW w:w="990" w:type="dxa"/>
            <w:vMerge/>
            <w:shd w:val="clear" w:color="auto" w:fill="FFFFFF"/>
            <w:vAlign w:val="center"/>
          </w:tcPr>
          <w:p>
            <w:pPr>
              <w:spacing w:line="0" w:lineRule="atLeast"/>
              <w:jc w:val="center"/>
              <w:rPr>
                <w:rFonts w:ascii="宋体" w:hAnsi="宋体"/>
                <w:color w:val="000000"/>
                <w:kern w:val="0"/>
                <w:sz w:val="28"/>
                <w:szCs w:val="28"/>
              </w:rPr>
            </w:pPr>
          </w:p>
        </w:tc>
        <w:tc>
          <w:tcPr>
            <w:tcW w:w="1283" w:type="dxa"/>
            <w:shd w:val="clear" w:color="auto" w:fill="FFFFFF"/>
            <w:vAlign w:val="center"/>
          </w:tcPr>
          <w:p>
            <w:pPr>
              <w:spacing w:line="0" w:lineRule="atLeast"/>
              <w:jc w:val="center"/>
              <w:rPr>
                <w:rFonts w:ascii="宋体" w:hAnsi="宋体"/>
                <w:color w:val="000000"/>
                <w:kern w:val="0"/>
                <w:sz w:val="28"/>
                <w:szCs w:val="28"/>
              </w:rPr>
            </w:pPr>
            <w:r>
              <w:rPr>
                <w:rFonts w:ascii="宋体" w:hAnsi="宋体"/>
                <w:color w:val="000000"/>
                <w:kern w:val="0"/>
                <w:sz w:val="28"/>
                <w:szCs w:val="28"/>
              </w:rPr>
              <w:t>产出时效</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完成及时性</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15</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及时</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及时</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93%</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14</w:t>
            </w:r>
          </w:p>
        </w:tc>
      </w:tr>
      <w:tr>
        <w:tblPrEx>
          <w:tblW w:w="9954" w:type="dxa"/>
          <w:tblInd w:w="0" w:type="dxa"/>
          <w:tblLayout w:type="fixed"/>
        </w:tblPrEx>
        <w:trPr>
          <w:trHeight w:val="567"/>
        </w:trPr>
        <w:tc>
          <w:tcPr>
            <w:tcW w:w="1104" w:type="dxa"/>
            <w:vMerge/>
            <w:shd w:val="clear" w:color="auto" w:fill="FFFFFF"/>
            <w:vAlign w:val="center"/>
          </w:tcPr>
          <w:p>
            <w:pPr>
              <w:widowControl/>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产出成本</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成本节约率</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100%</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r>
              <w:rPr>
                <w:rFonts w:ascii="宋体" w:hAnsi="宋体"/>
                <w:color w:val="000000"/>
                <w:kern w:val="0"/>
                <w:sz w:val="28"/>
                <w:szCs w:val="28"/>
              </w:rPr>
              <w:t>%</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100%</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w:t>
            </w:r>
          </w:p>
        </w:tc>
      </w:tr>
      <w:tr>
        <w:tblPrEx>
          <w:tblW w:w="9954" w:type="dxa"/>
          <w:tblInd w:w="0" w:type="dxa"/>
          <w:tblLayout w:type="fixed"/>
        </w:tblPrEx>
        <w:trPr>
          <w:trHeight w:val="567"/>
        </w:trPr>
        <w:tc>
          <w:tcPr>
            <w:tcW w:w="1104"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效益　</w:t>
            </w:r>
          </w:p>
        </w:tc>
        <w:tc>
          <w:tcPr>
            <w:tcW w:w="990"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40分</w:t>
            </w:r>
          </w:p>
        </w:tc>
        <w:tc>
          <w:tcPr>
            <w:tcW w:w="1283" w:type="dxa"/>
            <w:vMerge w:val="restart"/>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项目效益　</w:t>
            </w: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实施效益</w:t>
            </w:r>
          </w:p>
          <w:p>
            <w:pPr>
              <w:widowControl/>
              <w:spacing w:line="0" w:lineRule="atLeast"/>
              <w:jc w:val="center"/>
              <w:rPr>
                <w:rFonts w:ascii="宋体" w:hAnsi="宋体"/>
                <w:color w:val="000000"/>
                <w:kern w:val="0"/>
                <w:sz w:val="28"/>
                <w:szCs w:val="28"/>
              </w:rPr>
            </w:pPr>
            <w:r>
              <w:rPr>
                <w:rFonts w:ascii="宋体" w:hAnsi="宋体"/>
                <w:color w:val="000000"/>
                <w:kern w:val="0"/>
                <w:sz w:val="28"/>
                <w:szCs w:val="28"/>
              </w:rPr>
              <w:t>（社会效益、经济效益、可持续效益）</w:t>
            </w:r>
          </w:p>
        </w:tc>
        <w:tc>
          <w:tcPr>
            <w:tcW w:w="72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30</w:t>
            </w:r>
          </w:p>
        </w:tc>
        <w:tc>
          <w:tcPr>
            <w:tcW w:w="104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有效</w:t>
            </w:r>
          </w:p>
        </w:tc>
        <w:tc>
          <w:tcPr>
            <w:tcW w:w="924"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有效</w:t>
            </w:r>
          </w:p>
        </w:tc>
        <w:tc>
          <w:tcPr>
            <w:tcW w:w="1215"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100%</w:t>
            </w:r>
          </w:p>
        </w:tc>
        <w:tc>
          <w:tcPr>
            <w:tcW w:w="960"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30</w:t>
            </w:r>
          </w:p>
        </w:tc>
      </w:tr>
      <w:tr>
        <w:tblPrEx>
          <w:tblW w:w="9954" w:type="dxa"/>
          <w:tblInd w:w="0" w:type="dxa"/>
          <w:tblLayout w:type="fixed"/>
        </w:tblPrEx>
        <w:trPr>
          <w:trHeight w:val="567"/>
        </w:trPr>
        <w:tc>
          <w:tcPr>
            <w:tcW w:w="1104" w:type="dxa"/>
            <w:vMerge/>
            <w:shd w:val="clear" w:color="auto" w:fill="FFFFFF"/>
            <w:vAlign w:val="center"/>
          </w:tcPr>
          <w:p>
            <w:pPr>
              <w:widowControl/>
              <w:spacing w:line="0" w:lineRule="atLeast"/>
              <w:jc w:val="center"/>
              <w:rPr>
                <w:rFonts w:ascii="宋体" w:hAnsi="宋体"/>
                <w:color w:val="000000"/>
                <w:kern w:val="0"/>
                <w:sz w:val="28"/>
                <w:szCs w:val="28"/>
              </w:rPr>
            </w:pPr>
          </w:p>
        </w:tc>
        <w:tc>
          <w:tcPr>
            <w:tcW w:w="990" w:type="dxa"/>
            <w:vMerge/>
            <w:shd w:val="clear" w:color="auto" w:fill="FFFFFF"/>
            <w:vAlign w:val="center"/>
          </w:tcPr>
          <w:p>
            <w:pPr>
              <w:widowControl/>
              <w:spacing w:line="0" w:lineRule="atLeast"/>
              <w:jc w:val="center"/>
              <w:rPr>
                <w:rFonts w:ascii="宋体" w:hAnsi="宋体"/>
                <w:color w:val="000000"/>
                <w:kern w:val="0"/>
                <w:sz w:val="28"/>
                <w:szCs w:val="28"/>
              </w:rPr>
            </w:pPr>
          </w:p>
        </w:tc>
        <w:tc>
          <w:tcPr>
            <w:tcW w:w="1283" w:type="dxa"/>
            <w:vMerge/>
            <w:shd w:val="clear" w:color="auto" w:fill="FFFFFF"/>
            <w:vAlign w:val="center"/>
          </w:tcPr>
          <w:p>
            <w:pPr>
              <w:widowControl/>
              <w:spacing w:line="0" w:lineRule="atLeast"/>
              <w:jc w:val="center"/>
              <w:rPr>
                <w:rFonts w:ascii="宋体" w:hAnsi="宋体"/>
                <w:color w:val="000000"/>
                <w:kern w:val="0"/>
                <w:sz w:val="28"/>
                <w:szCs w:val="28"/>
              </w:rPr>
            </w:pPr>
          </w:p>
        </w:tc>
        <w:tc>
          <w:tcPr>
            <w:tcW w:w="1707" w:type="dxa"/>
            <w:shd w:val="clear" w:color="auto"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满意度</w:t>
            </w:r>
          </w:p>
        </w:tc>
        <w:tc>
          <w:tcPr>
            <w:tcW w:w="727"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10</w:t>
            </w:r>
          </w:p>
        </w:tc>
        <w:tc>
          <w:tcPr>
            <w:tcW w:w="104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color w:val="000000"/>
                <w:kern w:val="0"/>
                <w:sz w:val="28"/>
                <w:szCs w:val="28"/>
              </w:rPr>
              <w:t>≥</w:t>
            </w:r>
            <w:r>
              <w:rPr>
                <w:rFonts w:ascii="宋体" w:hAnsi="宋体" w:hint="eastAsia"/>
                <w:color w:val="000000"/>
                <w:kern w:val="0"/>
                <w:sz w:val="28"/>
                <w:szCs w:val="28"/>
              </w:rPr>
              <w:t>90</w:t>
            </w:r>
            <w:r>
              <w:rPr>
                <w:rFonts w:ascii="宋体" w:hAnsi="宋体"/>
                <w:color w:val="000000"/>
                <w:kern w:val="0"/>
                <w:sz w:val="28"/>
                <w:szCs w:val="28"/>
              </w:rPr>
              <w:t>%</w:t>
            </w:r>
          </w:p>
        </w:tc>
        <w:tc>
          <w:tcPr>
            <w:tcW w:w="924"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90</w:t>
            </w:r>
            <w:r>
              <w:rPr>
                <w:rFonts w:ascii="宋体" w:hAnsi="宋体"/>
                <w:color w:val="000000"/>
                <w:kern w:val="0"/>
                <w:sz w:val="28"/>
                <w:szCs w:val="28"/>
              </w:rPr>
              <w:t>%</w:t>
            </w:r>
          </w:p>
        </w:tc>
        <w:tc>
          <w:tcPr>
            <w:tcW w:w="1215"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90</w:t>
            </w:r>
            <w:r>
              <w:rPr>
                <w:rFonts w:ascii="宋体" w:hAnsi="宋体"/>
                <w:color w:val="000000"/>
                <w:kern w:val="0"/>
                <w:sz w:val="28"/>
                <w:szCs w:val="28"/>
              </w:rPr>
              <w:t>%</w:t>
            </w:r>
          </w:p>
        </w:tc>
        <w:tc>
          <w:tcPr>
            <w:tcW w:w="960" w:type="dxa"/>
            <w:shd w:val="clear" w:color="000000" w:fill="FFFFFF"/>
            <w:vAlign w:val="center"/>
          </w:tcPr>
          <w:p>
            <w:pPr>
              <w:widowControl/>
              <w:spacing w:line="0" w:lineRule="atLeast"/>
              <w:jc w:val="center"/>
              <w:rPr>
                <w:rFonts w:ascii="宋体" w:hAnsi="宋体"/>
                <w:color w:val="000000"/>
                <w:kern w:val="0"/>
                <w:sz w:val="28"/>
                <w:szCs w:val="28"/>
              </w:rPr>
            </w:pPr>
            <w:r>
              <w:rPr>
                <w:rFonts w:ascii="宋体" w:hAnsi="宋体" w:hint="eastAsia"/>
                <w:color w:val="000000"/>
                <w:kern w:val="0"/>
                <w:sz w:val="28"/>
                <w:szCs w:val="28"/>
              </w:rPr>
              <w:t>9</w:t>
            </w:r>
          </w:p>
        </w:tc>
      </w:tr>
    </w:tbl>
    <w:p>
      <w:pPr>
        <w:pStyle w:val="Heading1"/>
        <w:spacing w:line="560" w:lineRule="exact"/>
        <w:ind w:firstLine="585" w:firstLineChars="209"/>
        <w:rPr>
          <w:rFonts w:ascii="黑体" w:eastAsia="黑体" w:hAnsi="黑体"/>
          <w:b w:val="0"/>
          <w:bCs w:val="0"/>
          <w:sz w:val="28"/>
          <w:szCs w:val="28"/>
        </w:rPr>
      </w:pPr>
      <w:r>
        <w:rPr>
          <w:rFonts w:ascii="黑体" w:eastAsia="黑体" w:hAnsi="黑体"/>
          <w:b w:val="0"/>
          <w:bCs w:val="0"/>
          <w:sz w:val="28"/>
          <w:szCs w:val="28"/>
        </w:rPr>
        <w:t>四、绩效评价指标分析</w:t>
      </w:r>
    </w:p>
    <w:p>
      <w:pPr>
        <w:pStyle w:val="Heading2"/>
        <w:spacing w:line="560" w:lineRule="exact"/>
        <w:ind w:firstLine="585" w:firstLineChars="209"/>
        <w:rPr>
          <w:rFonts w:eastAsia="楷体_GB2312"/>
          <w:i w:val="0"/>
          <w:sz w:val="28"/>
          <w:szCs w:val="28"/>
        </w:rPr>
      </w:pPr>
      <w:r>
        <w:rPr>
          <w:rFonts w:eastAsia="楷体_GB2312"/>
          <w:i w:val="0"/>
          <w:sz w:val="28"/>
          <w:szCs w:val="28"/>
        </w:rPr>
        <w:t>（一）项目决策情况</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我单位根据下达相关文件支出项目资金；</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lang w:eastAsia="zh-CN"/>
        </w:rPr>
        <w:t>2022</w:t>
      </w:r>
      <w:r>
        <w:rPr>
          <w:rFonts w:ascii="仿宋_GB2312" w:eastAsia="仿宋_GB2312" w:hAnsi="仿宋_GB2312" w:cs="仿宋_GB2312" w:hint="eastAsia"/>
          <w:sz w:val="28"/>
          <w:szCs w:val="28"/>
        </w:rPr>
        <w:t>年化解教育系统工程设备欠款项目。</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项目立项与我单位部门职责范围相符，属于部门履职所需；</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仿宋_GB2312" w:eastAsia="仿宋_GB2312" w:hAnsi="仿宋_GB2312" w:cs="仿宋_GB2312"/>
          <w:sz w:val="28"/>
          <w:szCs w:val="28"/>
        </w:rPr>
      </w:pPr>
      <w:r>
        <w:rPr>
          <w:rFonts w:ascii="仿宋_GB2312" w:eastAsia="仿宋_GB2312" w:hAnsi="仿宋_GB2312" w:cs="仿宋_GB2312" w:hint="eastAsia"/>
          <w:sz w:val="28"/>
          <w:szCs w:val="28"/>
        </w:rPr>
        <w:t>项目属于公共财政支持范围，符合中央、地方事权支出责任划分原则：项目按照规定的程序申请设立；财政下达文件，拨付资金，我单位规范项目资金管理，按照规定支付项目资金，与预算确定的项目投资额或资金量相匹配，预算项目资金1683.04万元，支出1683.04万元。支付明细：</w:t>
      </w:r>
      <w:r>
        <w:rPr>
          <w:rFonts w:ascii="仿宋_GB2312" w:eastAsia="仿宋_GB2312" w:hAnsi="仿宋_GB2312" w:cs="仿宋_GB2312" w:hint="eastAsia"/>
          <w:sz w:val="28"/>
          <w:szCs w:val="28"/>
          <w:lang w:eastAsia="zh-CN"/>
        </w:rPr>
        <w:t>2022</w:t>
      </w:r>
      <w:r>
        <w:rPr>
          <w:rFonts w:ascii="仿宋_GB2312" w:eastAsia="仿宋_GB2312" w:hAnsi="仿宋_GB2312" w:cs="仿宋_GB2312" w:hint="eastAsia"/>
          <w:sz w:val="28"/>
          <w:szCs w:val="28"/>
        </w:rPr>
        <w:t>年化解教育系统工程设备欠款项目1683.04万元。</w:t>
      </w:r>
    </w:p>
    <w:p>
      <w:pPr>
        <w:pStyle w:val="Heading2"/>
        <w:numPr>
          <w:ilvl w:val="0"/>
          <w:numId w:val="0"/>
        </w:numPr>
        <w:spacing w:line="560" w:lineRule="exact"/>
        <w:ind w:firstLine="560" w:firstLineChars="200"/>
        <w:rPr>
          <w:rFonts w:eastAsia="楷体_GB2312"/>
          <w:i w:val="0"/>
          <w:sz w:val="28"/>
          <w:szCs w:val="28"/>
        </w:rPr>
      </w:pPr>
      <w:r>
        <w:rPr>
          <w:rFonts w:eastAsia="楷体_GB2312" w:hint="eastAsia"/>
          <w:i w:val="0"/>
          <w:sz w:val="28"/>
          <w:szCs w:val="28"/>
          <w:lang w:eastAsia="zh-CN"/>
        </w:rPr>
        <w:t>（</w:t>
      </w:r>
      <w:r>
        <w:rPr>
          <w:rFonts w:eastAsia="楷体_GB2312" w:hint="eastAsia"/>
          <w:i w:val="0"/>
          <w:sz w:val="28"/>
          <w:szCs w:val="28"/>
          <w:lang w:val="en-US" w:eastAsia="zh-CN"/>
        </w:rPr>
        <w:t>二</w:t>
      </w:r>
      <w:r>
        <w:rPr>
          <w:rFonts w:eastAsia="楷体_GB2312" w:hint="eastAsia"/>
          <w:i w:val="0"/>
          <w:sz w:val="28"/>
          <w:szCs w:val="28"/>
          <w:lang w:eastAsia="zh-CN"/>
        </w:rPr>
        <w:t>）</w:t>
      </w:r>
      <w:r>
        <w:rPr>
          <w:rFonts w:eastAsia="楷体_GB2312"/>
          <w:i w:val="0"/>
          <w:sz w:val="28"/>
          <w:szCs w:val="28"/>
        </w:rPr>
        <w:t>项目过程情况</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1.项目管理情况</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（1）资金到位率：</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项目资金采取市人民政府、财政局联合监管的办法。档案管理完整规范，数据全部实行信息化处理。资金到位率=100%</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实际到位资金：1683.04万元。 预算资金：1683.04万元。</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（2）资金执行率：资金执行率=100%</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实际到位资金：1683.04万元。 执行资金：1683.04万元。</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（3）资金管理情况：</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符合国家财经法规和财务管理制度以及有关专项资金管理办法的规定；资金的拨付有完整的审批程序和手续；符合项目预算批复或合同规定的用途；我单位不存在截留、挤占、挪用、虚列支出等情况。</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组织实施情况：己制定相应的财务和业务管理制度；财务和业务管理制度合法、合规、完整。符合相关法律法规和相关管理规定；项目调整及支出调整手续完备；</w:t>
      </w:r>
    </w:p>
    <w:p>
      <w:pPr>
        <w:pStyle w:val="Heading2"/>
        <w:numPr>
          <w:ilvl w:val="0"/>
          <w:numId w:val="0"/>
        </w:numPr>
        <w:spacing w:line="560" w:lineRule="exact"/>
        <w:ind w:firstLine="560" w:firstLineChars="200"/>
        <w:rPr>
          <w:rFonts w:eastAsia="楷体_GB2312"/>
          <w:i w:val="0"/>
          <w:sz w:val="28"/>
          <w:szCs w:val="28"/>
        </w:rPr>
      </w:pPr>
      <w:r>
        <w:rPr>
          <w:rFonts w:eastAsia="楷体_GB2312" w:hint="eastAsia"/>
          <w:i w:val="0"/>
          <w:sz w:val="28"/>
          <w:szCs w:val="28"/>
          <w:lang w:eastAsia="zh-CN"/>
        </w:rPr>
        <w:t>（</w:t>
      </w:r>
      <w:r>
        <w:rPr>
          <w:rFonts w:eastAsia="楷体_GB2312" w:hint="eastAsia"/>
          <w:i w:val="0"/>
          <w:sz w:val="28"/>
          <w:szCs w:val="28"/>
          <w:lang w:val="en-US" w:eastAsia="zh-CN"/>
        </w:rPr>
        <w:t>三</w:t>
      </w:r>
      <w:r>
        <w:rPr>
          <w:rFonts w:eastAsia="楷体_GB2312" w:hint="eastAsia"/>
          <w:i w:val="0"/>
          <w:sz w:val="28"/>
          <w:szCs w:val="28"/>
          <w:lang w:eastAsia="zh-CN"/>
        </w:rPr>
        <w:t>）</w:t>
      </w:r>
      <w:r>
        <w:rPr>
          <w:rFonts w:eastAsia="楷体_GB2312"/>
          <w:i w:val="0"/>
          <w:sz w:val="28"/>
          <w:szCs w:val="28"/>
        </w:rPr>
        <w:t>项目产出</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数量指标方面：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义务教育学校及幼儿园</w:t>
      </w:r>
      <w:r>
        <w:rPr>
          <w:rFonts w:ascii="仿宋_GB2312" w:eastAsia="仿宋_GB2312" w:hAnsi="仿宋_GB2312" w:cs="仿宋_GB2312" w:hint="eastAsia"/>
          <w:sz w:val="28"/>
          <w:szCs w:val="28"/>
        </w:rPr>
        <w:t>=34所</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质量指标方面：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项目完成率≥95%</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验收合格率=100%</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设备配套覆盖率≥95%</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成本指标方面：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资金数=16830441.48元</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时效指标方面：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资金到位及时率</w:t>
      </w:r>
      <w:r>
        <w:rPr>
          <w:rFonts w:ascii="仿宋_GB2312" w:eastAsia="仿宋_GB2312" w:hAnsi="仿宋_GB2312" w:cs="仿宋_GB2312" w:hint="eastAsia"/>
          <w:sz w:val="28"/>
          <w:szCs w:val="28"/>
        </w:rPr>
        <w:t>=100%</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资金</w:t>
      </w:r>
      <w:r>
        <w:rPr>
          <w:rFonts w:ascii="仿宋_GB2312" w:eastAsia="仿宋_GB2312" w:hAnsi="仿宋_GB2312" w:cs="仿宋_GB2312" w:hint="eastAsia"/>
          <w:sz w:val="28"/>
          <w:szCs w:val="28"/>
        </w:rPr>
        <w:t>拨付</w:t>
      </w:r>
      <w:r>
        <w:rPr>
          <w:rFonts w:ascii="仿宋_GB2312" w:eastAsia="仿宋_GB2312" w:hAnsi="仿宋_GB2312" w:cs="仿宋_GB2312"/>
          <w:sz w:val="28"/>
          <w:szCs w:val="28"/>
        </w:rPr>
        <w:t>及时率</w:t>
      </w:r>
      <w:r>
        <w:rPr>
          <w:rFonts w:ascii="仿宋_GB2312" w:eastAsia="仿宋_GB2312" w:hAnsi="仿宋_GB2312" w:cs="仿宋_GB2312" w:hint="eastAsia"/>
          <w:sz w:val="28"/>
          <w:szCs w:val="28"/>
        </w:rPr>
        <w:t>=100%</w:t>
      </w:r>
    </w:p>
    <w:p>
      <w:pPr>
        <w:pStyle w:val="Heading2"/>
        <w:numPr>
          <w:ilvl w:val="0"/>
          <w:numId w:val="0"/>
        </w:numPr>
        <w:spacing w:line="560" w:lineRule="exact"/>
        <w:ind w:firstLine="560" w:firstLineChars="200"/>
        <w:rPr>
          <w:rFonts w:eastAsia="楷体_GB2312"/>
          <w:i w:val="0"/>
          <w:sz w:val="28"/>
          <w:szCs w:val="28"/>
        </w:rPr>
      </w:pPr>
      <w:r>
        <w:rPr>
          <w:rFonts w:eastAsia="楷体_GB2312" w:hint="eastAsia"/>
          <w:i w:val="0"/>
          <w:sz w:val="28"/>
          <w:szCs w:val="28"/>
          <w:lang w:eastAsia="zh-CN"/>
        </w:rPr>
        <w:t>（</w:t>
      </w:r>
      <w:r>
        <w:rPr>
          <w:rFonts w:eastAsia="楷体_GB2312" w:hint="eastAsia"/>
          <w:i w:val="0"/>
          <w:sz w:val="28"/>
          <w:szCs w:val="28"/>
          <w:lang w:val="en-US" w:eastAsia="zh-CN"/>
        </w:rPr>
        <w:t>四</w:t>
      </w:r>
      <w:r>
        <w:rPr>
          <w:rFonts w:eastAsia="楷体_GB2312" w:hint="eastAsia"/>
          <w:i w:val="0"/>
          <w:sz w:val="28"/>
          <w:szCs w:val="28"/>
          <w:lang w:eastAsia="zh-CN"/>
        </w:rPr>
        <w:t>）</w:t>
      </w:r>
      <w:r>
        <w:rPr>
          <w:rFonts w:eastAsia="楷体_GB2312"/>
          <w:i w:val="0"/>
          <w:sz w:val="28"/>
          <w:szCs w:val="28"/>
        </w:rPr>
        <w:t>效益情况</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经济效益指标方面：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无</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社会效益指标方面：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提高办学水平</w:t>
      </w:r>
      <w:r>
        <w:rPr>
          <w:rFonts w:ascii="仿宋_GB2312" w:eastAsia="仿宋_GB2312" w:hAnsi="仿宋_GB2312" w:cs="仿宋_GB2312" w:hint="eastAsia"/>
          <w:sz w:val="28"/>
          <w:szCs w:val="28"/>
        </w:rPr>
        <w:t>=显著提升</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提高学校业务保障能力水平</w:t>
      </w:r>
      <w:r>
        <w:rPr>
          <w:rFonts w:ascii="仿宋_GB2312" w:eastAsia="仿宋_GB2312" w:hAnsi="仿宋_GB2312" w:cs="仿宋_GB2312" w:hint="eastAsia"/>
          <w:sz w:val="28"/>
          <w:szCs w:val="28"/>
        </w:rPr>
        <w:t>=显著提升</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可持续影响指标方面：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综合使用率</w:t>
      </w:r>
      <w:r>
        <w:rPr>
          <w:rFonts w:ascii="仿宋_GB2312" w:eastAsia="仿宋_GB2312" w:hAnsi="仿宋_GB2312" w:cs="仿宋_GB2312" w:hint="eastAsia"/>
          <w:sz w:val="28"/>
          <w:szCs w:val="28"/>
        </w:rPr>
        <w:t>≥95%</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满意度指标方面：</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学生满意度</w:t>
      </w:r>
      <w:r>
        <w:rPr>
          <w:rFonts w:ascii="仿宋_GB2312" w:eastAsia="仿宋_GB2312" w:hAnsi="仿宋_GB2312" w:cs="仿宋_GB2312" w:hint="eastAsia"/>
          <w:sz w:val="28"/>
          <w:szCs w:val="28"/>
        </w:rPr>
        <w:t>≥95%</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教师满意度</w:t>
      </w:r>
      <w:r>
        <w:rPr>
          <w:rFonts w:ascii="仿宋_GB2312" w:eastAsia="仿宋_GB2312" w:hAnsi="仿宋_GB2312" w:cs="仿宋_GB2312" w:hint="eastAsia"/>
          <w:sz w:val="28"/>
          <w:szCs w:val="28"/>
        </w:rPr>
        <w:t>≥95%</w:t>
      </w:r>
    </w:p>
    <w:p>
      <w:pPr>
        <w:pStyle w:val="Heading1"/>
        <w:spacing w:line="560" w:lineRule="exact"/>
        <w:ind w:firstLine="585" w:firstLineChars="209"/>
        <w:rPr>
          <w:rFonts w:ascii="黑体" w:eastAsia="黑体" w:hAnsi="黑体"/>
          <w:b w:val="0"/>
          <w:bCs w:val="0"/>
          <w:sz w:val="28"/>
          <w:szCs w:val="28"/>
        </w:rPr>
      </w:pPr>
      <w:r>
        <w:rPr>
          <w:rFonts w:ascii="黑体" w:eastAsia="黑体" w:hAnsi="黑体"/>
          <w:b w:val="0"/>
          <w:bCs w:val="0"/>
          <w:sz w:val="28"/>
          <w:szCs w:val="28"/>
        </w:rPr>
        <w:t>五、主要经验及做法、存在的问题及原因分析</w:t>
      </w:r>
    </w:p>
    <w:p>
      <w:pPr>
        <w:pStyle w:val="Heading2"/>
        <w:spacing w:line="560" w:lineRule="exact"/>
        <w:ind w:firstLine="585" w:firstLineChars="209"/>
        <w:rPr>
          <w:rFonts w:eastAsia="楷体_GB2312"/>
          <w:i w:val="0"/>
          <w:sz w:val="28"/>
          <w:szCs w:val="28"/>
        </w:rPr>
      </w:pPr>
      <w:r>
        <w:rPr>
          <w:rFonts w:eastAsia="楷体_GB2312"/>
          <w:i w:val="0"/>
          <w:sz w:val="28"/>
          <w:szCs w:val="28"/>
        </w:rPr>
        <w:t>（一）主要经验及做法</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加强项目实施管理。采取开展调研、中期评估等有效管理措施，促进各项目顺利实施。加强项目资金管理。做到手续完备、专账管理、专人负责、专户存储、账目清楚。工作过程中，我单位严格规范财务和稽查考核制度，严格审批程序。本项目资金审批严格依据相关制度执行。通过严格规范的工作程序，确保资金专款专用。</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Heading2"/>
        <w:numPr>
          <w:ilvl w:val="0"/>
          <w:numId w:val="0"/>
        </w:numPr>
        <w:spacing w:line="560" w:lineRule="exact"/>
        <w:ind w:firstLine="560" w:firstLineChars="200"/>
        <w:rPr>
          <w:rFonts w:eastAsia="楷体_GB2312"/>
          <w:i w:val="0"/>
          <w:sz w:val="28"/>
          <w:szCs w:val="28"/>
        </w:rPr>
      </w:pPr>
      <w:r>
        <w:rPr>
          <w:rFonts w:eastAsia="楷体_GB2312" w:hint="eastAsia"/>
          <w:i w:val="0"/>
          <w:sz w:val="28"/>
          <w:szCs w:val="28"/>
          <w:lang w:eastAsia="zh-CN"/>
        </w:rPr>
        <w:t>（</w:t>
      </w:r>
      <w:r>
        <w:rPr>
          <w:rFonts w:eastAsia="楷体_GB2312" w:hint="eastAsia"/>
          <w:i w:val="0"/>
          <w:sz w:val="28"/>
          <w:szCs w:val="28"/>
          <w:lang w:val="en-US" w:eastAsia="zh-CN"/>
        </w:rPr>
        <w:t>二</w:t>
      </w:r>
      <w:r>
        <w:rPr>
          <w:rFonts w:eastAsia="楷体_GB2312" w:hint="eastAsia"/>
          <w:i w:val="0"/>
          <w:sz w:val="28"/>
          <w:szCs w:val="28"/>
          <w:lang w:eastAsia="zh-CN"/>
        </w:rPr>
        <w:t>）</w:t>
      </w:r>
      <w:r>
        <w:rPr>
          <w:rFonts w:eastAsia="楷体_GB2312"/>
          <w:i w:val="0"/>
          <w:sz w:val="28"/>
          <w:szCs w:val="28"/>
        </w:rPr>
        <w:t>存在的问题及原因分析</w:t>
      </w:r>
    </w:p>
    <w:p>
      <w:pPr>
        <w:pStyle w:val="Heading3"/>
        <w:numPr>
          <w:ilvl w:val="0"/>
          <w:numId w:val="0"/>
        </w:numPr>
        <w:spacing w:line="560" w:lineRule="exact"/>
        <w:ind w:firstLine="560" w:firstLineChars="200"/>
        <w:rPr>
          <w:rFonts w:ascii="仿宋_GB2312" w:eastAsia="仿宋_GB2312"/>
          <w:sz w:val="28"/>
          <w:szCs w:val="28"/>
        </w:rPr>
      </w:pPr>
      <w:r>
        <w:rPr>
          <w:rFonts w:ascii="仿宋_GB2312" w:eastAsia="仿宋_GB2312" w:hint="eastAsia"/>
          <w:sz w:val="28"/>
          <w:szCs w:val="28"/>
          <w:lang w:val="en-US" w:eastAsia="zh-CN"/>
        </w:rPr>
        <w:t>1、</w:t>
      </w:r>
      <w:r>
        <w:rPr>
          <w:rFonts w:ascii="仿宋_GB2312" w:eastAsia="仿宋_GB2312"/>
          <w:sz w:val="28"/>
          <w:szCs w:val="28"/>
        </w:rPr>
        <w:t>存在的问题</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档案管理方面不够规范，出现相关材料缺失问题。</w:t>
      </w:r>
    </w:p>
    <w:p>
      <w:pPr>
        <w:pStyle w:val="Heading3"/>
        <w:numPr>
          <w:ilvl w:val="0"/>
          <w:numId w:val="0"/>
        </w:numPr>
        <w:spacing w:line="560" w:lineRule="exact"/>
        <w:ind w:firstLine="560" w:firstLineChars="200"/>
        <w:rPr>
          <w:rFonts w:ascii="仿宋_GB2312" w:eastAsia="仿宋_GB2312"/>
          <w:sz w:val="28"/>
          <w:szCs w:val="28"/>
        </w:rPr>
      </w:pPr>
      <w:r>
        <w:rPr>
          <w:rFonts w:ascii="仿宋_GB2312" w:eastAsia="仿宋_GB2312" w:hint="eastAsia"/>
          <w:sz w:val="28"/>
          <w:szCs w:val="28"/>
          <w:lang w:val="en-US" w:eastAsia="zh-CN"/>
        </w:rPr>
        <w:t>2、</w:t>
      </w:r>
      <w:r>
        <w:rPr>
          <w:rFonts w:ascii="仿宋_GB2312" w:eastAsia="仿宋_GB2312"/>
          <w:sz w:val="28"/>
          <w:szCs w:val="28"/>
        </w:rPr>
        <w:t>原因分析</w:t>
      </w:r>
    </w:p>
    <w:p>
      <w:pPr>
        <w:numPr>
          <w:ilvl w:val="0"/>
          <w:numId w:val="2"/>
        </w:num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工作人员缺乏经验。 2、工作人员之间衔接不够紧密。</w:t>
      </w:r>
    </w:p>
    <w:p>
      <w:pPr>
        <w:pStyle w:val="Heading1"/>
        <w:numPr>
          <w:ilvl w:val="0"/>
          <w:numId w:val="0"/>
        </w:numPr>
        <w:spacing w:line="560" w:lineRule="exact"/>
        <w:ind w:firstLine="560" w:firstLineChars="200"/>
        <w:rPr>
          <w:rFonts w:ascii="黑体" w:eastAsia="黑体" w:hAnsi="黑体"/>
          <w:b w:val="0"/>
          <w:bCs w:val="0"/>
          <w:sz w:val="28"/>
          <w:szCs w:val="28"/>
        </w:rPr>
      </w:pPr>
      <w:r>
        <w:rPr>
          <w:rFonts w:ascii="黑体" w:eastAsia="黑体" w:hAnsi="黑体" w:hint="eastAsia"/>
          <w:b w:val="0"/>
          <w:bCs w:val="0"/>
          <w:sz w:val="28"/>
          <w:szCs w:val="28"/>
          <w:lang w:val="en-US" w:eastAsia="zh-CN"/>
        </w:rPr>
        <w:t>六、</w:t>
      </w:r>
      <w:r>
        <w:rPr>
          <w:rFonts w:ascii="黑体" w:eastAsia="黑体" w:hAnsi="黑体"/>
          <w:b w:val="0"/>
          <w:bCs w:val="0"/>
          <w:sz w:val="28"/>
          <w:szCs w:val="28"/>
        </w:rPr>
        <w:t>有关建议</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1. 加强档案管理。</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 xml:space="preserve"> 严格债务化解审批流程。</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3．严格按照化债资金管理办法要求清偿债务资金。</w:t>
      </w:r>
    </w:p>
    <w:p>
      <w:pPr>
        <w:pStyle w:val="Heading1"/>
        <w:numPr>
          <w:ilvl w:val="0"/>
          <w:numId w:val="0"/>
        </w:numPr>
        <w:spacing w:line="560" w:lineRule="exact"/>
        <w:ind w:firstLine="560" w:firstLineChars="200"/>
        <w:rPr>
          <w:rFonts w:ascii="黑体" w:eastAsia="黑体" w:hAnsi="黑体"/>
          <w:b w:val="0"/>
          <w:bCs w:val="0"/>
          <w:sz w:val="28"/>
          <w:szCs w:val="28"/>
        </w:rPr>
      </w:pPr>
      <w:r>
        <w:rPr>
          <w:rFonts w:ascii="黑体" w:eastAsia="黑体" w:hAnsi="黑体" w:hint="eastAsia"/>
          <w:b w:val="0"/>
          <w:bCs w:val="0"/>
          <w:sz w:val="28"/>
          <w:szCs w:val="28"/>
          <w:lang w:val="en-US" w:eastAsia="zh-CN"/>
        </w:rPr>
        <w:t>七、</w:t>
      </w:r>
      <w:r>
        <w:rPr>
          <w:rFonts w:ascii="黑体" w:eastAsia="黑体" w:hAnsi="黑体"/>
          <w:b w:val="0"/>
          <w:bCs w:val="0"/>
          <w:sz w:val="28"/>
          <w:szCs w:val="28"/>
        </w:rPr>
        <w:t>其他需要说明的问题</w:t>
      </w:r>
    </w:p>
    <w:p>
      <w:pPr>
        <w:spacing w:line="560" w:lineRule="exact"/>
        <w:ind w:firstLine="641"/>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无</w:t>
      </w:r>
    </w:p>
    <w:p>
      <w:pPr>
        <w:rPr>
          <w:rFonts w:ascii="仿宋_GB2312" w:eastAsia="仿宋_GB2312" w:hAnsi="仿宋_GB2312" w:cs="仿宋_GB2312"/>
          <w:sz w:val="28"/>
          <w:szCs w:val="28"/>
        </w:rPr>
      </w:pPr>
    </w:p>
    <w:p>
      <w:pPr>
        <w:pStyle w:val="Title"/>
        <w:jc w:val="both"/>
        <w:rPr>
          <w:rFonts w:ascii="Times New Roman" w:hAnsi="Times New Roman"/>
          <w:sz w:val="28"/>
          <w:szCs w:val="28"/>
        </w:rPr>
        <w:sectPr>
          <w:footerReference w:type="default" r:id="rId5"/>
          <w:pgSz w:w="11906" w:h="16838"/>
          <w:pgMar w:top="1440" w:right="1558" w:bottom="1440" w:left="1800" w:header="851" w:footer="992" w:gutter="0"/>
          <w:cols w:num="1" w:space="425"/>
          <w:docGrid w:type="lines" w:linePitch="312" w:charSpace="0"/>
        </w:sectPr>
      </w:pPr>
    </w:p>
    <w:p>
      <w:pPr>
        <w:spacing w:line="540" w:lineRule="exact"/>
        <w:rPr>
          <w:rStyle w:val="Strong"/>
          <w:rFonts w:eastAsia="黑体"/>
          <w:bCs w:val="0"/>
          <w:spacing w:val="-4"/>
          <w:sz w:val="28"/>
          <w:szCs w:val="28"/>
        </w:rPr>
      </w:pPr>
    </w:p>
    <w:p>
      <w:pPr>
        <w:spacing w:line="540" w:lineRule="exact"/>
        <w:ind w:firstLine="640"/>
        <w:rPr>
          <w:rStyle w:val="Strong"/>
          <w:rFonts w:eastAsia="黑体"/>
          <w:bCs w:val="0"/>
          <w:spacing w:val="-4"/>
          <w:sz w:val="28"/>
          <w:szCs w:val="28"/>
        </w:rPr>
      </w:pPr>
    </w:p>
    <w:p>
      <w:pPr>
        <w:spacing w:line="540" w:lineRule="exact"/>
        <w:ind w:firstLine="640"/>
        <w:rPr>
          <w:rStyle w:val="Strong"/>
          <w:rFonts w:eastAsia="黑体"/>
          <w:bCs w:val="0"/>
          <w:spacing w:val="-4"/>
          <w:sz w:val="28"/>
          <w:szCs w:val="28"/>
        </w:rPr>
      </w:pPr>
    </w:p>
    <w:p>
      <w:pPr>
        <w:spacing w:line="540" w:lineRule="exact"/>
        <w:ind w:firstLine="640"/>
        <w:rPr>
          <w:rStyle w:val="Strong"/>
          <w:rFonts w:eastAsia="黑体"/>
          <w:bCs w:val="0"/>
          <w:spacing w:val="-4"/>
          <w:sz w:val="28"/>
          <w:szCs w:val="28"/>
        </w:rPr>
      </w:pPr>
    </w:p>
    <w:p>
      <w:pPr>
        <w:spacing w:line="540" w:lineRule="exact"/>
        <w:rPr>
          <w:rStyle w:val="Strong"/>
          <w:rFonts w:eastAsia="仿宋"/>
          <w:b w:val="0"/>
          <w:spacing w:val="-4"/>
          <w:sz w:val="28"/>
          <w:szCs w:val="28"/>
        </w:rPr>
      </w:pPr>
    </w:p>
    <w:sectPr>
      <w:pgSz w:w="16838" w:h="11906" w:orient="landscape"/>
      <w:pgMar w:top="1800" w:right="1440" w:bottom="1558" w:left="144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modern"/>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richText/>
    </w:sdtPr>
    <w:sdtContent>
      <w:p>
        <w:pPr>
          <w:pStyle w:val="Footer"/>
          <w:jc w:val="center"/>
        </w:pPr>
        <w:r>
          <w:fldChar w:fldCharType="begin"/>
        </w:r>
        <w:r>
          <w:instrText>PAGE   \* MERGEFORMAT</w:instrText>
        </w:r>
        <w:r>
          <w:fldChar w:fldCharType="separate"/>
        </w:r>
        <w:r>
          <w:rPr>
            <w:lang w:val="zh-CN"/>
          </w:rPr>
          <w:t>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DEF60FE1"/>
    <w:multiLevelType w:val="singleLevel"/>
    <w:tmpl w:val="DEF60FE1"/>
    <w:lvl w:ilvl="0">
      <w:start w:val="1"/>
      <w:numFmt w:val="decimal"/>
      <w:suff w:val="nothing"/>
      <w:lvlText w:val="（%1）"/>
      <w:lvlJc w:val="left"/>
    </w:lvl>
  </w:abstractNum>
  <w:abstractNum w:abstractNumId="1">
    <w:nsid w:val="F43F6474"/>
    <w:multiLevelType w:val="singleLevel"/>
    <w:tmpl w:val="F43F6474"/>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262DF"/>
    <w:rsid w:val="00146AAD"/>
    <w:rsid w:val="001B3A40"/>
    <w:rsid w:val="003C18BC"/>
    <w:rsid w:val="00430B95"/>
    <w:rsid w:val="004366A8"/>
    <w:rsid w:val="00464900"/>
    <w:rsid w:val="00502BA7"/>
    <w:rsid w:val="005162F1"/>
    <w:rsid w:val="00535153"/>
    <w:rsid w:val="00554F82"/>
    <w:rsid w:val="0056390D"/>
    <w:rsid w:val="005719B0"/>
    <w:rsid w:val="005D10D6"/>
    <w:rsid w:val="007806A5"/>
    <w:rsid w:val="00855E3A"/>
    <w:rsid w:val="00920DA0"/>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66D6EAA"/>
    <w:rsid w:val="06DC1681"/>
    <w:rsid w:val="077345AE"/>
    <w:rsid w:val="084F4248"/>
    <w:rsid w:val="08C662D4"/>
    <w:rsid w:val="09BD4D95"/>
    <w:rsid w:val="0B0F58D6"/>
    <w:rsid w:val="0D411B65"/>
    <w:rsid w:val="0F8D41CB"/>
    <w:rsid w:val="11C75270"/>
    <w:rsid w:val="12637CC3"/>
    <w:rsid w:val="12795740"/>
    <w:rsid w:val="12E657C5"/>
    <w:rsid w:val="133C6E2A"/>
    <w:rsid w:val="167C7687"/>
    <w:rsid w:val="168B3546"/>
    <w:rsid w:val="1A2374E0"/>
    <w:rsid w:val="1C317CE2"/>
    <w:rsid w:val="1DD45808"/>
    <w:rsid w:val="1DED42AC"/>
    <w:rsid w:val="1E5E438D"/>
    <w:rsid w:val="20005763"/>
    <w:rsid w:val="20FB313D"/>
    <w:rsid w:val="220B4804"/>
    <w:rsid w:val="282475E3"/>
    <w:rsid w:val="284A54A2"/>
    <w:rsid w:val="29E421D9"/>
    <w:rsid w:val="2AEA4A13"/>
    <w:rsid w:val="2C6100C1"/>
    <w:rsid w:val="2D34432A"/>
    <w:rsid w:val="30760484"/>
    <w:rsid w:val="3235157C"/>
    <w:rsid w:val="3264220D"/>
    <w:rsid w:val="3963178C"/>
    <w:rsid w:val="3C041AC0"/>
    <w:rsid w:val="3CED0699"/>
    <w:rsid w:val="3EB02FD6"/>
    <w:rsid w:val="41CC2676"/>
    <w:rsid w:val="420847F8"/>
    <w:rsid w:val="46B21672"/>
    <w:rsid w:val="4B9A295F"/>
    <w:rsid w:val="4CAE7BEA"/>
    <w:rsid w:val="4F552460"/>
    <w:rsid w:val="4F86381A"/>
    <w:rsid w:val="4FCC6863"/>
    <w:rsid w:val="500A214A"/>
    <w:rsid w:val="50672A9E"/>
    <w:rsid w:val="522D604D"/>
    <w:rsid w:val="5297585E"/>
    <w:rsid w:val="52AD7D6F"/>
    <w:rsid w:val="5549519D"/>
    <w:rsid w:val="5557596B"/>
    <w:rsid w:val="5B596DFC"/>
    <w:rsid w:val="5DF03945"/>
    <w:rsid w:val="5F03526B"/>
    <w:rsid w:val="62314002"/>
    <w:rsid w:val="637C2815"/>
    <w:rsid w:val="66805A25"/>
    <w:rsid w:val="682144B7"/>
    <w:rsid w:val="6B503F77"/>
    <w:rsid w:val="6EAC08E2"/>
    <w:rsid w:val="6F5C4B00"/>
    <w:rsid w:val="7A353D0B"/>
    <w:rsid w:val="7CB927D8"/>
    <w:rsid w:val="7D3A5E2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semiHidden="0" w:uiPriority="0" w:unhideWhenUsed="0" w:qFormat="1"/>
    <w:lsdException w:name="Body Text First Indent 2" w:semiHidden="0" w:uiPriority="0" w:unhideWhenUsed="0" w:qFormat="1"/>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FirstIndent"/>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1"/>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2"/>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3"/>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4"/>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5"/>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6"/>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7"/>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8"/>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9"/>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BodyTextFirstIndent">
    <w:name w:val="Body Text First Indent"/>
    <w:basedOn w:val="BodyText"/>
    <w:qFormat/>
    <w:pPr>
      <w:spacing w:after="0"/>
      <w:ind w:firstLine="200" w:firstLineChars="200"/>
    </w:pPr>
  </w:style>
  <w:style w:type="paragraph" w:styleId="BodyText">
    <w:name w:val="Body Text"/>
    <w:basedOn w:val="Normal"/>
    <w:qFormat/>
    <w:pPr>
      <w:spacing w:after="120"/>
    </w:p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a5"/>
    <w:uiPriority w:val="99"/>
    <w:semiHidden/>
    <w:unhideWhenUsed/>
    <w:qFormat/>
    <w:rPr>
      <w:sz w:val="18"/>
      <w:szCs w:val="18"/>
    </w:rPr>
  </w:style>
  <w:style w:type="paragraph" w:styleId="Footer">
    <w:name w:val="footer"/>
    <w:basedOn w:val="Normal"/>
    <w:link w:val="a4"/>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a3"/>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a0"/>
    <w:uiPriority w:val="11"/>
    <w:qFormat/>
    <w:pPr>
      <w:widowControl/>
      <w:spacing w:after="60"/>
      <w:jc w:val="center"/>
      <w:outlineLvl w:val="1"/>
    </w:pPr>
    <w:rPr>
      <w:rFonts w:asciiTheme="majorHAnsi" w:eastAsiaTheme="majorEastAsia" w:hAnsiTheme="majorHAnsi"/>
      <w:kern w:val="0"/>
      <w:sz w:val="24"/>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rPr>
  </w:style>
  <w:style w:type="paragraph" w:styleId="Title">
    <w:name w:val="Title"/>
    <w:basedOn w:val="Normal"/>
    <w:next w:val="Normal"/>
    <w:link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BodyTextFirstIndent2">
    <w:name w:val="Body Text First Indent 2"/>
    <w:basedOn w:val="BodyTextIndent"/>
    <w:qFormat/>
    <w:pPr>
      <w:ind w:firstLine="420" w:firstLineChars="200"/>
    </w:p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styleId="CommentReference">
    <w:name w:val="annotation reference"/>
    <w:uiPriority w:val="99"/>
    <w:unhideWhenUsed/>
    <w:qFormat/>
    <w:rPr>
      <w:sz w:val="21"/>
      <w:szCs w:val="21"/>
    </w:rPr>
  </w:style>
  <w:style w:type="character" w:customStyle="1" w:styleId="1">
    <w:name w:val="标题 1 字符"/>
    <w:basedOn w:val="DefaultParagraphFont"/>
    <w:link w:val="Heading1"/>
    <w:uiPriority w:val="9"/>
    <w:qFormat/>
    <w:rPr>
      <w:rFonts w:asciiTheme="majorHAnsi" w:eastAsiaTheme="majorEastAsia" w:hAnsiTheme="majorHAnsi"/>
      <w:b/>
      <w:bCs/>
      <w:kern w:val="32"/>
      <w:sz w:val="32"/>
      <w:szCs w:val="32"/>
    </w:rPr>
  </w:style>
  <w:style w:type="character" w:customStyle="1" w:styleId="2">
    <w:name w:val="标题 2 字符"/>
    <w:basedOn w:val="DefaultParagraphFont"/>
    <w:link w:val="Heading2"/>
    <w:uiPriority w:val="9"/>
    <w:qFormat/>
    <w:rPr>
      <w:rFonts w:asciiTheme="majorHAnsi" w:eastAsiaTheme="majorEastAsia" w:hAnsiTheme="majorHAnsi"/>
      <w:b/>
      <w:bCs/>
      <w:i/>
      <w:iCs/>
      <w:sz w:val="28"/>
      <w:szCs w:val="28"/>
    </w:rPr>
  </w:style>
  <w:style w:type="character" w:customStyle="1" w:styleId="3">
    <w:name w:val="标题 3 字符"/>
    <w:basedOn w:val="DefaultParagraphFont"/>
    <w:link w:val="Heading3"/>
    <w:uiPriority w:val="9"/>
    <w:qFormat/>
    <w:rPr>
      <w:rFonts w:asciiTheme="majorHAnsi" w:eastAsiaTheme="majorEastAsia" w:hAnsiTheme="majorHAnsi"/>
      <w:b/>
      <w:bCs/>
      <w:sz w:val="26"/>
      <w:szCs w:val="26"/>
    </w:rPr>
  </w:style>
  <w:style w:type="character" w:customStyle="1" w:styleId="4">
    <w:name w:val="标题 4 字符"/>
    <w:basedOn w:val="DefaultParagraphFont"/>
    <w:link w:val="Heading4"/>
    <w:uiPriority w:val="9"/>
    <w:semiHidden/>
    <w:qFormat/>
    <w:rPr>
      <w:b/>
      <w:bCs/>
      <w:sz w:val="28"/>
      <w:szCs w:val="28"/>
    </w:rPr>
  </w:style>
  <w:style w:type="character" w:customStyle="1" w:styleId="5">
    <w:name w:val="标题 5 字符"/>
    <w:basedOn w:val="DefaultParagraphFont"/>
    <w:link w:val="Heading5"/>
    <w:uiPriority w:val="9"/>
    <w:semiHidden/>
    <w:qFormat/>
    <w:rPr>
      <w:b/>
      <w:bCs/>
      <w:i/>
      <w:iCs/>
      <w:sz w:val="26"/>
      <w:szCs w:val="26"/>
    </w:rPr>
  </w:style>
  <w:style w:type="character" w:customStyle="1" w:styleId="6">
    <w:name w:val="标题 6 字符"/>
    <w:basedOn w:val="DefaultParagraphFont"/>
    <w:link w:val="Heading6"/>
    <w:uiPriority w:val="9"/>
    <w:semiHidden/>
    <w:qFormat/>
    <w:rPr>
      <w:b/>
      <w:bCs/>
    </w:rPr>
  </w:style>
  <w:style w:type="character" w:customStyle="1" w:styleId="7">
    <w:name w:val="标题 7 字符"/>
    <w:basedOn w:val="DefaultParagraphFont"/>
    <w:link w:val="Heading7"/>
    <w:uiPriority w:val="9"/>
    <w:semiHidden/>
    <w:qFormat/>
    <w:rPr>
      <w:sz w:val="24"/>
      <w:szCs w:val="24"/>
    </w:rPr>
  </w:style>
  <w:style w:type="character" w:customStyle="1" w:styleId="8">
    <w:name w:val="标题 8 字符"/>
    <w:basedOn w:val="DefaultParagraphFont"/>
    <w:link w:val="Heading8"/>
    <w:uiPriority w:val="9"/>
    <w:semiHidden/>
    <w:qFormat/>
    <w:rPr>
      <w:i/>
      <w:iCs/>
      <w:sz w:val="24"/>
      <w:szCs w:val="24"/>
    </w:rPr>
  </w:style>
  <w:style w:type="character" w:customStyle="1" w:styleId="9">
    <w:name w:val="标题 9 字符"/>
    <w:basedOn w:val="DefaultParagraphFont"/>
    <w:link w:val="Heading9"/>
    <w:uiPriority w:val="9"/>
    <w:semiHidden/>
    <w:qFormat/>
    <w:rPr>
      <w:rFonts w:asciiTheme="majorHAnsi" w:eastAsiaTheme="majorEastAsia" w:hAnsiTheme="majorHAnsi"/>
    </w:rPr>
  </w:style>
  <w:style w:type="character" w:customStyle="1" w:styleId="a">
    <w:name w:val="标题 字符"/>
    <w:basedOn w:val="DefaultParagraphFont"/>
    <w:link w:val="Title"/>
    <w:uiPriority w:val="10"/>
    <w:qFormat/>
    <w:rPr>
      <w:rFonts w:asciiTheme="majorHAnsi" w:eastAsiaTheme="majorEastAsia" w:hAnsiTheme="majorHAnsi"/>
      <w:b/>
      <w:bCs/>
      <w:kern w:val="28"/>
      <w:sz w:val="32"/>
      <w:szCs w:val="32"/>
    </w:rPr>
  </w:style>
  <w:style w:type="character" w:customStyle="1" w:styleId="a0">
    <w:name w:val="副标题 字符"/>
    <w:basedOn w:val="DefaultParagraphFont"/>
    <w:link w:val="Subtitle"/>
    <w:uiPriority w:val="11"/>
    <w:qFormat/>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a1"/>
    <w:uiPriority w:val="29"/>
    <w:qFormat/>
    <w:pPr>
      <w:widowControl/>
      <w:jc w:val="left"/>
    </w:pPr>
    <w:rPr>
      <w:rFonts w:asciiTheme="minorHAnsi" w:eastAsiaTheme="minorEastAsia" w:hAnsiTheme="minorHAnsi"/>
      <w:i/>
      <w:kern w:val="0"/>
      <w:sz w:val="24"/>
    </w:rPr>
  </w:style>
  <w:style w:type="character" w:customStyle="1" w:styleId="a1">
    <w:name w:val="引用 字符"/>
    <w:basedOn w:val="DefaultParagraphFont"/>
    <w:link w:val="Quote"/>
    <w:uiPriority w:val="29"/>
    <w:qFormat/>
    <w:rPr>
      <w:i/>
      <w:sz w:val="24"/>
      <w:szCs w:val="24"/>
    </w:rPr>
  </w:style>
  <w:style w:type="paragraph" w:styleId="IntenseQuote">
    <w:name w:val="Intense Quote"/>
    <w:basedOn w:val="Normal"/>
    <w:next w:val="Normal"/>
    <w:link w:val="a2"/>
    <w:uiPriority w:val="30"/>
    <w:qFormat/>
    <w:pPr>
      <w:widowControl/>
      <w:ind w:left="720" w:right="720"/>
      <w:jc w:val="left"/>
    </w:pPr>
    <w:rPr>
      <w:rFonts w:asciiTheme="minorHAnsi" w:eastAsiaTheme="minorEastAsia" w:hAnsiTheme="minorHAnsi"/>
      <w:b/>
      <w:i/>
      <w:kern w:val="0"/>
      <w:sz w:val="24"/>
      <w:szCs w:val="22"/>
    </w:rPr>
  </w:style>
  <w:style w:type="character" w:customStyle="1" w:styleId="a2">
    <w:name w:val="明显引用 字符"/>
    <w:basedOn w:val="DefaultParagraphFont"/>
    <w:link w:val="IntenseQuote"/>
    <w:uiPriority w:val="30"/>
    <w:qFormat/>
    <w:rPr>
      <w:b/>
      <w:i/>
      <w:sz w:val="24"/>
    </w:rPr>
  </w:style>
  <w:style w:type="character" w:customStyle="1" w:styleId="10">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11">
    <w:name w:val="明显强调1"/>
    <w:basedOn w:val="DefaultParagraphFont"/>
    <w:uiPriority w:val="21"/>
    <w:qFormat/>
    <w:rPr>
      <w:b/>
      <w:i/>
      <w:sz w:val="24"/>
      <w:szCs w:val="24"/>
      <w:u w:val="single"/>
    </w:rPr>
  </w:style>
  <w:style w:type="character" w:customStyle="1" w:styleId="12">
    <w:name w:val="不明显参考1"/>
    <w:basedOn w:val="DefaultParagraphFont"/>
    <w:uiPriority w:val="31"/>
    <w:qFormat/>
    <w:rPr>
      <w:sz w:val="24"/>
      <w:szCs w:val="24"/>
      <w:u w:val="single"/>
    </w:rPr>
  </w:style>
  <w:style w:type="character" w:customStyle="1" w:styleId="13">
    <w:name w:val="明显参考1"/>
    <w:basedOn w:val="DefaultParagraphFont"/>
    <w:uiPriority w:val="32"/>
    <w:qFormat/>
    <w:rPr>
      <w:b/>
      <w:sz w:val="24"/>
      <w:u w:val="single"/>
    </w:rPr>
  </w:style>
  <w:style w:type="character" w:customStyle="1" w:styleId="14">
    <w:name w:val="书籍标题1"/>
    <w:basedOn w:val="DefaultParagraphFont"/>
    <w:uiPriority w:val="33"/>
    <w:qFormat/>
    <w:rPr>
      <w:rFonts w:asciiTheme="majorHAnsi" w:eastAsiaTheme="majorEastAsia" w:hAnsiTheme="majorHAnsi"/>
      <w:b/>
      <w:i/>
      <w:sz w:val="24"/>
      <w:szCs w:val="24"/>
    </w:rPr>
  </w:style>
  <w:style w:type="paragraph" w:customStyle="1" w:styleId="TOC1">
    <w:name w:val="TOC 标题1"/>
    <w:basedOn w:val="Heading1"/>
    <w:next w:val="Normal"/>
    <w:uiPriority w:val="39"/>
    <w:semiHidden/>
    <w:unhideWhenUsed/>
    <w:qFormat/>
    <w:pPr>
      <w:outlineLvl w:val="9"/>
    </w:pPr>
    <w:rPr>
      <w:lang w:eastAsia="en-US" w:bidi="en-US"/>
    </w:rPr>
  </w:style>
  <w:style w:type="character" w:customStyle="1" w:styleId="a3">
    <w:name w:val="页眉 字符"/>
    <w:basedOn w:val="DefaultParagraphFont"/>
    <w:link w:val="Header"/>
    <w:uiPriority w:val="99"/>
    <w:qFormat/>
    <w:rPr>
      <w:rFonts w:ascii="Calibri" w:eastAsia="宋体" w:hAnsi="Calibri"/>
      <w:kern w:val="2"/>
      <w:sz w:val="18"/>
      <w:szCs w:val="18"/>
    </w:rPr>
  </w:style>
  <w:style w:type="character" w:customStyle="1" w:styleId="a4">
    <w:name w:val="页脚 字符"/>
    <w:basedOn w:val="DefaultParagraphFont"/>
    <w:link w:val="Footer"/>
    <w:uiPriority w:val="99"/>
    <w:qFormat/>
    <w:rPr>
      <w:rFonts w:ascii="Calibri" w:eastAsia="宋体" w:hAnsi="Calibri"/>
      <w:kern w:val="2"/>
      <w:sz w:val="18"/>
      <w:szCs w:val="18"/>
    </w:rPr>
  </w:style>
  <w:style w:type="character" w:customStyle="1" w:styleId="a5">
    <w:name w:val="批注框文本 字符"/>
    <w:basedOn w:val="DefaultParagraphFont"/>
    <w:link w:val="BalloonText"/>
    <w:uiPriority w:val="99"/>
    <w:semiHidden/>
    <w:qFormat/>
    <w:rPr>
      <w:rFonts w:ascii="Times New Roman" w:eastAsia="宋体" w:hAnsi="Times New Roman"/>
      <w:kern w:val="2"/>
      <w:sz w:val="18"/>
      <w:szCs w:val="18"/>
    </w:rPr>
  </w:style>
  <w:style w:type="paragraph" w:customStyle="1" w:styleId="Heading20">
    <w:name w:val="Heading2"/>
    <w:next w:val="Normal"/>
    <w:qFormat/>
    <w:pPr>
      <w:keepNext/>
      <w:keepLines/>
      <w:widowControl w:val="0"/>
      <w:spacing w:before="260" w:after="260" w:line="413" w:lineRule="auto"/>
      <w:jc w:val="both"/>
    </w:pPr>
    <w:rPr>
      <w:rFonts w:ascii="Arial" w:eastAsia="黑体" w:hAnsi="Arial" w:cs="Times New Roman"/>
      <w:b/>
      <w:kern w:val="2"/>
      <w:sz w:val="32"/>
      <w:szCs w:val="22"/>
      <w:lang w:val="en-US" w:eastAsia="zh-CN" w:bidi="ar-SA"/>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Other1">
    <w:name w:val="Other|1"/>
    <w:basedOn w:val="Normal"/>
    <w:qFormat/>
    <w:pPr>
      <w:spacing w:line="437" w:lineRule="auto"/>
      <w:ind w:firstLine="400"/>
    </w:pPr>
    <w:rPr>
      <w:rFonts w:ascii="宋体" w:hAnsi="宋体" w:cs="宋体"/>
      <w:sz w:val="19"/>
      <w:szCs w:val="19"/>
      <w:lang w:val="zh-TW" w:eastAsia="zh-TW" w:bidi="zh-TW"/>
    </w:rPr>
  </w:style>
  <w:style w:type="paragraph" w:customStyle="1" w:styleId="WPSOffice1">
    <w:name w:val="WPSOffice手动目录 1"/>
    <w:qFormat/>
    <w:rPr>
      <w:rFonts w:ascii="等线" w:eastAsia="等线" w:hAnsi="等线" w:cs="Times New Roman"/>
      <w:lang w:val="en-US" w:eastAsia="zh-CN" w:bidi="ar-SA"/>
    </w:rPr>
  </w:style>
  <w:style w:type="paragraph" w:customStyle="1" w:styleId="WPSOffice2">
    <w:name w:val="WPSOffice手动目录 2"/>
    <w:qFormat/>
    <w:pPr>
      <w:ind w:leftChars="200"/>
    </w:pPr>
    <w:rPr>
      <w:rFonts w:ascii="等线" w:eastAsia="等线" w:hAnsi="等线" w:cs="Times New Roman"/>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7059</Words>
  <Characters>1178</Characters>
  <Application>Microsoft Office Word</Application>
  <DocSecurity>0</DocSecurity>
  <Lines>9</Lines>
  <Paragraphs>16</Paragraphs>
  <ScaleCrop>false</ScaleCrop>
  <Company/>
  <LinksUpToDate>false</LinksUpToDate>
  <CharactersWithSpaces>8221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3</cp:revision>
  <cp:lastPrinted>2019-12-31T08:02:00Z</cp:lastPrinted>
  <dcterms:created xsi:type="dcterms:W3CDTF">2020-07-04T08:35:00Z</dcterms:created>
  <dcterms:modified xsi:type="dcterms:W3CDTF">2023-02-14T03:42:32Z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EF73CFF753F347D3821DCB2BB77E770E</vt:lpwstr>
  </property>
  <property fmtid="{D5CDD505-2E9C-101B-9397-08002B2CF9AE}" pid="3" name="KSOProductBuildVer">
    <vt:lpwstr>2052-11.8.2.8555</vt:lpwstr>
  </property>
  <property fmtid="{D5CDD505-2E9C-101B-9397-08002B2CF9AE}" pid="4" name="KSOSaveFontToCloudKey">
    <vt:lpwstr>229835342_cloud</vt:lpwstr>
  </property>
</Properties>
</file>