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新疆塔城地区乌苏市人民医院2022年度部门决算公开说明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32314"/>
      <w:bookmarkStart w:id="2" w:name="_Toc24028"/>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738"/>
      <w:bookmarkStart w:id="4" w:name="_Toc30567"/>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乌苏市人民医院创建于1940年，位于乌苏市和田河路，占地面积3.6万平方米，业务用房面积4万平方米，是一所集医疗、教学、科研、预防、保健为一体的综合二级甲等医院、爱婴医院、公立医院，也是城镇职工基本医疗保险、城乡居民医疗保险、商业医疗保险等定点医院，承担着辖区内36.5万人口、本地23万各族群众的基本医疗、预防保健、突发公共卫生、急危重症抢救、各类传染疾病的防治等公益医疗卫生的任务。</w:t>
      </w:r>
      <w:r>
        <w:rPr>
          <w:rFonts w:ascii="仿宋_GB2312" w:eastAsia="仿宋_GB2312" w:hint="eastAsia"/>
          <w:sz w:val="32"/>
          <w:szCs w:val="32"/>
          <w:highlight w:val="none"/>
        </w:rPr>
        <w:br/>
      </w:r>
      <w:r>
        <w:rPr>
          <w:rFonts w:ascii="仿宋_GB2312" w:eastAsia="仿宋_GB2312" w:hint="eastAsia"/>
          <w:sz w:val="32"/>
          <w:szCs w:val="32"/>
          <w:highlight w:val="none"/>
        </w:rPr>
        <w:t>　　2022年门诊量275143人次（其中120急救年出诊2.6万人次），体检14505人次，住院16055人次，开展手术9735余例，抢救各类急、危、重症病人6942人次，抢救成功率89.72%，病床使用率65.59%，平均住院日7.52天。</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新疆塔城地区乌苏市人民医院2022年度，实有人数611人，其中：在职人员422人，离休人员4人，退休人员185人。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人民医院部门决算包括：新疆塔城地区乌苏市人民医院决算。单位无下属预算单位，下设48个处室，分别是：行政办、财务科、院党政办、司机班、供应室、口腔科、功能科、检验科、病理科、介入科、急诊科、五官科、纪检监察室、呼吸内科、心内科、神内科、骨科、普外科、妇产科、手麻科、儿科、一门诊、医学康复科、药剂科、院感办、质控办、中医科、物价办、护理部、信息科、感染科、总务科、神外科、人力资源科、医务科、重症医学科、消化肾病科、体检科、影像科、设备科、血液透析室、日间手术肛肠科、全科医学科、公共卫生科、社会公共事务部、资产科、皮肤科、发热门诊。</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29374"/>
      <w:bookmarkStart w:id="8"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收入总计35,755.91万元</w:t>
      </w:r>
      <w:r>
        <w:rPr>
          <w:rFonts w:ascii="仿宋_GB2312" w:eastAsia="仿宋_GB2312" w:hint="eastAsia"/>
          <w:sz w:val="32"/>
          <w:szCs w:val="32"/>
          <w:highlight w:val="none"/>
          <w:lang w:eastAsia="zh-CN"/>
        </w:rPr>
        <w:t>，其中：本年收入合计35,755.91万元，使用非财政拨款结余0.00万元，年初结转和结余0.00万元。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增加6,604.35万元，增长22.66%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w:t>
      </w:r>
      <w:r>
        <w:rPr>
          <w:rFonts w:ascii="仿宋_GB2312" w:eastAsia="仿宋_GB2312" w:hint="eastAsia"/>
          <w:sz w:val="32"/>
          <w:szCs w:val="32"/>
          <w:highlight w:val="none"/>
          <w:lang w:val="en-US" w:eastAsia="zh-CN"/>
        </w:rPr>
        <w:t>1、2022年补发2020年大绩效、13个月工资、补发基础性绩效、基本工资、2021年13个月工资、调标工资及绩效奖励金等支出。2、</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本年支出总计35,755.91万元</w:t>
      </w:r>
      <w:r>
        <w:rPr>
          <w:rFonts w:ascii="仿宋_GB2312" w:eastAsia="仿宋_GB2312" w:hint="eastAsia"/>
          <w:sz w:val="32"/>
          <w:szCs w:val="32"/>
          <w:highlight w:val="none"/>
          <w:lang w:eastAsia="zh-CN"/>
        </w:rPr>
        <w:t>，其中：本年支出合计35,746.03万元，结余分配9.88万元，年末结转和结余0.00万元。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，增加6,604.35万元，增长22.66%，主要原因是</w:t>
      </w:r>
      <w:r>
        <w:rPr>
          <w:rFonts w:ascii="仿宋_GB2312" w:eastAsia="仿宋_GB2312" w:hint="eastAsia"/>
          <w:sz w:val="32"/>
          <w:szCs w:val="32"/>
          <w:highlight w:val="none"/>
        </w:rPr>
        <w:t>：2022年8-12月疫情防控购置专业设备及卫生材料支出较大</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2142"/>
      <w:bookmarkStart w:id="12" w:name="_Toc1979"/>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35,755.91万元，其中：财政拨款收入15,338.50万元，占42.90%；上级补助收入0.00万元，占0.00%；事业收入20,379.48万元，占57.00%；经营收入0.00万元，占0.00%；附属单位上缴收入0.00万元，占0.00%；其他收入37.93万元，占0.11%。</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27961"/>
      <w:bookmarkStart w:id="14" w:name="_Toc1320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本年支出35,746.03万元，其中：基本支出25,735.80万元，占72.00%；项目支出10,010.23万元，占28.00%；上缴上级支出0.00万元，占0.00%；经营支出0.00万元，占0.00%；对附属单位补助支出0.00万元，占0.00%。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4393"/>
      <w:bookmarkStart w:id="16" w:name="_Toc26564"/>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财政拨款收入总计15,338.50万元，其中：年初财政拨款结转和结余0.00万元，财政拨款本年收入15,338.50万元。财政拨款收入总计与上年相比，增加7,381.45万元，增长</w:t>
      </w:r>
      <w:r>
        <w:rPr>
          <w:rFonts w:ascii="仿宋_GB2312" w:eastAsia="仿宋_GB2312" w:hint="eastAsia"/>
          <w:sz w:val="32"/>
          <w:szCs w:val="32"/>
          <w:highlight w:val="none"/>
          <w:lang w:val="en-US" w:eastAsia="zh-CN"/>
        </w:rPr>
        <w:t>92.77</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财政拨款支出总计15,338.50万元，其中：年末财政拨款结转和结余0.00万元，财政拨款本年支出15,338.50万元。财政拨款支出总计与上年相比，增加7,381.45万元，增长92.77%，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red"/>
        </w:rPr>
      </w:pPr>
      <w:r>
        <w:rPr>
          <w:rFonts w:ascii="仿宋_GB2312" w:eastAsia="仿宋_GB2312" w:hint="eastAsia"/>
          <w:sz w:val="32"/>
          <w:szCs w:val="32"/>
          <w:highlight w:val="none"/>
        </w:rPr>
        <w:t>与年初预算数相比情况：财政拨款收入总计年初预算数5,328.27万元，决算数15,338.50万元，预决算差异率187.87%，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lang w:val="en-US" w:eastAsia="zh-CN"/>
        </w:rPr>
        <w:t>本年</w:t>
      </w:r>
      <w:r>
        <w:rPr>
          <w:rFonts w:ascii="仿宋_GB2312" w:eastAsia="仿宋_GB2312" w:hint="eastAsia"/>
          <w:sz w:val="32"/>
          <w:szCs w:val="32"/>
          <w:highlight w:val="none"/>
        </w:rPr>
        <w:t>新增地方性政府债券资金用于综合病房楼、战时急救及地下人掩库房工程、规范化培训基地及消毒供应中心建设项目。财政拨款支出总计年初预算数5,328.27万元，决算数15,338.50万元，预决算差异率187.87%，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lang w:val="en-US" w:eastAsia="zh-CN"/>
        </w:rPr>
        <w:t>本年</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13833"/>
      <w:bookmarkStart w:id="18" w:name="_Toc20360"/>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none"/>
          <w:lang w:val="en-US"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一般公共预算财政拨款支出6,364.56万元，占本年支出合计的17.80%，与上年相比，增加2,408.17万元，增长60.87%，主要原因是：2022年补发在职人员基础性绩效奖、补发基本工资、绩效奖励金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2020年大绩效等支出。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1.社会保障和就业支出（类）689.37万元，占10.83%。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2.卫生健康支出（类）5,383.06万元，占84.58%。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3.农林水支出（类）1.65万元，占0.03%。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4.住房保障支出（类）270.57万元，占4.25%。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5.其他支出（类）19.91万元，占0.31%。</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行政事业单位养老支出（款）事业单位离退休（项）：支出决算数为124.89万元，比上年决算增加76.18万元，增长37.89%，主要原因是：2022年补发离休人员基础性绩效及工资、发放退休人员冬碳费、补发退休人员基础性绩效奖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376.32万元，比上年决算增加6.30万元，增长1.71%，主要原因是：2022年在职人员调资增资，故缴纳社保五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188.16万元，比上年决算增加3.15万元，增长1.70%，主要原因是：2022年在职人员调资增资，故缴纳社保五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卫生健康支出（类）公立医院（款）综合医院（项）：支出决算数为4,041.97万元，比上年决算增加1,500.45万元，增长59.04%，主要原因是：补发在职人员基础性绩效奖、补发基本工资、绩效奖励金、2020年大绩效等1030.93万元。当年在职人员职称晋升及普调工资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公立医院（款）其他公立医院支出（项）：支出决算数为522.05万元，比上年决算增加349.45万元，增长202.46%，主要原因是：2022年其他公立医院支出项目资金公立医院能力服务提升资金较上年有所增加，主要用于公立医院能力服务建设支付药品款、试剂款及设备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公共卫生（款）基本公共卫生服务（项）：支出决算数为11.72万元，比上年决算增加3.16万元，增长36.92%，主要原因是：2022年基本公共卫生服务项目资金较上年有所增加，主要用于支付全民体检、职业病防治的卫生材料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公共卫生（款）重大公共卫生服务（项）：支出决算数为64.50万元，比上年决算增加50.49万元，增长360.71%，主要原因是：2022年重大公共卫生服务项目资金较上年有所增加，主要用于支付结核病、重大传染病防治卫生材料款、疫情防控药品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卫生健康支出（类）公共卫生（款）突发公共卫生事件应急处理（项）：支出决算数为403.87万元，比上年决算增加403.87万元，增长100%，主要原因是：2022年突发公共卫生事件应急处理项目资金较上年有所增加，主要用于支付2022年8-12月疫情防控药品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卫生健康支出（类）公共卫生（款）其他公共卫生支出（项）：支出决算数为12.60万元，比上年决算减少3.99万元，下降24.05%，主要原因是：2022年其他公共卫生支出项目资金主要用于支付2022年全民体检卫生材料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10.卫生健康支出（类）行政事业单位医疗（款）事业单位医疗（项）：支出决算数为326.37万元，比上年决算减少4.97万元，下降1.50%，主要原因是：2022年退休3人，死亡2人，社保缴费人员减少，故事业单位医疗较上年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11.农林水支出（类）农业农村（款）其他农业农村支出（项）：支出决算数为1.65万元，比上年决算增加1.65万元，增长100%，主要原因是：2022年拨付2020年F工作经费1.65万元。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12.住房保障支出（类）住房改革支出（款）住房公积金（项）：支出决算数为270.57万元，比上年决算增加5.68万元，增长2.14%，主要原因是：2022年在职人员调资增资，故缴纳住房公积金基数增加。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13.其他支出（类）其他支出（款）其他支出（项）：支出决算数为19.91万元，比上年决算增加16.75万元，增长530.06%，主要原因是：本年拨付2021年及2022年F工作经费支出。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11146"/>
      <w:bookmarkStart w:id="20" w:name="_Toc30870"/>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2022年度一般公共预算财政拨款基本支出5,328.27万元，其中：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人员经费5,328.27万元，包括：基本工资、津贴补贴、奖金、机关事业单位基本养老保险缴费、职业年金缴费、职工基本医疗保险缴费、其他社会保障缴费、住房公积金、离休费、退休费、抚恤金、生活补助。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公用经费0.00万元。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21518"/>
      <w:bookmarkStart w:id="22" w:name="_Toc7190"/>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财政拨款“三公”经费支出决算0.00万元，比上年增加0.00万元，增长0.00%，主要原因是：我单位性质属于财政差额补助事业单位，无“三公”经费预算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，故2022年无“三公”经费支出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。其中：因公出国（境）费支出0.00万元，占0.00%，比上年增加0.00万元，增长0.00%，主要原因是：我单位性质属于财政差额补助事业单位，年初无因公出国（境）费预算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；公务用车购置及运行维护费支出0.00万元，占0.00%，比上年增加0.00万元，增长0.00%，主要原因是：我单位性质属于财政差额补助事业单位，年初无公务用车购置及运行维护费预算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，故2022年末无公务用车购置及运行维护费</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；公务接待费支出0.00万元，占0.00%，比上年增加0.00万元，增长0.00%，主要原因是：我单位性质属于财政差额补助事业单位，年初无公务接待费预算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因公出国（境）费支出0.00万元，开支内容包括我单位性质属于财政差额补助事业单位，年初无因公出国（境）费预算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性质属于财政差额补助事业单位，年初无公务用车购置及运行维护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，故2022年末无公务用车购置及运行维护费</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公务接待费0.00万元，开支内容包括我单位性质属于财政差额补助事业单位，年初无公务接待费预算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7927"/>
      <w:bookmarkStart w:id="24" w:name="_Toc5810"/>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2022年度政府性基金预算年初结转和结余0.00万元，财政拨款收入8,973.94万元，与上年相比，增加4,973.28万元，增长124.31%。主要原因是：</w:t>
      </w:r>
      <w:r>
        <w:rPr>
          <w:rFonts w:ascii="仿宋_GB2312" w:eastAsia="仿宋_GB2312" w:hint="eastAsia"/>
          <w:spacing w:val="0"/>
          <w:sz w:val="32"/>
          <w:szCs w:val="32"/>
          <w:highlight w:val="none"/>
          <w:lang w:val="en-US" w:eastAsia="zh-CN"/>
        </w:rPr>
        <w:t>新增</w:t>
      </w:r>
      <w:r>
        <w:rPr>
          <w:rFonts w:ascii="仿宋_GB2312" w:eastAsia="仿宋_GB2312" w:hint="eastAsia"/>
          <w:spacing w:val="0"/>
          <w:sz w:val="32"/>
          <w:szCs w:val="32"/>
          <w:highlight w:val="none"/>
        </w:rPr>
        <w:t>乌苏市人民医院综合病房楼、战时急救及地下人掩库房工程、规范化培训基地及消毒供应中心建设项目。政府性基金预算年末结转结余0.00万元，财政拨款支出8,973.94万元，与上年相比，增加4,973.28万元，增长124.31%。主要原因是：</w:t>
      </w:r>
      <w:r>
        <w:rPr>
          <w:rFonts w:ascii="仿宋_GB2312" w:eastAsia="仿宋_GB2312" w:hint="eastAsia"/>
          <w:spacing w:val="0"/>
          <w:sz w:val="32"/>
          <w:szCs w:val="32"/>
          <w:highlight w:val="none"/>
          <w:lang w:val="en-US" w:eastAsia="zh-CN"/>
        </w:rPr>
        <w:t>新增</w:t>
      </w:r>
      <w:r>
        <w:rPr>
          <w:rFonts w:ascii="仿宋_GB2312" w:eastAsia="仿宋_GB2312" w:hint="eastAsia"/>
          <w:spacing w:val="0"/>
          <w:sz w:val="32"/>
          <w:szCs w:val="32"/>
          <w:highlight w:val="none"/>
        </w:rPr>
        <w:t>乌苏市人民医院综合病房楼、战时急救及地下人掩库房工程、规范化培训基地及消毒供应中心建设项目。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政府性基金预算财政拨款支出8,973.94万元。</w:t>
      </w:r>
      <w:r>
        <w:rPr>
          <w:rFonts w:ascii="仿宋_GB2312" w:eastAsia="仿宋_GB2312" w:hint="eastAsia"/>
          <w:sz w:val="32"/>
          <w:szCs w:val="32"/>
        </w:rPr>
        <w:t>按功能分类科目</w:t>
      </w:r>
      <w:r>
        <w:rPr>
          <w:rFonts w:ascii="仿宋_GB2312" w:eastAsia="仿宋_GB2312" w:hint="eastAsia"/>
          <w:sz w:val="32"/>
          <w:szCs w:val="32"/>
          <w:lang w:eastAsia="zh-CN"/>
        </w:rPr>
        <w:t>项</w:t>
      </w:r>
      <w:r>
        <w:rPr>
          <w:rFonts w:ascii="仿宋_GB2312" w:eastAsia="仿宋_GB2312" w:hint="eastAsia"/>
          <w:sz w:val="32"/>
          <w:szCs w:val="32"/>
        </w:rPr>
        <w:t>级科目公开</w:t>
      </w:r>
      <w:r>
        <w:rPr>
          <w:rFonts w:ascii="仿宋_GB2312" w:eastAsia="仿宋_GB2312" w:hint="eastAsia"/>
          <w:sz w:val="32"/>
          <w:szCs w:val="32"/>
          <w:lang w:eastAsia="zh-CN"/>
        </w:rPr>
        <w:t>，</w:t>
      </w:r>
      <w:r>
        <w:rPr>
          <w:rFonts w:ascii="仿宋_GB2312" w:eastAsia="仿宋_GB2312" w:hint="eastAsia"/>
          <w:sz w:val="32"/>
          <w:szCs w:val="32"/>
          <w:highlight w:val="none"/>
          <w:lang w:eastAsia="zh-CN"/>
        </w:rPr>
        <w:t>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2290402其他地方自行试点项目收益专项债券收入安排的支出8,973.94万元。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4519"/>
      <w:bookmarkStart w:id="28" w:name="_Toc13105"/>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2022年度新疆塔城地区乌苏市人民医院（事业单位）公用经费0.00万元，比上年增加0.00万元，增长0.00%，主要原因是：我单位性质属于财政差额补助事业单位，年初无公用经费预算支出，故2022年末无公用经费。</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2022年度政府采购支出总额1,231.87万元，其中：政府采购货物支出476.08万元、政府采购工程支出487.93万元、政府采购服务支出267.86万元。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100.00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8.12</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100.00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8.12</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25,569.74万元，房屋43,666.01平方米，价值9,958.09万元。车辆17辆，价值486.36万元，其中：副部（省）级及以上领导用车0辆、主要领导干部用车0辆、机要通信用车0辆、应急保障用车1辆、执法执勤用车0辆、特种专业技术用车3辆、离退休干部用车0辆、其他用车13辆，其他用车主要是：120急救救护车；单价100万元（含）以上设备（不含车辆）20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w:t>
      </w:r>
      <w:r>
        <w:rPr>
          <w:rFonts w:ascii="仿宋_GB2312" w:eastAsia="仿宋_GB2312" w:hint="eastAsia"/>
          <w:sz w:val="32"/>
          <w:szCs w:val="32"/>
          <w:highlight w:val="none"/>
          <w:lang w:val="en-US" w:eastAsia="zh-CN"/>
        </w:rPr>
        <w:t>5</w:t>
      </w:r>
      <w:r>
        <w:rPr>
          <w:rFonts w:ascii="仿宋_GB2312" w:eastAsia="仿宋_GB2312" w:hint="eastAsia"/>
          <w:sz w:val="32"/>
          <w:szCs w:val="32"/>
          <w:highlight w:val="none"/>
          <w:lang w:eastAsia="zh-CN"/>
        </w:rPr>
        <w:t>个，全年预算数</w:t>
      </w:r>
      <w:r>
        <w:rPr>
          <w:rFonts w:ascii="仿宋_GB2312" w:eastAsia="仿宋_GB2312" w:hint="eastAsia"/>
          <w:sz w:val="32"/>
          <w:szCs w:val="32"/>
          <w:highlight w:val="none"/>
          <w:lang w:val="en-US" w:eastAsia="zh-CN"/>
        </w:rPr>
        <w:t>836.3</w:t>
      </w:r>
      <w:r>
        <w:rPr>
          <w:rFonts w:ascii="仿宋_GB2312" w:eastAsia="仿宋_GB2312" w:hint="eastAsia"/>
          <w:sz w:val="32"/>
          <w:szCs w:val="32"/>
          <w:highlight w:val="none"/>
          <w:lang w:eastAsia="zh-CN"/>
        </w:rPr>
        <w:t>万元，全年执行数</w:t>
      </w:r>
      <w:r>
        <w:rPr>
          <w:rFonts w:ascii="仿宋_GB2312" w:eastAsia="仿宋_GB2312" w:hint="eastAsia"/>
          <w:sz w:val="32"/>
          <w:szCs w:val="32"/>
          <w:highlight w:val="none"/>
          <w:lang w:val="en-US" w:eastAsia="zh-CN"/>
        </w:rPr>
        <w:t>836.3</w:t>
      </w:r>
      <w:r>
        <w:rPr>
          <w:rFonts w:ascii="仿宋_GB2312" w:eastAsia="仿宋_GB2312" w:hint="eastAsia"/>
          <w:sz w:val="32"/>
          <w:szCs w:val="32"/>
          <w:highlight w:val="none"/>
          <w:lang w:eastAsia="zh-CN"/>
        </w:rPr>
        <w:t>万元。预算绩效管理取得的成效：一是提高新冠病毒检测能力；提升传染病和感染性疾病规范化诊疗水平；消除居民对传染病的恐惧。如期完成2020年全民健康体检项目，完善信息系统；二是提高村民生活质量；改善村队环境。发现的问题及原因：一是重大疫情防控救治体系建设补助经费有限不能惠及所有群众；检测点较多，检测人员缺乏；体检流程有待进一步完善细化，因硬件设施的条件限制，全民体检科室较分散，给就诊带来不便； 全民健康体检信息化建设需完善；因没有安装全民健康体检冠新系统，致使信息均手工填写，较繁琐，加大了工作量；二是为民办实事经费有限不能惠及所有群众，经费使用计划不周密。下一步改进措施：一是完善公共卫生服务体系，加强实施设备配备及人才培训；不断提升重大疫情救治能力和突发公共卫生事件应对能力。规范、优化、健康体检流程，建立科学、便捷的全民健康体检信息化平台的建设；召开各单位全民健康体检的协调会，明确体检单位的各自职责，明确责任，各体检单位派专人负责，督导体检工作；二是严格审批流程，对F经费使用工作更加规范；做好经费使用计划。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8903"/>
      <w:bookmarkStart w:id="38" w:name="_Toc2278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0347"/>
      <w:bookmarkStart w:id="48" w:name="_Toc14869"/>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7643"/>
      <w:bookmarkStart w:id="54" w:name="_Toc545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104E27"/>
    <w:rsid w:val="186953E3"/>
    <w:rsid w:val="20554392"/>
    <w:rsid w:val="2A797420"/>
    <w:rsid w:val="416A11CE"/>
    <w:rsid w:val="4DB92A6B"/>
    <w:rsid w:val="53271B49"/>
    <w:rsid w:val="71FA54DD"/>
    <w:rsid w:val="794C51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2023-11-16T03:16:00Z</dcterms:created>
  <dcterms:modified xsi:type="dcterms:W3CDTF">2023-02-14T11:26:51Z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1848F6647A014E5C8EF48046480B7B2D</vt:lpwstr>
  </property>
  <property fmtid="{D5CDD505-2E9C-101B-9397-08002B2CF9AE}" pid="3" name="KSOProductBuildVer">
    <vt:lpwstr>2052-11.8.2.8555</vt:lpwstr>
  </property>
</Properties>
</file>