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bookmarkStart w:id="0" w:name="_GoBack"/>
      <w:bookmarkEnd w:id="0"/>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部门单位名称（公章）：</w:t>
      </w:r>
      <w:r>
        <w:rPr>
          <w:rFonts w:eastAsia="仿宋_GB2312" w:hAnsi="宋体" w:cs="宋体" w:hint="eastAsia"/>
          <w:kern w:val="0"/>
          <w:sz w:val="36"/>
          <w:szCs w:val="36"/>
          <w:lang w:val="en-US" w:eastAsia="zh-CN"/>
        </w:rPr>
        <w:t>乌苏市卫生健康委员会</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 xml:space="preserve">填报时间：     </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年  </w:t>
      </w:r>
      <w:r>
        <w:rPr>
          <w:rFonts w:eastAsia="仿宋_GB2312" w:hAnsi="宋体" w:cs="宋体" w:hint="eastAsia"/>
          <w:kern w:val="0"/>
          <w:sz w:val="36"/>
          <w:szCs w:val="36"/>
          <w:lang w:val="en-US" w:eastAsia="zh-CN"/>
        </w:rPr>
        <w:t>1</w:t>
      </w:r>
      <w:r>
        <w:rPr>
          <w:rFonts w:eastAsia="仿宋_GB2312" w:hAnsi="宋体" w:cs="宋体" w:hint="eastAsia"/>
          <w:kern w:val="0"/>
          <w:sz w:val="36"/>
          <w:szCs w:val="36"/>
        </w:rPr>
        <w:t xml:space="preserve">   月  </w:t>
      </w:r>
      <w:r>
        <w:rPr>
          <w:rFonts w:eastAsia="仿宋_GB2312" w:hAnsi="宋体" w:cs="宋体" w:hint="eastAsia"/>
          <w:kern w:val="0"/>
          <w:sz w:val="36"/>
          <w:szCs w:val="36"/>
          <w:lang w:val="en-US" w:eastAsia="zh-CN"/>
        </w:rPr>
        <w:t>20</w:t>
      </w:r>
      <w:r>
        <w:rPr>
          <w:rFonts w:eastAsia="仿宋_GB2312" w:hAnsi="宋体" w:cs="宋体" w:hint="eastAsia"/>
          <w:kern w:val="0"/>
          <w:sz w:val="36"/>
          <w:szCs w:val="36"/>
        </w:rPr>
        <w:t xml:space="preserve">   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一、市计划生育协会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w:t>
      </w:r>
      <w:r>
        <w:rPr>
          <w:rFonts w:ascii="仿宋_GB2312" w:eastAsia="仿宋_GB2312" w:hAnsi="宋体" w:hint="eastAsia"/>
          <w:b/>
          <w:sz w:val="32"/>
          <w:szCs w:val="32"/>
        </w:rPr>
        <w:t>坚持以人民为中心的发展思想</w:t>
      </w:r>
      <w:r>
        <w:rPr>
          <w:rFonts w:ascii="仿宋_GB2312" w:eastAsia="仿宋_GB2312" w:hAnsi="宋体" w:hint="eastAsia"/>
          <w:b/>
          <w:sz w:val="32"/>
          <w:szCs w:val="32"/>
        </w:rPr>
        <w:t>，贯彻落实计划生育基本国</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策、推动实现适度生育水平、促进人口长期均衡发展与家庭和谐幸福为主线，坚持服务群众、坚持面向基层、坚持问题导向的基本原则，引导群众自主落实计划生育政策，为全面建成小康社会发挥积极作用。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面落实中央赋予的宣传教育、生殖健康咨询服务、优生优育指导、计划生育家庭帮扶、权益维护和流动人口服务等六项重点任务，着力解决群众“生得起、生得出、生得好”的问题，把计生协建设成为自觉服从服务于总目标，密切联系群众、群众充分信赖、充满生机活力的群团组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3、负责对市计生协顾问组、理事会提出的重大问题进行调查研究和综合分析，为领导决策提供依据。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4、组织群众积极参与计划生育村民自治，动员会员在计划生育工作中发挥带头、宣传、服务、监督、交流作用，做到自我教育、自我管理、自我服务，协助政府贯彻落实计划生育基本国策。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5、组织理事、会员学习、宣传《人口与计划生育法》、《新疆维吾尔自治区人口与计划生育条例》等法律法规，宣传人口形势、人口科学理论，宣传避孕节育、优生优育等婚育科学知识。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助政府认真抓好计划生育奖励优惠政策的落实；抓好计划生育与发展经济相结合，与帮助群众勤劳致富奔小康相结合，与建设文明幸福家庭相结合为主要内容的计划生育“三结合”工作，积极动员广大会员开展结对帮扶活动；组织和发动协会理事会员向群众提供生产、生活、生育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7、履行民主参与民主监督职能，反映群众的意见和要求，维护群众的合法权益，发挥党和政府联系群众的桥梁纽带作用。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8、积极组织基层协会参与社区服务工作和社会主义物质文明、精神文明建设。指导基层计生协会工作，搞好本协会的自身建设。</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9、完成市委和市卫生健康委员会交办的其他工作任务。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市计划生育协会，为群众团体，由市委领导，归口市卫生健康委员会管理。机构规格相当正科级。核定事业编制3名（管理岗位3名），其中：领导职数1名。经费形式为全额预算管理。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二、市流动人口计生服务中心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1、组织开展流动人口计划生育法律法规的宣传并做好贯彻落实工作，制定、完善本市流动人口计划生育工作规划和相关制度。</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2、将流动人口计划生育服务管理纳入本市计划生育目标管理责任制，配合相关部门实施考核评估。</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3、强化流动人口计划生育信息管理系统的应用，做好信息交流、数据分析和统计上报等工作。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4、开展区域间流动人口计划生育服务管理协作，协调解决重点难点问题及相关事宜。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5、深入基层调查研究，加强业务指导和人员培训，组织开展服务管理专项活动。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6、协调相关部门齐抓共管，共同做好流动人口计划生育综合服务管理工作。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7、受理并及时处理与流动人口计划生育工作有关的举报，保护流动人口相关权益。</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属（二）隶属关系、机构规格、人员编制、经费形式和类别归</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市流动人口计生服务中心，隶属于市卫生健康委员会管理。机构规格相当股级。核定事业编制3名（管理岗位3名）。经费形式为全额预算管理。公益一类事业单位。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三、市卫生健康服务保障中心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1、配合上级部门开展医疗相关卫生标准综合管理工作。负责市卫健系统医疗服务数据中心的运行管理工作。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2、对各级医疗机构开展评价工作，协助开展医疗质量控制工作。协助开展各级各类专科医师制度建设相关工作。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3、组织实施医疗机构药品、医疗器械、高值耗材临床合理使用的监测和评价工作，对临床用药、高值耗材规范应用进行指导。</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4、组织实施对医疗机构运行情况监测评估，协助实施各级各类医院医疗服务综合绩效考核及公立医院绩效考核工作，对重大疾病规范化诊疗工作提供技术指导。</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5、指导医疗机构科学发展，协助落实社会力量办医和健康服务业发展的有关政策。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6、协助提供健康扶贫、医养结合、医疗专业技术支持和改善医疗服务。协助开展老年人健康养老工作。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7、组织开展医疗管理服务相关培训。</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市卫生健康服务保障中心，隶属于市卫生健康委员会管理。机构规格相当副科级。核定事业编制5名（管理岗位5名），其中：领导职数1名。经费形式为全额预算管理。公益一类事业单位。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四、市老年服务中心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1、贯彻执行《老年人权益</w:t>
      </w:r>
      <w:r>
        <w:rPr>
          <w:rFonts w:ascii="仿宋_GB2312" w:eastAsia="仿宋_GB2312" w:hAnsi="宋体" w:hint="eastAsia"/>
          <w:b/>
          <w:sz w:val="32"/>
          <w:szCs w:val="32"/>
          <w:lang w:val="en-US" w:eastAsia="zh-CN"/>
        </w:rPr>
        <w:t>保障</w:t>
      </w:r>
      <w:r>
        <w:rPr>
          <w:rFonts w:ascii="仿宋_GB2312" w:eastAsia="仿宋_GB2312" w:hAnsi="宋体" w:hint="eastAsia"/>
          <w:b/>
          <w:sz w:val="32"/>
          <w:szCs w:val="32"/>
        </w:rPr>
        <w:t>法》，协助有关部门做好老年人权益保障工作，为老年人提供服务。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2、组织、指导老年人参与经济和社会发展，加强老年志愿者服务队伍建设，为构建和谐社会发挥余热，再做贡献。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3、掌握全市老年人的基本情况，了解老年人的意愿，注重老年人的创造精神。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4、组织老年人参加公益活动及文化、体育活动及有益于老年人健康的各种涉老活动。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5、开展春节、老年节期间走访慰问困难老年人活动。</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6、协助有关部门做好老年人免费体检相关工作。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7、完成市卫生健康委员会交办的其他工作任务。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市老年服务中心，隶属于市卫生健康委员会管理。机构规格相当副科级。核定事业编制3名（管理岗位2名，工勤技能岗位1名），其中：领导职数1名。经费形式为全额预算管理。公益一类事业单位。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五、市老年大学</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1、宣传贯彻落实老龄工作方针政策和《老年人权益保障法》，提出我市发展老年教育的意见建议，积极推动全市老年教育事业的发展。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按照“增长知识，丰富生活，陶冶情操，促进健康，余热生辉，服务社会”的办学宗旨，把“老有所教，老有所学，老有所乐，老有所为”贯穿于全过程，把学校办成政治教育的课堂，充实知识的场所，交流情感的家园，文明建设的阵地。</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深入了解广大老年人的活动心理、精神文化需求，努力探索老年教育的路子，根据老年人的特点需求开设课程，依据老年人的兴趣爱好开展活动，让各类老年人在接受教育得到受益和满足。联系实际办学，适应不同层次老年人的需求，因地制宜，因人施教，协调安排学校开设学科和招生规模，确定课程设置，制定教学计划。</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4、加强学校行政管理，建立完善各项规章制度，加强教职工队伍思想作风建设，热情耐心、努力做好学员的管理服务工作。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5、和其他县市老年大学互通信息，加强交流，相互学习办学的方法和经验，充分听取学员和各方面的建议，收集整理老年教育的经验、信息，不断完善教学管理工作。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6、完成市卫生健康委员会交办的其他工作任务。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（二）隶属关系、机构规格、人员编制、领导职数、经费形式和类别归属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市老年大学，隶属于市卫生健康委员会管理。机构规格相当副科级。核定事业编制2名（管理岗位2名），其中：领导职数1名。经费形式为全额预算管理。公益一类事业单位。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2.部门机构设置及人员构成</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乌苏市卫生健康委员会单位机关行政编制27名，其中：行政编制26名，机关工勤事业编制1名。实有人员27人。</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3.2022年度重点工作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一、全面贯彻落实常态化疫情防控。</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坚决守住疫情防控底线，筑牢织密防控体系，持续做好常态化疫情防控工作，守护好人民群众的生命安全和身体健康。重点做好定点及后备定点医院建设、院感防控、重点场所和重点人群“应检尽检”、重点人群隔离管控、疫苗接种等方面工作。全面压实责任，克服麻痹思想、厌战情绪、侥幸心理、松劲心态，从严从实抓好新冠肺炎疫情防控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二、深化医药卫生体制改革 提高卫生健康服务能力</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扎实落实医疗惠民政策，确保群众得实惠。持续落实国家基本药物零差率，落实“先诊疗后付费”和“一站式结算”工作，加强公立医疗机构用药安全，规范采购流程和采购路径，二级公立医院基本药物使用比例达标，住院费同比下降，以确保患者及时得到安全有效治疗，减轻患者经济负担。</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（三）持续加强医联（共）体建设。推动落实医疗资源下沉，帮助基层医院提升服务能力和服务水平，使基层医院能够承担起群众就近就医的任务，实现基层首诊。</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持续推进公立医院改革及公立医院薪酬制度改革。结合实际探索和创新惠民便民措施，改善就医环境、降低就医费用、优化诊疗流程等方面来促进公立医院内部机制的改革，简化就医手续、缩短群众等候时间，让人民群众在这个过程当中切实感受到方便、实惠。积极落实现代医院管理制度。结合单位的实际情况完善相应的实施方案，并建立健全现代医院管理制度14条重点任务执行。</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进一步加强卫生健康系统信息化进程。全面实现医疗卫生服务体系市、乡、村三级信息化互联互通，切实落实了分级诊疗、双向转诊的医疗惠民政策，逐步实现了小病不出村，普通病在乡镇，常见病、多发病在县级，常见大病在市级的分级分工医疗服务格局。</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六）加快中医药事业的发展。全面贯彻落实科学发展观及各级有关加强中医建设的文件精神，把满足本地区人民群众中医民族医药服务的需求作为促进医院发展的出发点，全面落实中医药事业的改革与发展，充分发挥中医药作用，保持和发挥中医药特色优势，遵循中医药发展规律，坚持以中医为主的办院方针，保持和发扬中医药特色优势，坚持继承创新，乡镇、社区卫生院中医馆提供中医药服务，努力为人民群众提供安全、有效、方便、价廉的中医药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三、以改善民生为动力，促进人口健康发展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七）提高老龄健康服务水平。加强老年健康服务体系建设,推进医养结合深入发展，全市二级以上综合性医院设立老年医学科，基层医疗卫生机构护理床位比例达到20%，开展老年人群重点慢性病早期筛查、早期干预和分类管理，做好阿尔兹海默病、帕金森病等神经退行性疾病早期筛查和健康指导。实施老年心理关爱项目增强老年人的获得感、幸福感、安全感。</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八）优化按政策生育的健康服务供给。加强人口发展态势和生育形势分析，进一步健全信息共享机制，健全完善人口监测体系网络和预警工作机制，使出生人口监测更加精准。完善市级、乡镇街道、村居委会三级出生监测网络，实现生育登记、孕产期保健、住院分娩等信息共享，实现了信息多方对接、共享共用；开展与医院妇幼、民政婚姻、疾控死亡等信息核查对比反馈工作，实现部门数据共享、对比分析、交流应用，提高统计准确率。通过出生人口监测，把握出生人口变动趋势，引导群众合理安排生育，确保生育秩序可控、社会风险可控，确保政策平稳实施。逐步改革完善生育服务管理制度，进一步提高便民利民服务效率，提高群众满意度。落实计划生育特殊家庭扶助政策，优化联系人、家庭医生签约、就医“绿色通道”等三项制度。公共场所母婴设施配置率达到100%。充分发挥计划生育协会作用，落实生育关怀举措。配合做好全地区0-3岁婴幼儿托育机构年审，参与照护服务机构评估督导，加强社会监督。开展优生优育知识宣传普及和儿童早期发展等服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四、加强基本公共卫生工作，筑牢人民健康防线</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九）完善健康教育与健康促进工作。组织开展多种形式的健康教育与健康促进活动。定期进行健康教育培训、讲座、健康知识咨询等，向居民提供健康教育宣传信息和健康教育咨询服务。不断推动健康促进工作网络健全,机制合理,确保辖区居民健康素养和生活质量持续得到提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儿童预防接种、传染病及突发公共卫生事件报告与处理。为适龄儿童接种乙肝疫苗、卡介苗、脊灰疫苗、百白破疫苗、白破疫苗、甲肝疫苗、流脑疫苗、麻腮风疫苗等国家免疫规划疫苗，接种率达95%。发现、报告预防接种中的疑似异常反应，并协助调查处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一）加强基本公共卫生服务，提升群众健康指数。积极开展老年人、慢性病、0-6岁儿童等群体的健康管理服务。扎实做好艾滋病、结核病、精神病等特殊群众的规范管理服务，服务率达95%。严格按照上级关于家庭医生签约服务工作的部署和要求，紧密围绕家庭医生式服务工作的基本原则、服务内容、服务对象、工作持续性等内容，以老年人、孕产妇、0-6岁儿童、慢性病人、残疾人等特殊家庭为重点，逐步提高家庭医生签约覆盖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二）持续提升全民健康体检质量。按照摸底人数完成全民体检工作。充分发挥院内体检质量控制小组，实施即时质控，定期对健康体检过程中的医疗缺陷进行统计、分析，定期召开质控会议，对存在问题进行分析、讨论，提出整改措施，督促各项问题整改落实。</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（十三） 提升突发公共卫生事件应急综合能力。继续加大卫生应急培训力度，提升卫生应急处置能力。完善相关应急预案，加强部门协作。不断完善卫生应急预案体系，积极争取上级支持，加强多部门联合应急演练，加大应急物资储备经费投入，提升卫生应急能力和水平。</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四）完善妇幼云平台信息管理工作，强化母婴安全保障措施。每月按时对市、乡、村三级网络系统运行进行业务指导、质控、审核，联合各级医疗卫生机构切实抓好孕产妇、0-6岁儿童规范管理率达85%。危重孕产妇转诊转院、急救、流入流出24小时内转介等工作的督促落实及追踪管理。严格落实母婴安全五项制度，对所有孕产妇实行属地化管理，对高危孕产妇实行五色分级管理，专人负责，及时跟踪随访。加强对母婴安全工作的组织、协调和管理，积极落实母婴安全工作。最大限度降低孕产妇死亡率，5岁以下儿童死亡率，婴儿死亡率和新生儿死亡率等任务指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（十五）强化全市环境卫生综合整治。严格按照创建国家卫生城市的规范标准，结合乡村振兴进一步推进城乡环境卫生整洁行动，逐步实现创建国家卫生城市。</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五、以党的建设为引领，强化政治使命担当</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六）强化卫生健康系统党的领导。坚持以党的政治建设为统领，压紧压细压实全面从严治党责任，扎实推动党的建设与卫生健康工作同规划、同部署、同落实。加强公立医院党的政治建设，把党的领导融入医院治理各环节；深化基层党组织标准化规范化建设，做好群体发展党员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（十七）持续深化党风廉政建设工作。严格落实全面从严治党的责任制度，完善党委主体责任、党委书记第一责任、班子成员“一岗双</w:t>
      </w:r>
      <w:r>
        <w:rPr>
          <w:rFonts w:ascii="仿宋_GB2312" w:eastAsia="仿宋_GB2312" w:hAnsi="宋体" w:hint="eastAsia"/>
          <w:b/>
          <w:sz w:val="32"/>
          <w:szCs w:val="32"/>
          <w:lang w:val="en-US" w:eastAsia="zh-CN"/>
        </w:rPr>
        <w:t>岗</w:t>
      </w:r>
      <w:r>
        <w:rPr>
          <w:rFonts w:ascii="仿宋_GB2312" w:eastAsia="仿宋_GB2312" w:hAnsi="宋体" w:hint="eastAsia"/>
          <w:b/>
          <w:sz w:val="32"/>
          <w:szCs w:val="32"/>
        </w:rPr>
        <w:t>”、纪委监督责任“四责协同”机制。围绕典型案例扎实开展以案促改工作，持续开展干部作风整治。</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（二）决策过程</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部门项目立项依据充分，符合相关法规政策及部门职责，符合行业发展和政策要求，与部门职责范围相符，属于部门履职所需。符合中央、地方事务支出责任划分原则。</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部门项目立项程序规范，项目严格按照规定的程序申请设立；审批文件、材料符合相关要求；项目前期已经过必要的可行性研究、专家论证、风险评估、绩效评估、集体决策。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部门整体绩效指标明确，已将整体项目绩效目标细化分解为具体的绩效指标；可以通过清晰、可衡量的指标值予以体现；与整体项目目标任务数或计划数相对应。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预算编制科学，整体项目在资金投入方面，预算编制经过科学论证、有明确标准，资金额度与年度目标相适应，用以反映和考核项目预算编制的科学性、合理性情况。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资金分配合理，整体项目预算资金分配有测算依据，资金分配额度合理，与部门单位的实际情况相适应。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综上，我单位本年各项工作能够做到部门项目立项依据充分，部门项目立项程序规范，绩效目标设置合理，预算编制科学有效，资金分配合理。决策过程科学规范、实施有效。</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（三）项目资金分配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1.部门（单位）预算编制及分配依据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中华人民共和国预算法》，我委按照单位实有人数、工龄、基本工资、津贴补贴、绩效工资、人均公用经费等相关标准，编制了预算。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2.分配结果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预算编制和分配符合部门职责和任务要求，能根据年度工作重点，在不同项目、不同用途之间进行合理分配。整体绩效目标与预算确定的资金相匹配。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3.重点支出保障率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重点支出保障率用以反映和考核部门（单位）对履行主要职责或完成重点任务的保障程度。我单位本年主要实施突发公共卫生应急处理等重点项目，履行了积极响应上级疫情防控政策要求，及时传达打赢疫情防控阻击战的重要指示精神，高度重视疫情防控工作，积极建立疫情防控常态化体系，加强疫情防控宣传，为应对常态化疫情防控要求，保障县域内人民群众生命安全，做好疫情防控工作，内防反弹、外防输入、落实好重点场所、重点人群的防控措施，持续强化疫情防控，坚决把防控工作做实做细；群防群控，充分发挥好卫健委战斗堡垒作用，加强疫情防控知识宣传，增强群众防控意识，确保人民群众生命安全等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本年度预算安排的重点项目支出3739.13万元，项目总支出3739.13万元，重点支出保障率为80%。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（四）部门单位整体支出规模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（1）年初预算执行情况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我单位年初预算数为1993.08万元，实际预算执行数1964.73万元，年初预算执行率为98.6%。</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（2）全年预算执行情况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全年预算数为4256.7万元，全年实际支出资金4256.7万元，全年预算执行率为100%。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2.预算调整情况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我单位年初批复预算数1993.08万元，年中调整数2263.62万元，调整后全年预算数4256.7万元，预算调整率112.6%。</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3.政府采购执行情况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年初政府采购预算数为165.82万元，实际政府采购数为165.82万元，年初政府采购执行率为100%。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（五）评价使用方法和主要内容、涉及范围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1.评价使用方法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2.评价对象及主要内容</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3.涉及的范围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评价范围是对本单位整体支出从年度总体绩效目标、产出指标、效益指标、满意度指标等方面进行了全方位、多角度综合评价分析。</w:t>
      </w:r>
      <w:bookmarkStart w:id="1" w:name="_Hlk43849111"/>
      <w:bookmarkEnd w:id="1"/>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单位为加强预算管理，规范财务行为，已制定《乌苏市卫生健康委员会部门单位预算绩效管理工作实施办法》，《乌苏市卫生健康委员会单位财务管理制度》等健全完整的各项管理制度，有效保障了我单位高效的履行工作职能，较好的促进事业发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2022年本单位基本支出全年预算总额517.57万元，其中：人员经费510.7万元，公用经费6.87万元。实际支出517.57万元，基本支出预算执行率100%。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预算为7.54万元，实际支出0万元，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100%，其中：因公出国（境）费预算为0万元，实际支出0万元；公务接待费预算为0万元，实际支出0万元；公务用车购置费预算为7.54万元，实际支出0万元；公务用车运行维护费预算为0万元，实际支出0万元，公务用车运行维护费控制0%，符合财政部门本年预算要求和相关管理制度要求。</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2022年本单位安排专项支出预算总额3739.13万元，实际支出3739.13万元，专项支出预算执行率100%。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2022年本单位共有</w:t>
      </w:r>
      <w:r>
        <w:rPr>
          <w:rFonts w:ascii="仿宋_GB2312" w:eastAsia="仿宋_GB2312" w:hAnsi="宋体" w:hint="eastAsia"/>
          <w:b/>
          <w:sz w:val="32"/>
          <w:szCs w:val="32"/>
          <w:lang w:val="en-US" w:eastAsia="zh-CN"/>
        </w:rPr>
        <w:t>8</w:t>
      </w:r>
      <w:r>
        <w:rPr>
          <w:rFonts w:ascii="仿宋_GB2312" w:eastAsia="仿宋_GB2312" w:hAnsi="宋体" w:hint="eastAsia"/>
          <w:b/>
          <w:sz w:val="32"/>
          <w:szCs w:val="32"/>
        </w:rPr>
        <w:t>个资金项目，其中6个属经常性项目、</w:t>
      </w:r>
      <w:r>
        <w:rPr>
          <w:rFonts w:ascii="仿宋_GB2312" w:eastAsia="仿宋_GB2312" w:hAnsi="宋体" w:hint="eastAsia"/>
          <w:b/>
          <w:sz w:val="32"/>
          <w:szCs w:val="32"/>
          <w:lang w:val="en-US" w:eastAsia="zh-CN"/>
        </w:rPr>
        <w:t>2</w:t>
      </w:r>
      <w:r>
        <w:rPr>
          <w:rFonts w:ascii="仿宋_GB2312" w:eastAsia="仿宋_GB2312" w:hAnsi="宋体" w:hint="eastAsia"/>
          <w:b/>
          <w:sz w:val="32"/>
          <w:szCs w:val="32"/>
        </w:rPr>
        <w:t>个属当年度新增项目，已完成项目</w:t>
      </w:r>
      <w:r>
        <w:rPr>
          <w:rFonts w:ascii="仿宋_GB2312" w:eastAsia="仿宋_GB2312" w:hAnsi="宋体" w:hint="eastAsia"/>
          <w:b/>
          <w:sz w:val="32"/>
          <w:szCs w:val="32"/>
          <w:lang w:val="en-US" w:eastAsia="zh-CN"/>
        </w:rPr>
        <w:t>8</w:t>
      </w:r>
      <w:r>
        <w:rPr>
          <w:rFonts w:ascii="仿宋_GB2312" w:eastAsia="仿宋_GB2312" w:hAnsi="宋体" w:hint="eastAsia"/>
          <w:b/>
          <w:sz w:val="32"/>
          <w:szCs w:val="32"/>
        </w:rPr>
        <w:t>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部门单位专项组织实施情况</w:t>
      </w:r>
    </w:p>
    <w:p>
      <w:pPr>
        <w:spacing w:line="540" w:lineRule="exact"/>
        <w:ind w:firstLine="640"/>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cs="Times New Roman" w:hint="eastAsia"/>
          <w:b/>
          <w:sz w:val="32"/>
          <w:szCs w:val="32"/>
        </w:rPr>
        <w:t>本年我单位供实施</w:t>
      </w:r>
      <w:r>
        <w:rPr>
          <w:rFonts w:ascii="仿宋_GB2312" w:eastAsia="仿宋_GB2312" w:hAnsi="宋体" w:cs="Times New Roman" w:hint="eastAsia"/>
          <w:b/>
          <w:sz w:val="32"/>
          <w:szCs w:val="32"/>
          <w:lang w:val="en-US" w:eastAsia="zh-CN"/>
        </w:rPr>
        <w:t>8</w:t>
      </w:r>
      <w:r>
        <w:rPr>
          <w:rFonts w:ascii="仿宋_GB2312" w:eastAsia="仿宋_GB2312" w:hAnsi="宋体" w:cs="Times New Roman" w:hint="eastAsia"/>
          <w:b/>
          <w:sz w:val="32"/>
          <w:szCs w:val="32"/>
        </w:rPr>
        <w:t>个项目，金额3739.13万元，分别为1、基本公共卫生项目，17.02万元；2、重大公共卫生项目项目，195.01万元；3、突发公共卫生应急处理项目，2999.87万元</w:t>
      </w:r>
      <w:r>
        <w:rPr>
          <w:rFonts w:ascii="仿宋_GB2312" w:eastAsia="仿宋_GB2312" w:hAnsi="宋体" w:cs="Times New Roman" w:hint="eastAsia"/>
          <w:b/>
          <w:sz w:val="32"/>
          <w:szCs w:val="32"/>
          <w:lang w:eastAsia="zh-CN"/>
        </w:rPr>
        <w:t>。</w:t>
      </w:r>
      <w:r>
        <w:rPr>
          <w:rFonts w:ascii="仿宋_GB2312" w:eastAsia="仿宋_GB2312" w:hAnsi="宋体" w:cs="Times New Roman" w:hint="eastAsia"/>
          <w:b/>
          <w:sz w:val="32"/>
          <w:szCs w:val="32"/>
          <w:lang w:val="en-US" w:eastAsia="zh-CN"/>
        </w:rPr>
        <w:t>4</w:t>
      </w:r>
      <w:r>
        <w:rPr>
          <w:rFonts w:ascii="仿宋_GB2312" w:eastAsia="仿宋_GB2312" w:hAnsi="宋体" w:cs="Times New Roman" w:hint="eastAsia"/>
          <w:b/>
          <w:sz w:val="32"/>
          <w:szCs w:val="32"/>
        </w:rPr>
        <w:t>、其他卫生健康管理事务支出，100.01万元；</w:t>
      </w:r>
      <w:r>
        <w:rPr>
          <w:rFonts w:ascii="仿宋_GB2312" w:eastAsia="仿宋_GB2312" w:hAnsi="宋体" w:cs="Times New Roman" w:hint="eastAsia"/>
          <w:b/>
          <w:sz w:val="32"/>
          <w:szCs w:val="32"/>
          <w:lang w:val="en-US" w:eastAsia="zh-CN"/>
        </w:rPr>
        <w:t>5</w:t>
      </w:r>
      <w:r>
        <w:rPr>
          <w:rFonts w:ascii="仿宋_GB2312" w:eastAsia="仿宋_GB2312" w:hAnsi="宋体" w:cs="Times New Roman" w:hint="eastAsia"/>
          <w:b/>
          <w:sz w:val="32"/>
          <w:szCs w:val="32"/>
        </w:rPr>
        <w:t>、医疗垃圾、收集、转运一体化项目补助项目，194.55万元；</w:t>
      </w:r>
      <w:r>
        <w:rPr>
          <w:rFonts w:ascii="仿宋_GB2312" w:eastAsia="仿宋_GB2312" w:hAnsi="宋体" w:cs="Times New Roman" w:hint="eastAsia"/>
          <w:b/>
          <w:sz w:val="32"/>
          <w:szCs w:val="32"/>
          <w:lang w:val="en-US" w:eastAsia="zh-CN"/>
        </w:rPr>
        <w:t>6</w:t>
      </w:r>
      <w:r>
        <w:rPr>
          <w:rFonts w:ascii="仿宋_GB2312" w:eastAsia="仿宋_GB2312" w:hAnsi="宋体" w:cs="Times New Roman" w:hint="eastAsia"/>
          <w:b/>
          <w:sz w:val="32"/>
          <w:szCs w:val="32"/>
        </w:rPr>
        <w:t>、“访惠聚”驻村工作专项经费　7.45万元；</w:t>
      </w:r>
      <w:r>
        <w:rPr>
          <w:rFonts w:ascii="仿宋_GB2312" w:eastAsia="仿宋_GB2312" w:hAnsi="宋体" w:cs="Times New Roman" w:hint="eastAsia"/>
          <w:b/>
          <w:sz w:val="32"/>
          <w:szCs w:val="32"/>
          <w:lang w:val="en-US" w:eastAsia="zh-CN"/>
        </w:rPr>
        <w:t>7</w:t>
      </w:r>
      <w:r>
        <w:rPr>
          <w:rFonts w:ascii="仿宋_GB2312" w:eastAsia="仿宋_GB2312" w:hAnsi="宋体" w:cs="Times New Roman" w:hint="eastAsia"/>
          <w:b/>
          <w:sz w:val="32"/>
          <w:szCs w:val="32"/>
        </w:rPr>
        <w:t>、计划生育宣传员岗位津贴及交通费补助资金，</w:t>
      </w:r>
      <w:r>
        <w:rPr>
          <w:rFonts w:ascii="仿宋_GB2312" w:eastAsia="仿宋_GB2312" w:hAnsi="宋体" w:cs="Times New Roman" w:hint="eastAsia"/>
          <w:b/>
          <w:sz w:val="32"/>
          <w:szCs w:val="32"/>
          <w:lang w:val="en-US" w:eastAsia="zh-CN"/>
        </w:rPr>
        <w:t>222.54</w:t>
      </w:r>
      <w:r>
        <w:rPr>
          <w:rFonts w:ascii="仿宋_GB2312" w:eastAsia="仿宋_GB2312" w:hAnsi="宋体" w:cs="Times New Roman" w:hint="eastAsia"/>
          <w:b/>
          <w:sz w:val="32"/>
          <w:szCs w:val="32"/>
        </w:rPr>
        <w:t>万元。</w:t>
      </w:r>
      <w:r>
        <w:rPr>
          <w:rFonts w:ascii="仿宋_GB2312" w:eastAsia="仿宋_GB2312" w:hAnsi="宋体" w:cs="Times New Roman" w:hint="eastAsia"/>
          <w:b/>
          <w:sz w:val="32"/>
          <w:szCs w:val="32"/>
          <w:lang w:val="en-US" w:eastAsia="zh-CN"/>
        </w:rPr>
        <w:t>8</w:t>
      </w:r>
      <w:r>
        <w:rPr>
          <w:rFonts w:ascii="仿宋_GB2312" w:eastAsia="仿宋_GB2312" w:hAnsi="宋体" w:cs="Times New Roman" w:hint="eastAsia"/>
          <w:b/>
          <w:sz w:val="32"/>
          <w:szCs w:val="32"/>
        </w:rPr>
        <w:t>、</w:t>
      </w:r>
      <w:r>
        <w:rPr>
          <w:rFonts w:ascii="仿宋_GB2312" w:eastAsia="仿宋_GB2312" w:hAnsi="宋体" w:cs="Times New Roman" w:hint="eastAsia"/>
          <w:b/>
          <w:sz w:val="32"/>
          <w:szCs w:val="32"/>
          <w:lang w:val="en-US" w:eastAsia="zh-CN"/>
        </w:rPr>
        <w:t>2022年单位项目-卫健委人民医院分院硫酸钡运输费</w:t>
      </w:r>
      <w:r>
        <w:rPr>
          <w:rFonts w:ascii="仿宋_GB2312" w:eastAsia="仿宋_GB2312" w:hAnsi="宋体" w:cs="Times New Roman" w:hint="eastAsia"/>
          <w:b/>
          <w:sz w:val="32"/>
          <w:szCs w:val="32"/>
        </w:rPr>
        <w:t>，2.68万元。</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本年我单位实施专项项目</w:t>
      </w:r>
      <w:r>
        <w:rPr>
          <w:rFonts w:ascii="仿宋_GB2312" w:eastAsia="仿宋_GB2312" w:hAnsi="宋体" w:hint="eastAsia"/>
          <w:b/>
          <w:sz w:val="32"/>
          <w:szCs w:val="32"/>
          <w:lang w:val="en-US" w:eastAsia="zh-CN"/>
        </w:rPr>
        <w:t>8</w:t>
      </w:r>
      <w:r>
        <w:rPr>
          <w:rFonts w:ascii="仿宋_GB2312" w:eastAsia="仿宋_GB2312" w:hAnsi="宋体" w:hint="eastAsia"/>
          <w:b/>
          <w:sz w:val="32"/>
          <w:szCs w:val="32"/>
        </w:rPr>
        <w:t>个，涉及金额3739.13万元，其中：中央专项项目</w:t>
      </w:r>
      <w:r>
        <w:rPr>
          <w:rFonts w:ascii="仿宋_GB2312" w:eastAsia="仿宋_GB2312" w:hAnsi="宋体" w:hint="eastAsia"/>
          <w:b/>
          <w:sz w:val="32"/>
          <w:szCs w:val="32"/>
          <w:lang w:val="en-US" w:eastAsia="zh-CN"/>
        </w:rPr>
        <w:t>1</w:t>
      </w:r>
      <w:r>
        <w:rPr>
          <w:rFonts w:ascii="仿宋_GB2312" w:eastAsia="仿宋_GB2312" w:hAnsi="宋体" w:hint="eastAsia"/>
          <w:b/>
          <w:sz w:val="32"/>
          <w:szCs w:val="32"/>
        </w:rPr>
        <w:t>个涉及金额18.02万元，自治区专项项目</w:t>
      </w:r>
      <w:r>
        <w:rPr>
          <w:rFonts w:ascii="仿宋_GB2312" w:eastAsia="仿宋_GB2312" w:hAnsi="宋体" w:hint="eastAsia"/>
          <w:b/>
          <w:sz w:val="32"/>
          <w:szCs w:val="32"/>
          <w:lang w:val="en-US" w:eastAsia="zh-CN"/>
        </w:rPr>
        <w:t>1</w:t>
      </w:r>
      <w:r>
        <w:rPr>
          <w:rFonts w:ascii="仿宋_GB2312" w:eastAsia="仿宋_GB2312" w:hAnsi="宋体" w:hint="eastAsia"/>
          <w:b/>
          <w:sz w:val="32"/>
          <w:szCs w:val="32"/>
        </w:rPr>
        <w:t>个涉及金额529.37万元，地区本级专项项目6个涉及金额3191.74万元。</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（一）乌苏市卫生健康委员会单位项目专项组织情况分析</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1.前期准备</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我单位成立整体支出绩效自评工作领导小组，成员如下：</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雷建华任组长，绩效评价工作职责为负责全盘工作。</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刘晓凤任副组长，绩效评价工作职责为为对项目实施情况进行实地调查。</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安靓、蒋湘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2.组织实施</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（二）专项管理情况分析</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1.项目资金情况（本年度所有项目资金）</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预算资金3739.13万元，实际到位3739.13万元，实际支出3739.13万元。到位足额及时，预算编制依据充分，预算编制准确，资金不存在截留、挪用，支付审批合规、不存在用途改变、范围超支和虚列项目支出等情况；项目严格按照《乌苏市卫生健康委员会单位财务管理制度》执行项目资金，实行专账核算、逐级审批。认真落实项目资金的使用各项管理制度，确保专款专用，及时拨付到位。</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2.项目实施情况</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项目管理情况：根据《项目绩效管理办法》及单位相关项目管理制度的规定，对项目的实施进行监督管理。建立健全项目后续各项监督管理制度，确保项目正常运转，长期发挥效益。</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项目监管情况：不定期对项目进度和质量等进行监督检查，并且组织开展多种形式的监督检查，以加强日常监管为主，自查、随机抽查、专项检查等方式进行。对检查中发现的问题，及时纠正。</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3.项目绩效情况</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成本控制情况：严格按照相关的专项资金管理办法，实行多重审批控制专项经费的支出。</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成本节约情况：项目根据实际情况做出合理预算，支出严格控制在预算范围内，本着节约成本，防止资源浪费的原则将项目成效最大化。</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4.项目效率性</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项目实施进度：项目实施紧扣各个环节，逐步推进，及时与职能部门跟踪项目进展，加强项目督办，充分调动职能部门的积极性，加大项目投入工作的力度，加快项目实施进度。</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项目完成质量：项目严格按照年度预期目标执行，项目完成质量达标。</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5.项目效益性</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期目标完成程度：乌苏市卫生健康委员会实施的项目9个，按照年初计划如期推进，对于实施进度缓慢的项目，通过调度、约谈等方式推进项目，截止2021年12月底，所有项目均已完成，并通过项目组成员验收。专项经费实际支出未超出预算规定，保障了专项工作的开展。</w:t>
      </w:r>
    </w:p>
    <w:p>
      <w:pPr>
        <w:spacing w:line="540" w:lineRule="exact"/>
        <w:ind w:firstLine="640"/>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（一）资产管理规范性</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2022年资产合计数为671.24万元，比上年增加142.36万元，主要原因为增加在建工程，货币资金，其中：货币资金0万元，比上年增减0万元；财政应返还额度0万元，比上年相比无变化；房屋3061平方米474.05万元，比上年增加4.62万元；车辆2辆47万元，与上年相比无变化；在建工程194.55万元，较上年增加；办公设备及家具13.52万元，与上年相比无变化。，资产配置合理，使用规范，安全完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2.固定资产利用情况。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我单位固定资产815.88万元,其中5套房屋474.04万元，2辆车47万元，19个专用设备240.19万元，151个办公设备13.52万元。目前正在使用的固定资产总额815.88万元，固定资产利用率为100%。</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3.流动资产管理情况。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（二）固定资产利用率</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截止本年度固定资产账面净值399.47万元，年末实际在用固定资产399.47万元，固定资产利用率为100%。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ind w:firstLine="1120" w:firstLineChars="3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部门单位整体支出自评表，共设置一级指标3个，二级指标7个，三级指标11个。</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1.产出数量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“在职人数”指标，预期指标值为“=26人”，实际完成值为“=27人”，指标完成率是100%，达到预期目标。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“退休人员数”指标，预期指标值为“=30人”，实际完成值为“=30人”，指标完成率是100%，达到预期目标。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2.产出质量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“各项任务完成率”指标，预期指标值为“100%”，实际完成值为“100%”，指标完成率是100%，达到预期目标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3.产出进度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“项目开始时间”指标，预期指标是“=2022年1月”，实际完成值是=2022年1月，指标完成率是100%，达到预期目标。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“项目开始完成时间”指标，预期指标是“=2022年12月”，实际完成值是=2022年12月，指标完成率是100%，达到预期目标。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4.产出成本</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“项目支出”指标，预期指标是=1539万元，实际完成值是3739.13万元，指标完成率是100%，达到成本控制及改善目标。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“人员保障支出”指标，预期指标是等于418.86万元，实际完成值是510.7万元，指标完成率是100%，达到成本控制及改善目标。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“运转保障经费”指标，预期指标是等于35.22万元，实际完成值是6.87万元，指标完成率是20%，未达成预期目标，未完成的原因是：节约经费支出。</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成本指标共计3个，完成2个，达到成本控制及改善目标，成本指标完成。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（二）效益指标完成情况分析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“提升服务能力”指标；预期指标值：有效提升；实际完成值为“达成年度指标”；指标完成率为100%。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“保障人民生活质量，增强幸福指数”指标；预期指标值：长期保障；实际完成值为“达成年度指标”；指标完成率为100%.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按计划完成项目实施，已做满意度调查抽样问卷，具体如下：</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“受益群众满意率”，预期指标值为“≥95%，实际完成值是≥95%，指标完成率是100%，达到90%对部门履职效果的满意度。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满意度指标共计1个，完成1个，达到部门（单位）服务对象对部门履职效果的满意度，服务对象满意度指标完成。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部分业务人员绩效管理意识有待增强，未能全面深入认识理解绩效管理工作的意义。绩效管理经验不足，预算绩效管理工作有待进一步落实。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绩效指标的明确性、可衡量性、相关性还需进一步提升。预算精细化管理还需完善，预算编制管理水平仍有进一步提升的空间。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医疗技术人员队伍总体薄弱。全市基层卫生技术人员大部分都是抽调兼职工作，村级卫生员技术水平参差不齐，配合工作能力欠缺。 计划生育法律法规对违法生育者缺乏强硬的措施和手段，多数违法生育家庭属于低收入群体，社会抚养费征收难度较大；而专业执法人员不足，能力有限，造成违法生育取证难、送达难、征收难。</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加大绩效工作宣传力度，强化绩效理念。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完善绩效指标，提高整体绩效目标质量。提升预算精细化管理水平。</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继续完善预算绩效管理相关工作制度，建立全过程预算绩效管理链条，有效贯彻落实全面实施绩效管理的精神。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 （根据各单位实际情况填写）例如：</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1.加强预算执行管理。做好事前审批、事中管理和事后监督工作，不断加快预算执行进度，推动预算执行按照资金计划有序进行。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 提高资金使用效益。在遵守法律法规的前提下，统筹兼顾、量力而行、讲求绩效，圆满完成党中央、自治区和地区决策部署提出的各项要求。</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3.不断完善预算绩效管理相关工作制度，建立全过程预算绩效管理链条，有效贯彻落实全面实施绩效管理的精神。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 强化内部控制管理，严格按规定做好绩效目标申报、自评、公开等相关工作，提高财政资金使用绩效；加强实物资产管理，健全资产管理制度，规范资产清查和核算。</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1.加强预算绩效目标管理工作，明确预算项目绩效目标编制要求，分类别建立科学合理、细化量化、可比可测预算绩效指标体系，突出结果导向，重点考核实绩。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4.在保证资金安全的前提下加快资金支出进度，支出条件已经成熟的项目，抓紧报销，尽快形成有效支出。</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6.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96855C6"/>
    <w:rsid w:val="14F44328"/>
    <w:rsid w:val="23C04138"/>
    <w:rsid w:val="23C06082"/>
    <w:rsid w:val="49843E11"/>
    <w:rsid w:val="5B55391F"/>
    <w:rsid w:val="682F7FFB"/>
    <w:rsid w:val="6B695FC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qFormat/>
    <w:pPr>
      <w:spacing w:before="100" w:beforeAutospacing="1" w:after="10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10</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lenovo</cp:lastModifiedBy>
  <cp:revision>22</cp:revision>
  <dcterms:created xsi:type="dcterms:W3CDTF">2020-06-04T05:22:00Z</dcterms:created>
  <dcterms:modified xsi:type="dcterms:W3CDTF">2023-11-17T08:53:06Z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C6C3C909E802450E99AF7CB46FA5E593</vt:lpwstr>
  </property>
  <property fmtid="{D5CDD505-2E9C-101B-9397-08002B2CF9AE}" pid="3" name="KSOProductBuildVer">
    <vt:lpwstr>2052-11.8.2.12118</vt:lpwstr>
  </property>
</Properties>
</file>