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napToGrid w:val="0"/>
        <w:spacing w:line="480" w:lineRule="auto"/>
        <w:jc w:val="left"/>
        <w:rPr>
          <w:rFonts w:ascii="仿宋_GB2312" w:eastAsia="仿宋_GB2312" w:hAnsi="仿宋_GB2312" w:cs="仿宋_GB2312" w:hint="eastAsia"/>
          <w:color w:val="auto"/>
          <w:sz w:val="32"/>
          <w:szCs w:val="32"/>
          <w:lang w:val="en-US" w:eastAsia="zh-CN" w:bidi="ar"/>
        </w:rPr>
      </w:pPr>
      <w:r>
        <w:rPr>
          <w:rFonts w:ascii="仿宋_GB2312" w:eastAsia="仿宋_GB2312" w:hAnsi="仿宋_GB2312" w:cs="仿宋_GB2312" w:hint="eastAsia"/>
          <w:color w:val="auto"/>
          <w:sz w:val="32"/>
          <w:szCs w:val="32"/>
          <w:lang w:bidi="ar"/>
        </w:rPr>
        <w:t>附</w:t>
      </w:r>
      <w:r>
        <w:rPr>
          <w:rFonts w:ascii="仿宋_GB2312" w:eastAsia="仿宋_GB2312" w:hAnsi="仿宋_GB2312" w:cs="仿宋_GB2312"/>
          <w:color w:val="auto"/>
          <w:sz w:val="32"/>
          <w:szCs w:val="32"/>
          <w:lang w:bidi="ar"/>
        </w:rPr>
        <w:t>件</w:t>
      </w:r>
      <w:r>
        <w:rPr>
          <w:rFonts w:ascii="仿宋_GB2312" w:eastAsia="仿宋_GB2312" w:hAnsi="仿宋_GB2312" w:cs="仿宋_GB2312" w:hint="eastAsia"/>
          <w:color w:val="auto"/>
          <w:sz w:val="32"/>
          <w:szCs w:val="32"/>
          <w:lang w:bidi="ar"/>
        </w:rPr>
        <w:t>3：</w:t>
      </w:r>
      <w:r>
        <w:rPr>
          <w:rFonts w:ascii="仿宋_GB2312" w:eastAsia="仿宋_GB2312" w:hAnsi="仿宋_GB2312" w:cs="仿宋_GB2312" w:hint="eastAsia"/>
          <w:color w:val="auto"/>
          <w:sz w:val="32"/>
          <w:szCs w:val="32"/>
          <w:lang w:val="en-US" w:eastAsia="zh-CN" w:bidi="ar"/>
        </w:rPr>
        <w:t xml:space="preserve"> </w:t>
      </w:r>
      <w:bookmarkStart w:id="0" w:name="_GoBack"/>
      <w:bookmarkEnd w:id="0"/>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lang w:val="en-US" w:eastAsia="zh-CN"/>
        </w:rPr>
        <w:t>乌苏市卫生计生综合监督执法局</w:t>
      </w:r>
      <w:r>
        <w:rPr>
          <w:rFonts w:ascii="方正小标宋_GBK" w:eastAsia="方正小标宋_GBK" w:hAnsi="仿宋_GB2312" w:cs="仿宋_GB2312" w:hint="eastAsia"/>
          <w:color w:val="auto"/>
          <w:kern w:val="0"/>
          <w:sz w:val="44"/>
          <w:szCs w:val="44"/>
        </w:rPr>
        <w:t>整体支出绩效自评报告</w:t>
      </w: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（2022年度）</w:t>
      </w: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rPr>
          <w:rFonts w:ascii="仿宋_GB2312" w:eastAsia="仿宋_GB2312" w:hAnsi="仿宋_GB2312" w:cs="仿宋_GB2312"/>
          <w:color w:val="auto"/>
          <w:kern w:val="0"/>
          <w:sz w:val="32"/>
          <w:szCs w:val="32"/>
        </w:rPr>
      </w:pPr>
    </w:p>
    <w:p>
      <w:pPr>
        <w:spacing w:line="700" w:lineRule="exact"/>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 xml:space="preserve">  </w:t>
      </w:r>
    </w:p>
    <w:p>
      <w:pPr>
        <w:spacing w:line="700" w:lineRule="exact"/>
        <w:jc w:val="left"/>
        <w:rPr>
          <w:rFonts w:ascii="仿宋_GB2312" w:eastAsia="仿宋_GB2312" w:hAnsi="仿宋_GB2312" w:cs="仿宋_GB2312" w:hint="eastAsia"/>
          <w:color w:val="auto"/>
          <w:kern w:val="0"/>
          <w:sz w:val="32"/>
          <w:szCs w:val="32"/>
          <w:lang w:eastAsia="zh-CN"/>
        </w:rPr>
      </w:pPr>
      <w:r>
        <w:rPr>
          <w:rFonts w:ascii="仿宋_GB2312" w:eastAsia="仿宋_GB2312" w:hAnsi="仿宋_GB2312" w:cs="仿宋_GB2312" w:hint="eastAsia"/>
          <w:color w:val="auto"/>
          <w:kern w:val="0"/>
          <w:sz w:val="32"/>
          <w:szCs w:val="32"/>
        </w:rPr>
        <w:t>部门单位名称（公章）：</w:t>
      </w:r>
      <w:r>
        <w:rPr>
          <w:rFonts w:ascii="仿宋_GB2312" w:eastAsia="仿宋_GB2312" w:hAnsi="仿宋_GB2312" w:cs="仿宋_GB2312" w:hint="eastAsia"/>
          <w:color w:val="auto"/>
          <w:kern w:val="0"/>
          <w:sz w:val="32"/>
          <w:szCs w:val="32"/>
          <w:lang w:val="en-US" w:eastAsia="zh-CN"/>
        </w:rPr>
        <w:t>乌苏市卫生计生综合监督执法局</w:t>
      </w:r>
    </w:p>
    <w:p>
      <w:pPr>
        <w:spacing w:line="700" w:lineRule="exact"/>
        <w:ind w:firstLine="640" w:firstLineChars="200"/>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填报时间：</w:t>
      </w:r>
      <w:r>
        <w:rPr>
          <w:rFonts w:ascii="仿宋_GB2312" w:eastAsia="仿宋_GB2312" w:hAnsi="仿宋_GB2312" w:cs="仿宋_GB2312" w:hint="eastAsia"/>
          <w:color w:val="auto"/>
          <w:kern w:val="0"/>
          <w:sz w:val="32"/>
          <w:szCs w:val="32"/>
          <w:lang w:val="en-US" w:eastAsia="zh-CN"/>
        </w:rPr>
        <w:t>2023</w:t>
      </w:r>
      <w:r>
        <w:rPr>
          <w:rFonts w:ascii="仿宋_GB2312" w:eastAsia="仿宋_GB2312" w:hAnsi="仿宋_GB2312" w:cs="仿宋_GB2312" w:hint="eastAsia"/>
          <w:color w:val="auto"/>
          <w:kern w:val="0"/>
          <w:sz w:val="32"/>
          <w:szCs w:val="32"/>
        </w:rPr>
        <w:t>年</w:t>
      </w:r>
      <w:r>
        <w:rPr>
          <w:rFonts w:ascii="仿宋_GB2312" w:eastAsia="仿宋_GB2312" w:hAnsi="仿宋_GB2312" w:cs="仿宋_GB2312" w:hint="eastAsia"/>
          <w:color w:val="auto"/>
          <w:kern w:val="0"/>
          <w:sz w:val="32"/>
          <w:szCs w:val="32"/>
          <w:lang w:val="en-US" w:eastAsia="zh-CN"/>
        </w:rPr>
        <w:t>4</w:t>
      </w:r>
      <w:r>
        <w:rPr>
          <w:rFonts w:ascii="仿宋_GB2312" w:eastAsia="仿宋_GB2312" w:hAnsi="仿宋_GB2312" w:cs="仿宋_GB2312" w:hint="eastAsia"/>
          <w:color w:val="auto"/>
          <w:kern w:val="0"/>
          <w:sz w:val="32"/>
          <w:szCs w:val="32"/>
        </w:rPr>
        <w:t>月</w:t>
      </w:r>
      <w:r>
        <w:rPr>
          <w:rFonts w:ascii="仿宋_GB2312" w:eastAsia="仿宋_GB2312" w:hAnsi="仿宋_GB2312" w:cs="仿宋_GB2312" w:hint="eastAsia"/>
          <w:color w:val="auto"/>
          <w:kern w:val="0"/>
          <w:sz w:val="32"/>
          <w:szCs w:val="32"/>
          <w:lang w:val="en-US" w:eastAsia="zh-CN"/>
        </w:rPr>
        <w:t>20</w:t>
      </w:r>
      <w:r>
        <w:rPr>
          <w:rFonts w:ascii="仿宋_GB2312" w:eastAsia="仿宋_GB2312" w:hAnsi="仿宋_GB2312" w:cs="仿宋_GB2312" w:hint="eastAsia"/>
          <w:color w:val="auto"/>
          <w:kern w:val="0"/>
          <w:sz w:val="32"/>
          <w:szCs w:val="32"/>
        </w:rPr>
        <w:t>日</w:t>
      </w:r>
    </w:p>
    <w:p>
      <w:pPr>
        <w:pStyle w:val="ListParagraph"/>
        <w:numPr>
          <w:ilvl w:val="0"/>
          <w:numId w:val="0"/>
        </w:numPr>
        <w:snapToGrid w:val="0"/>
        <w:spacing w:line="540" w:lineRule="exact"/>
        <w:outlineLvl w:val="0"/>
        <w:rPr>
          <w:rFonts w:ascii="黑体" w:eastAsia="黑体" w:hAnsi="黑体" w:cs="仿宋_GB2312" w:hint="eastAsia"/>
          <w:color w:val="auto"/>
          <w:sz w:val="32"/>
          <w:szCs w:val="32"/>
          <w:lang w:bidi="ar"/>
        </w:rPr>
      </w:pPr>
      <w:bookmarkStart w:id="1" w:name="_Toc23945_WPSOffice_Level1"/>
    </w:p>
    <w:p>
      <w:pPr>
        <w:pStyle w:val="ListParagraph"/>
        <w:numPr>
          <w:ilvl w:val="0"/>
          <w:numId w:val="0"/>
        </w:numPr>
        <w:snapToGrid w:val="0"/>
        <w:spacing w:line="540" w:lineRule="exact"/>
        <w:outlineLvl w:val="0"/>
        <w:rPr>
          <w:rFonts w:ascii="黑体" w:eastAsia="黑体" w:hAnsi="黑体" w:cs="仿宋_GB2312" w:hint="eastAsia"/>
          <w:color w:val="auto"/>
          <w:sz w:val="32"/>
          <w:szCs w:val="32"/>
          <w:lang w:val="en-US" w:eastAsia="zh-CN" w:bidi="ar"/>
        </w:rPr>
      </w:pPr>
    </w:p>
    <w:p>
      <w:pPr>
        <w:pStyle w:val="ListParagraph"/>
        <w:numPr>
          <w:ilvl w:val="0"/>
          <w:numId w:val="0"/>
        </w:numPr>
        <w:snapToGrid w:val="0"/>
        <w:spacing w:line="540" w:lineRule="exact"/>
        <w:outlineLvl w:val="0"/>
        <w:rPr>
          <w:rFonts w:ascii="黑体" w:eastAsia="黑体" w:hAnsi="黑体" w:cs="仿宋_GB2312" w:hint="eastAsia"/>
          <w:color w:val="auto"/>
          <w:sz w:val="32"/>
          <w:szCs w:val="32"/>
          <w:lang w:val="en-US" w:eastAsia="zh-CN" w:bidi="ar"/>
        </w:rPr>
      </w:pPr>
    </w:p>
    <w:p>
      <w:pPr>
        <w:pStyle w:val="ListParagraph"/>
        <w:numPr>
          <w:ilvl w:val="0"/>
          <w:numId w:val="0"/>
        </w:numPr>
        <w:snapToGrid w:val="0"/>
        <w:spacing w:line="540" w:lineRule="exact"/>
        <w:outlineLvl w:val="0"/>
        <w:rPr>
          <w:rFonts w:ascii="黑体" w:eastAsia="黑体" w:hAnsi="黑体" w:cs="仿宋_GB2312"/>
          <w:color w:val="auto"/>
          <w:sz w:val="32"/>
          <w:szCs w:val="32"/>
          <w:lang w:bidi="ar"/>
        </w:rPr>
      </w:pPr>
      <w:r>
        <w:rPr>
          <w:rFonts w:ascii="黑体" w:eastAsia="黑体" w:hAnsi="黑体" w:cs="仿宋_GB2312" w:hint="eastAsia"/>
          <w:color w:val="auto"/>
          <w:sz w:val="32"/>
          <w:szCs w:val="32"/>
          <w:lang w:val="en-US" w:eastAsia="zh-CN" w:bidi="ar"/>
        </w:rPr>
        <w:t>一、</w:t>
      </w:r>
      <w:r>
        <w:rPr>
          <w:rFonts w:ascii="黑体" w:eastAsia="黑体" w:hAnsi="黑体" w:cs="仿宋_GB2312" w:hint="eastAsia"/>
          <w:color w:val="auto"/>
          <w:sz w:val="32"/>
          <w:szCs w:val="32"/>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1.部门主要职能</w:t>
      </w:r>
    </w:p>
    <w:p>
      <w:pPr>
        <w:keepNext w:val="0"/>
        <w:keepLines w:val="0"/>
        <w:pageBreakBefore w:val="0"/>
        <w:widowControl/>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乌苏市卫生计生综合监督执法局是乌苏市卫计委依法在全市进行卫生计生监督执法的执行机构，属委托执法。具体承担《传染病防治法》、《职业病防治法》、《执业医师法》、《献血法》、《母婴保健法》《人口和计划生育法》《中医药法》七部法律和《公共场所卫生管理条例》、《医疗机构管理条例》、《学校卫生工作条例》、《医疗美容服务管理办法》、《生活饮用水卫生监督管理办法》等法规及</w:t>
      </w:r>
      <w:r>
        <w:rPr>
          <w:rFonts w:ascii="仿宋_GB2312" w:eastAsia="仿宋_GB2312" w:hAnsi="宋体"/>
          <w:color w:val="auto"/>
          <w:kern w:val="0"/>
          <w:sz w:val="32"/>
          <w:szCs w:val="32"/>
        </w:rPr>
        <w:t>200</w:t>
      </w:r>
      <w:r>
        <w:rPr>
          <w:rFonts w:ascii="仿宋_GB2312" w:eastAsia="仿宋_GB2312" w:hAnsi="宋体" w:hint="eastAsia"/>
          <w:color w:val="auto"/>
          <w:kern w:val="0"/>
          <w:sz w:val="32"/>
          <w:szCs w:val="32"/>
        </w:rPr>
        <w:t>多部部门规章的卫生计生监督职责。</w:t>
      </w:r>
    </w:p>
    <w:p>
      <w:pPr>
        <w:keepNext w:val="0"/>
        <w:keepLines w:val="0"/>
        <w:pageBreakBefore w:val="0"/>
        <w:numPr>
          <w:ilvl w:val="0"/>
          <w:numId w:val="1"/>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负责监督检查卫生计生法律法规的落实情况；</w:t>
      </w:r>
    </w:p>
    <w:p>
      <w:pPr>
        <w:keepNext w:val="0"/>
        <w:keepLines w:val="0"/>
        <w:pageBreakBefore w:val="0"/>
        <w:numPr>
          <w:ilvl w:val="0"/>
          <w:numId w:val="1"/>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承担卫生计生专项整治和日常监督检查；</w:t>
      </w:r>
    </w:p>
    <w:p>
      <w:pPr>
        <w:keepNext w:val="0"/>
        <w:keepLines w:val="0"/>
        <w:pageBreakBefore w:val="0"/>
        <w:numPr>
          <w:ilvl w:val="0"/>
          <w:numId w:val="1"/>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开展公共场所卫生、生活饮用水卫生、学校卫生及消毒产品和涉及饮用水卫生安全产品监督检查，查处违法行为；</w:t>
      </w:r>
    </w:p>
    <w:p>
      <w:pPr>
        <w:keepNext w:val="0"/>
        <w:keepLines w:val="0"/>
        <w:pageBreakBefore w:val="0"/>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color w:val="auto"/>
          <w:kern w:val="0"/>
          <w:sz w:val="32"/>
          <w:szCs w:val="32"/>
        </w:rPr>
        <w:t>4</w:t>
      </w:r>
      <w:r>
        <w:rPr>
          <w:rFonts w:ascii="仿宋_GB2312" w:eastAsia="仿宋_GB2312" w:hAnsi="宋体" w:hint="eastAsia"/>
          <w:color w:val="auto"/>
          <w:kern w:val="0"/>
          <w:sz w:val="32"/>
          <w:szCs w:val="32"/>
        </w:rPr>
        <w:t>、开展医疗机构、采供血机构及其从业人员的执业活动监督检查，打击非法行医和非法采供血，整顿和规范医疗服务秩序，查处违法行为；</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开展医疗卫生机构的放射诊疗、职业健康检查和职业病诊断与鉴定工作监督检查，查处违法行为；</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开展医疗机构、采供血机构、疾病预防控制机构的预防接种、传染病疫情报告、疫情控制措施、消毒隔离制度执行情况、医疗废物处置情况和病原微生物实验室生物安全等监督检查，查处违法行为；</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开展母婴保健机构、计划生育技术服务机构服务内容和从业人员的行为规范监督检查，依法打击“两非”行为，开展计划生育违法案件的督查督办；</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负责开展监督协管员培训、业务指导；</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承担辖区内卫生计生监督信息的收集、核实和上报；</w:t>
      </w:r>
    </w:p>
    <w:p>
      <w:pPr>
        <w:keepNext w:val="0"/>
        <w:keepLines w:val="0"/>
        <w:pageBreakBefore w:val="0"/>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color w:val="auto"/>
          <w:kern w:val="0"/>
          <w:sz w:val="32"/>
          <w:szCs w:val="32"/>
        </w:rPr>
        <w:t>10</w:t>
      </w:r>
      <w:r>
        <w:rPr>
          <w:rFonts w:ascii="仿宋_GB2312" w:eastAsia="仿宋_GB2312" w:hAnsi="宋体" w:hint="eastAsia"/>
          <w:color w:val="auto"/>
          <w:kern w:val="0"/>
          <w:sz w:val="32"/>
          <w:szCs w:val="32"/>
        </w:rPr>
        <w:t>、承担对违法行为投诉、举报的调查处理；</w:t>
      </w:r>
    </w:p>
    <w:p>
      <w:pPr>
        <w:keepNext w:val="0"/>
        <w:keepLines w:val="0"/>
        <w:pageBreakBefore w:val="0"/>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color w:val="auto"/>
          <w:kern w:val="0"/>
          <w:sz w:val="32"/>
          <w:szCs w:val="32"/>
        </w:rPr>
        <w:t>11</w:t>
      </w:r>
      <w:r>
        <w:rPr>
          <w:rFonts w:ascii="仿宋_GB2312" w:eastAsia="仿宋_GB2312" w:hAnsi="宋体" w:hint="eastAsia"/>
          <w:color w:val="auto"/>
          <w:kern w:val="0"/>
          <w:sz w:val="32"/>
          <w:szCs w:val="32"/>
        </w:rPr>
        <w:t>、承担卫生计生行政部门和中医民族医药管理部门交办的监督执法相关工作。</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hint="default"/>
          <w:b w:val="0"/>
          <w:color w:val="auto"/>
          <w:sz w:val="32"/>
          <w:szCs w:val="32"/>
          <w:lang w:val="en-US" w:eastAsia="zh-CN" w:bidi="ar"/>
        </w:rPr>
      </w:pP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Style w:val="Strong"/>
          <w:rFonts w:ascii="仿宋_GB2312" w:eastAsia="仿宋_GB2312" w:hAnsi="仿宋_GB2312" w:cs="仿宋_GB2312" w:hint="eastAsia"/>
          <w:b w:val="0"/>
          <w:color w:val="auto"/>
          <w:sz w:val="32"/>
          <w:szCs w:val="32"/>
          <w:lang w:bidi="ar"/>
        </w:rPr>
        <w:t>机关行政编制</w:t>
      </w:r>
      <w:r>
        <w:rPr>
          <w:rStyle w:val="Strong"/>
          <w:rFonts w:ascii="仿宋_GB2312" w:eastAsia="仿宋_GB2312" w:hAnsi="仿宋_GB2312" w:cs="仿宋_GB2312" w:hint="eastAsia"/>
          <w:b w:val="0"/>
          <w:color w:val="auto"/>
          <w:sz w:val="32"/>
          <w:szCs w:val="32"/>
          <w:lang w:val="en-US" w:eastAsia="zh-CN" w:bidi="ar"/>
        </w:rPr>
        <w:t>10</w:t>
      </w:r>
      <w:r>
        <w:rPr>
          <w:rStyle w:val="Strong"/>
          <w:rFonts w:ascii="仿宋_GB2312" w:eastAsia="仿宋_GB2312" w:hAnsi="仿宋_GB2312" w:cs="仿宋_GB2312" w:hint="eastAsia"/>
          <w:b w:val="0"/>
          <w:color w:val="auto"/>
          <w:sz w:val="32"/>
          <w:szCs w:val="32"/>
          <w:lang w:bidi="ar"/>
        </w:rPr>
        <w:t>名，其中：行政编制</w:t>
      </w:r>
      <w:r>
        <w:rPr>
          <w:rStyle w:val="Strong"/>
          <w:rFonts w:ascii="仿宋_GB2312" w:eastAsia="仿宋_GB2312" w:hAnsi="仿宋_GB2312" w:cs="仿宋_GB2312" w:hint="eastAsia"/>
          <w:b w:val="0"/>
          <w:color w:val="auto"/>
          <w:sz w:val="32"/>
          <w:szCs w:val="32"/>
          <w:lang w:val="en-US" w:eastAsia="zh-CN" w:bidi="ar"/>
        </w:rPr>
        <w:t>9</w:t>
      </w:r>
      <w:r>
        <w:rPr>
          <w:rStyle w:val="Strong"/>
          <w:rFonts w:ascii="仿宋_GB2312" w:eastAsia="仿宋_GB2312" w:hAnsi="仿宋_GB2312" w:cs="仿宋_GB2312" w:hint="eastAsia"/>
          <w:b w:val="0"/>
          <w:color w:val="auto"/>
          <w:sz w:val="32"/>
          <w:szCs w:val="32"/>
          <w:lang w:bidi="ar"/>
        </w:rPr>
        <w:t>名，机关工勤编制</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名。实有人员</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人</w:t>
      </w:r>
      <w:r>
        <w:rPr>
          <w:rStyle w:val="Strong"/>
          <w:rFonts w:ascii="仿宋_GB2312" w:eastAsia="仿宋_GB2312" w:hAnsi="仿宋_GB2312" w:cs="仿宋_GB2312" w:hint="eastAsia"/>
          <w:b w:val="0"/>
          <w:color w:val="auto"/>
          <w:sz w:val="32"/>
          <w:szCs w:val="32"/>
          <w:lang w:eastAsia="zh-CN" w:bidi="ar"/>
        </w:rPr>
        <w:t>，</w:t>
      </w:r>
      <w:r>
        <w:rPr>
          <w:rStyle w:val="Strong"/>
          <w:rFonts w:ascii="仿宋_GB2312" w:eastAsia="仿宋_GB2312" w:hAnsi="仿宋_GB2312" w:cs="仿宋_GB2312" w:hint="eastAsia"/>
          <w:b w:val="0"/>
          <w:color w:val="auto"/>
          <w:sz w:val="32"/>
          <w:szCs w:val="32"/>
          <w:lang w:val="en-US" w:eastAsia="zh-CN" w:bidi="ar"/>
        </w:rPr>
        <w:t>退休人员6名。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3.年度重点工作</w:t>
      </w:r>
    </w:p>
    <w:p>
      <w:pPr>
        <w:keepNext w:val="0"/>
        <w:keepLines w:val="0"/>
        <w:pageBreakBefore w:val="0"/>
        <w:numPr>
          <w:ilvl w:val="0"/>
          <w:numId w:val="3"/>
        </w:numPr>
        <w:kinsoku/>
        <w:wordWrap/>
        <w:overflowPunct/>
        <w:topLinePunct w:val="0"/>
        <w:autoSpaceDE/>
        <w:autoSpaceDN/>
        <w:bidi w:val="0"/>
        <w:spacing w:line="560" w:lineRule="exact"/>
        <w:ind w:left="-223" w:firstLine="643" w:leftChars="0" w:firstLineChars="0"/>
        <w:jc w:val="left"/>
        <w:textAlignment w:val="auto"/>
        <w:rPr>
          <w:rFonts w:ascii="仿宋_GB2312" w:eastAsia="仿宋_GB2312" w:hAnsi="仿宋" w:cs="仿宋"/>
          <w:color w:val="auto"/>
          <w:sz w:val="32"/>
          <w:szCs w:val="32"/>
        </w:rPr>
      </w:pPr>
      <w:r>
        <w:rPr>
          <w:rFonts w:ascii="仿宋_GB2312" w:eastAsia="仿宋_GB2312" w:hAnsi="仿宋" w:cs="仿宋" w:hint="eastAsia"/>
          <w:color w:val="auto"/>
          <w:sz w:val="32"/>
          <w:szCs w:val="32"/>
        </w:rPr>
        <w:t>我局监督人员对辖区</w:t>
      </w:r>
      <w:r>
        <w:rPr>
          <w:rFonts w:ascii="仿宋" w:eastAsia="仿宋" w:hAnsi="仿宋" w:cs="仿宋" w:hint="eastAsia"/>
          <w:color w:val="auto"/>
          <w:sz w:val="32"/>
          <w:szCs w:val="32"/>
          <w:lang w:val="en-US" w:eastAsia="zh-CN"/>
        </w:rPr>
        <w:t>对183家医疗机构进行多轮次卫生监督检查。重点对各医疗机构的发热门诊、预检分诊设置情况、疫情防控知识培训情况、人员防护情况、体温及</w:t>
      </w:r>
      <w:r>
        <w:rPr>
          <w:rFonts w:ascii="仿宋" w:eastAsia="仿宋" w:hAnsi="仿宋" w:cs="仿宋" w:hint="eastAsia"/>
          <w:color w:val="auto"/>
          <w:sz w:val="32"/>
          <w:szCs w:val="32"/>
          <w:lang w:val="en-US" w:eastAsia="zh-CN"/>
        </w:rPr>
        <w:t>核酸检测</w:t>
      </w:r>
      <w:r>
        <w:rPr>
          <w:rFonts w:ascii="仿宋" w:eastAsia="仿宋" w:hAnsi="仿宋" w:cs="仿宋" w:hint="eastAsia"/>
          <w:color w:val="auto"/>
          <w:sz w:val="32"/>
          <w:szCs w:val="32"/>
          <w:lang w:val="en-US" w:eastAsia="zh-CN"/>
        </w:rPr>
        <w:t>、医疗废物管理等方面进行了重点监督，对发现的问题及时下达卫生执法文书，并督导整改</w:t>
      </w:r>
      <w:r>
        <w:rPr>
          <w:rFonts w:ascii="仿宋_GB2312" w:eastAsia="仿宋_GB2312" w:hAnsi="仿宋" w:cs="仿宋" w:hint="eastAsia"/>
          <w:color w:val="auto"/>
          <w:sz w:val="32"/>
          <w:szCs w:val="32"/>
        </w:rPr>
        <w:t>。</w:t>
      </w:r>
    </w:p>
    <w:p>
      <w:pPr>
        <w:keepNext w:val="0"/>
        <w:keepLines w:val="0"/>
        <w:pageBreakBefore w:val="0"/>
        <w:numPr>
          <w:ilvl w:val="0"/>
          <w:numId w:val="3"/>
        </w:numPr>
        <w:kinsoku/>
        <w:wordWrap/>
        <w:overflowPunct/>
        <w:topLinePunct w:val="0"/>
        <w:autoSpaceDE/>
        <w:autoSpaceDN/>
        <w:bidi w:val="0"/>
        <w:spacing w:line="560" w:lineRule="exact"/>
        <w:ind w:left="-223" w:firstLine="643" w:leftChars="0" w:firstLineChars="0"/>
        <w:jc w:val="left"/>
        <w:textAlignment w:val="auto"/>
        <w:rPr>
          <w:rFonts w:ascii="仿宋_GB2312" w:eastAsia="仿宋_GB2312" w:hAnsi="仿宋" w:cs="仿宋"/>
          <w:color w:val="auto"/>
          <w:sz w:val="32"/>
          <w:szCs w:val="32"/>
        </w:rPr>
      </w:pPr>
      <w:r>
        <w:rPr>
          <w:rFonts w:ascii="仿宋" w:eastAsia="仿宋" w:hAnsi="仿宋" w:cs="仿宋" w:hint="eastAsia"/>
          <w:color w:val="auto"/>
          <w:sz w:val="32"/>
          <w:szCs w:val="32"/>
          <w:lang w:val="en-US" w:eastAsia="zh-CN"/>
        </w:rPr>
        <w:t>监督各类公共场所505户次，重点查看了各单位的疫情防控措施、传染病防控应急预案、公共场所通风换气情况、公共用品用具消毒情况、从业人员洗手消毒、佩戴口罩上岗情况以及每日监测体温及定期</w:t>
      </w:r>
      <w:r>
        <w:rPr>
          <w:rFonts w:ascii="仿宋" w:eastAsia="仿宋" w:hAnsi="仿宋" w:cs="仿宋" w:hint="eastAsia"/>
          <w:color w:val="auto"/>
          <w:sz w:val="32"/>
          <w:szCs w:val="32"/>
          <w:lang w:val="en-US" w:eastAsia="zh-CN"/>
        </w:rPr>
        <w:t>核酸检测</w:t>
      </w:r>
      <w:r>
        <w:rPr>
          <w:rFonts w:ascii="仿宋" w:eastAsia="仿宋" w:hAnsi="仿宋" w:cs="仿宋" w:hint="eastAsia"/>
          <w:color w:val="auto"/>
          <w:sz w:val="32"/>
          <w:szCs w:val="32"/>
          <w:lang w:val="en-US" w:eastAsia="zh-CN"/>
        </w:rPr>
        <w:t>情况等，要求各单位按照相关要求做好传染病防控工作</w:t>
      </w:r>
      <w:r>
        <w:rPr>
          <w:rFonts w:ascii="仿宋_GB2312" w:eastAsia="仿宋_GB2312" w:hAnsi="仿宋" w:cs="仿宋" w:hint="eastAsia"/>
          <w:color w:val="auto"/>
          <w:sz w:val="32"/>
          <w:szCs w:val="32"/>
        </w:rPr>
        <w:t>。</w:t>
      </w:r>
    </w:p>
    <w:p>
      <w:pPr>
        <w:keepNext w:val="0"/>
        <w:keepLines w:val="0"/>
        <w:pageBreakBefore w:val="0"/>
        <w:numPr>
          <w:ilvl w:val="0"/>
          <w:numId w:val="0"/>
        </w:numPr>
        <w:kinsoku/>
        <w:wordWrap/>
        <w:overflowPunct/>
        <w:topLinePunct w:val="0"/>
        <w:autoSpaceDE/>
        <w:autoSpaceDN/>
        <w:bidi w:val="0"/>
        <w:spacing w:line="560" w:lineRule="exact"/>
        <w:ind w:firstLine="640" w:firstLineChars="200"/>
        <w:jc w:val="left"/>
        <w:textAlignment w:val="auto"/>
        <w:rPr>
          <w:rFonts w:ascii="仿宋_GB2312" w:eastAsia="仿宋_GB2312" w:hAnsi="仿宋" w:cs="仿宋"/>
          <w:color w:val="auto"/>
          <w:sz w:val="32"/>
          <w:szCs w:val="32"/>
        </w:rPr>
      </w:pPr>
      <w:r>
        <w:rPr>
          <w:rFonts w:ascii="仿宋_GB2312" w:eastAsia="仿宋_GB2312" w:hAnsi="仿宋_GB2312" w:cs="仿宋_GB2312" w:hint="eastAsia"/>
          <w:color w:val="auto"/>
          <w:sz w:val="32"/>
          <w:szCs w:val="32"/>
          <w:lang w:val="en-US" w:eastAsia="zh-CN"/>
        </w:rPr>
        <w:t>3、助力学校学生安全。</w:t>
      </w:r>
      <w:r>
        <w:rPr>
          <w:rFonts w:ascii="仿宋" w:eastAsia="仿宋" w:hAnsi="仿宋" w:cs="仿宋" w:hint="eastAsia"/>
          <w:color w:val="auto"/>
          <w:sz w:val="32"/>
          <w:szCs w:val="32"/>
          <w:lang w:val="en-US" w:eastAsia="zh-CN"/>
        </w:rPr>
        <w:t>根据市疫情指挥部统一安排部署，我单位对全市31家中小学校、</w:t>
      </w:r>
      <w:r>
        <w:rPr>
          <w:rFonts w:ascii="仿宋" w:eastAsia="仿宋" w:hAnsi="仿宋" w:cs="仿宋" w:hint="eastAsia"/>
          <w:color w:val="auto"/>
          <w:sz w:val="32"/>
          <w:szCs w:val="32"/>
          <w:u w:val="none"/>
          <w:lang w:val="en-US" w:eastAsia="zh-CN"/>
        </w:rPr>
        <w:t>46家</w:t>
      </w:r>
      <w:r>
        <w:rPr>
          <w:rFonts w:ascii="仿宋" w:eastAsia="仿宋" w:hAnsi="仿宋" w:cs="仿宋" w:hint="eastAsia"/>
          <w:color w:val="auto"/>
          <w:sz w:val="32"/>
          <w:szCs w:val="32"/>
          <w:lang w:val="en-US" w:eastAsia="zh-CN"/>
        </w:rPr>
        <w:t>托幼机构、</w:t>
      </w:r>
      <w:r>
        <w:rPr>
          <w:rFonts w:ascii="仿宋" w:eastAsia="仿宋" w:hAnsi="仿宋" w:cs="仿宋" w:hint="eastAsia"/>
          <w:color w:val="auto"/>
          <w:sz w:val="32"/>
          <w:szCs w:val="32"/>
          <w:u w:val="none"/>
          <w:lang w:val="en-US" w:eastAsia="zh-CN"/>
        </w:rPr>
        <w:t>49家</w:t>
      </w:r>
      <w:r>
        <w:rPr>
          <w:rFonts w:ascii="仿宋" w:eastAsia="仿宋" w:hAnsi="仿宋" w:cs="仿宋" w:hint="eastAsia"/>
          <w:color w:val="auto"/>
          <w:sz w:val="32"/>
          <w:szCs w:val="32"/>
          <w:lang w:val="en-US" w:eastAsia="zh-CN"/>
        </w:rPr>
        <w:t>校外培训机构进行了两轮卫生监督检查，确保学生卫生安全，保证教育教学、疫情防控工作两手抓，两不误</w:t>
      </w:r>
      <w:r>
        <w:rPr>
          <w:rFonts w:ascii="仿宋_GB2312" w:eastAsia="仿宋_GB2312" w:hAnsi="仿宋" w:cs="仿宋" w:hint="eastAsia"/>
          <w:color w:val="auto"/>
          <w:sz w:val="32"/>
          <w:szCs w:val="32"/>
        </w:rPr>
        <w:t>。</w:t>
      </w:r>
    </w:p>
    <w:p>
      <w:pPr>
        <w:keepNext w:val="0"/>
        <w:keepLines w:val="0"/>
        <w:pageBreakBefore w:val="0"/>
        <w:numPr>
          <w:ilvl w:val="0"/>
          <w:numId w:val="0"/>
        </w:numPr>
        <w:kinsoku/>
        <w:wordWrap/>
        <w:overflowPunct/>
        <w:topLinePunct w:val="0"/>
        <w:autoSpaceDE/>
        <w:autoSpaceDN/>
        <w:bidi w:val="0"/>
        <w:spacing w:line="560" w:lineRule="exact"/>
        <w:ind w:firstLine="640" w:firstLineChars="200"/>
        <w:jc w:val="left"/>
        <w:textAlignment w:val="auto"/>
        <w:rPr>
          <w:rFonts w:ascii="仿宋" w:eastAsia="仿宋" w:hAnsi="仿宋" w:cs="仿宋" w:hint="eastAsia"/>
          <w:color w:val="auto"/>
          <w:sz w:val="32"/>
          <w:szCs w:val="32"/>
          <w:lang w:val="en-US" w:eastAsia="zh-CN"/>
        </w:rPr>
      </w:pPr>
      <w:r>
        <w:rPr>
          <w:rFonts w:ascii="仿宋" w:eastAsia="仿宋" w:hAnsi="仿宋" w:cs="仿宋" w:hint="eastAsia"/>
          <w:color w:val="auto"/>
          <w:sz w:val="32"/>
          <w:szCs w:val="32"/>
          <w:lang w:val="en-US" w:eastAsia="zh-CN"/>
        </w:rPr>
        <w:t>4、我局与相关单位协同合作，成立督导专班，对全市各乡场街道、社区，村队、学校，医疗机构、公共场所等700多个点位开展1000余次的督导检查，并进行现场指导，发现问题 1452条，立即整改1052条，下达限期整改通知书350余份，通过开展回头看活动，己基本整改，未整改的单位，均报指挥部进行通报。</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部门项目立项程序规范，项目严格按照规定的程序申请设立；审批文件、材料符合相关要求；项目前期已经过必要的可行性研究、专家论证、风险评估、绩效评估、集体决策。</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预算编制科学，整体项目在资金投入方面，预算编制经过科学论证、有明确标准，资金额度与年度目标相适应，用以反映和考核项目预算编制的科学性、合理性情况。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资金分配合理，整体项目预算资金分配有测算依据，资金分配额度合理，与部门单位的实际情况相适应。</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32"/>
          <w:szCs w:val="32"/>
          <w:lang w:val="en-US" w:eastAsia="zh-CN" w:bidi="ar"/>
        </w:rPr>
        <w:t>职业病卫生</w:t>
      </w:r>
      <w:r>
        <w:rPr>
          <w:rStyle w:val="Strong"/>
          <w:rFonts w:ascii="仿宋_GB2312" w:eastAsia="仿宋_GB2312" w:hAnsi="仿宋_GB2312" w:cs="仿宋_GB2312" w:hint="eastAsia"/>
          <w:b w:val="0"/>
          <w:color w:val="auto"/>
          <w:sz w:val="32"/>
          <w:szCs w:val="32"/>
          <w:lang w:bidi="ar"/>
        </w:rPr>
        <w:t>等重点项目，履行了</w:t>
      </w:r>
      <w:r>
        <w:rPr>
          <w:rStyle w:val="Strong"/>
          <w:rFonts w:ascii="仿宋_GB2312" w:eastAsia="仿宋_GB2312" w:hAnsi="仿宋_GB2312" w:cs="仿宋_GB2312" w:hint="eastAsia"/>
          <w:b w:val="0"/>
          <w:color w:val="auto"/>
          <w:sz w:val="32"/>
          <w:szCs w:val="32"/>
          <w:lang w:val="en-US" w:eastAsia="zh-CN" w:bidi="ar"/>
        </w:rPr>
        <w:t>守护职工安全，维护公共卫生</w:t>
      </w:r>
      <w:r>
        <w:rPr>
          <w:rStyle w:val="Strong"/>
          <w:rFonts w:ascii="仿宋_GB2312" w:eastAsia="仿宋_GB2312" w:hAnsi="仿宋_GB2312" w:cs="仿宋_GB2312" w:hint="eastAsia"/>
          <w:b w:val="0"/>
          <w:color w:val="auto"/>
          <w:sz w:val="32"/>
          <w:szCs w:val="32"/>
          <w:lang w:bidi="ar"/>
        </w:rPr>
        <w:t>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本年度预算安排的重点项目支出</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万元，项目总支出</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万元，重点支出保障率为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我单位年初预算数为</w:t>
      </w:r>
      <w:r>
        <w:rPr>
          <w:rStyle w:val="Strong"/>
          <w:rFonts w:ascii="仿宋_GB2312" w:eastAsia="仿宋_GB2312" w:hAnsi="仿宋_GB2312" w:cs="仿宋_GB2312" w:hint="eastAsia"/>
          <w:b w:val="0"/>
          <w:color w:val="auto"/>
          <w:sz w:val="32"/>
          <w:szCs w:val="32"/>
          <w:lang w:val="en-US" w:eastAsia="zh-CN" w:bidi="ar"/>
        </w:rPr>
        <w:t>96.16</w:t>
      </w:r>
      <w:r>
        <w:rPr>
          <w:rStyle w:val="Strong"/>
          <w:rFonts w:ascii="仿宋_GB2312" w:eastAsia="仿宋_GB2312" w:hAnsi="仿宋_GB2312" w:cs="仿宋_GB2312" w:hint="eastAsia"/>
          <w:b w:val="0"/>
          <w:color w:val="auto"/>
          <w:sz w:val="32"/>
          <w:szCs w:val="32"/>
          <w:lang w:bidi="ar"/>
        </w:rPr>
        <w:t>万元，实际预算执行数</w:t>
      </w:r>
      <w:r>
        <w:rPr>
          <w:rStyle w:val="Strong"/>
          <w:rFonts w:ascii="仿宋_GB2312" w:eastAsia="仿宋_GB2312" w:hAnsi="仿宋_GB2312" w:cs="仿宋_GB2312" w:hint="eastAsia"/>
          <w:b w:val="0"/>
          <w:color w:val="auto"/>
          <w:sz w:val="32"/>
          <w:szCs w:val="32"/>
          <w:lang w:val="en-US" w:eastAsia="zh-CN" w:bidi="ar"/>
        </w:rPr>
        <w:t>91.74</w:t>
      </w:r>
      <w:r>
        <w:rPr>
          <w:rStyle w:val="Strong"/>
          <w:rFonts w:ascii="仿宋_GB2312" w:eastAsia="仿宋_GB2312" w:hAnsi="仿宋_GB2312" w:cs="仿宋_GB2312" w:hint="eastAsia"/>
          <w:b w:val="0"/>
          <w:color w:val="auto"/>
          <w:sz w:val="32"/>
          <w:szCs w:val="32"/>
          <w:lang w:bidi="ar"/>
        </w:rPr>
        <w:t>万元，年初预算执行率为</w:t>
      </w:r>
      <w:r>
        <w:rPr>
          <w:rStyle w:val="Strong"/>
          <w:rFonts w:ascii="仿宋_GB2312" w:eastAsia="仿宋_GB2312" w:hAnsi="仿宋_GB2312" w:cs="仿宋_GB2312" w:hint="eastAsia"/>
          <w:b w:val="0"/>
          <w:color w:val="auto"/>
          <w:sz w:val="32"/>
          <w:szCs w:val="32"/>
          <w:lang w:val="en-US" w:eastAsia="zh-CN" w:bidi="ar"/>
        </w:rPr>
        <w:t>95.4</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（2）全年预算执行情况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 w:val="0"/>
          <w:color w:val="auto"/>
          <w:sz w:val="32"/>
          <w:szCs w:val="32"/>
          <w:lang w:bidi="ar"/>
        </w:rPr>
        <w:t>全年预算数为</w:t>
      </w:r>
      <w:r>
        <w:rPr>
          <w:rStyle w:val="Strong"/>
          <w:rFonts w:ascii="仿宋_GB2312" w:eastAsia="仿宋_GB2312" w:hAnsi="仿宋_GB2312" w:cs="仿宋_GB2312" w:hint="eastAsia"/>
          <w:b w:val="0"/>
          <w:color w:val="auto"/>
          <w:sz w:val="32"/>
          <w:szCs w:val="32"/>
          <w:lang w:val="en-US" w:eastAsia="zh-CN" w:bidi="ar"/>
        </w:rPr>
        <w:t>132.65</w:t>
      </w:r>
      <w:r>
        <w:rPr>
          <w:rStyle w:val="Strong"/>
          <w:rFonts w:ascii="仿宋_GB2312" w:eastAsia="仿宋_GB2312" w:hAnsi="仿宋_GB2312" w:cs="仿宋_GB2312" w:hint="eastAsia"/>
          <w:b w:val="0"/>
          <w:color w:val="auto"/>
          <w:sz w:val="32"/>
          <w:szCs w:val="32"/>
          <w:lang w:bidi="ar"/>
        </w:rPr>
        <w:t>万元，全年实际支出资金</w:t>
      </w:r>
      <w:r>
        <w:rPr>
          <w:rStyle w:val="Strong"/>
          <w:rFonts w:ascii="仿宋_GB2312" w:eastAsia="仿宋_GB2312" w:hAnsi="仿宋_GB2312" w:cs="仿宋_GB2312" w:hint="eastAsia"/>
          <w:b w:val="0"/>
          <w:color w:val="auto"/>
          <w:sz w:val="32"/>
          <w:szCs w:val="32"/>
          <w:lang w:val="en-US" w:eastAsia="zh-CN" w:bidi="ar"/>
        </w:rPr>
        <w:t>132.65</w:t>
      </w:r>
      <w:r>
        <w:rPr>
          <w:rStyle w:val="Strong"/>
          <w:rFonts w:ascii="仿宋_GB2312" w:eastAsia="仿宋_GB2312" w:hAnsi="仿宋_GB2312" w:cs="仿宋_GB2312" w:hint="eastAsia"/>
          <w:b w:val="0"/>
          <w:color w:val="auto"/>
          <w:sz w:val="32"/>
          <w:szCs w:val="32"/>
          <w:lang w:bidi="ar"/>
        </w:rPr>
        <w:t>万元，全年预算执行率为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我单位年初批复预算数</w:t>
      </w:r>
      <w:r>
        <w:rPr>
          <w:rStyle w:val="Strong"/>
          <w:rFonts w:ascii="仿宋_GB2312" w:eastAsia="仿宋_GB2312" w:hAnsi="仿宋_GB2312" w:cs="仿宋_GB2312" w:hint="eastAsia"/>
          <w:b w:val="0"/>
          <w:color w:val="auto"/>
          <w:sz w:val="32"/>
          <w:szCs w:val="32"/>
          <w:lang w:val="en-US" w:eastAsia="zh-CN" w:bidi="ar"/>
        </w:rPr>
        <w:t>96.16</w:t>
      </w:r>
      <w:r>
        <w:rPr>
          <w:rStyle w:val="Strong"/>
          <w:rFonts w:ascii="仿宋_GB2312" w:eastAsia="仿宋_GB2312" w:hAnsi="仿宋_GB2312" w:cs="仿宋_GB2312" w:hint="eastAsia"/>
          <w:b w:val="0"/>
          <w:color w:val="auto"/>
          <w:sz w:val="32"/>
          <w:szCs w:val="32"/>
          <w:lang w:bidi="ar"/>
        </w:rPr>
        <w:t>万元，年中调整数</w:t>
      </w:r>
      <w:r>
        <w:rPr>
          <w:rStyle w:val="Strong"/>
          <w:rFonts w:ascii="仿宋_GB2312" w:eastAsia="仿宋_GB2312" w:hAnsi="仿宋_GB2312" w:cs="仿宋_GB2312" w:hint="eastAsia"/>
          <w:b w:val="0"/>
          <w:color w:val="auto"/>
          <w:sz w:val="32"/>
          <w:szCs w:val="32"/>
          <w:lang w:val="en-US" w:eastAsia="zh-CN" w:bidi="ar"/>
        </w:rPr>
        <w:t>36.5</w:t>
      </w:r>
      <w:r>
        <w:rPr>
          <w:rStyle w:val="Strong"/>
          <w:rFonts w:ascii="仿宋_GB2312" w:eastAsia="仿宋_GB2312" w:hAnsi="仿宋_GB2312" w:cs="仿宋_GB2312" w:hint="eastAsia"/>
          <w:b w:val="0"/>
          <w:color w:val="auto"/>
          <w:sz w:val="32"/>
          <w:szCs w:val="32"/>
          <w:lang w:bidi="ar"/>
        </w:rPr>
        <w:t>万元，调整后全年预算数</w:t>
      </w:r>
      <w:r>
        <w:rPr>
          <w:rStyle w:val="Strong"/>
          <w:rFonts w:ascii="仿宋_GB2312" w:eastAsia="仿宋_GB2312" w:hAnsi="仿宋_GB2312" w:cs="仿宋_GB2312" w:hint="eastAsia"/>
          <w:b w:val="0"/>
          <w:color w:val="auto"/>
          <w:sz w:val="32"/>
          <w:szCs w:val="32"/>
          <w:lang w:val="en-US" w:eastAsia="zh-CN" w:bidi="ar"/>
        </w:rPr>
        <w:t>132.65</w:t>
      </w:r>
      <w:r>
        <w:rPr>
          <w:rStyle w:val="Strong"/>
          <w:rFonts w:ascii="仿宋_GB2312" w:eastAsia="仿宋_GB2312" w:hAnsi="仿宋_GB2312" w:cs="仿宋_GB2312" w:hint="eastAsia"/>
          <w:b w:val="0"/>
          <w:color w:val="auto"/>
          <w:sz w:val="32"/>
          <w:szCs w:val="32"/>
          <w:lang w:bidi="ar"/>
        </w:rPr>
        <w:t>万元，预算调整率</w:t>
      </w:r>
      <w:r>
        <w:rPr>
          <w:rStyle w:val="Strong"/>
          <w:rFonts w:ascii="仿宋_GB2312" w:eastAsia="仿宋_GB2312" w:hAnsi="仿宋_GB2312" w:cs="仿宋_GB2312" w:hint="eastAsia"/>
          <w:b w:val="0"/>
          <w:color w:val="auto"/>
          <w:sz w:val="32"/>
          <w:szCs w:val="32"/>
          <w:lang w:val="en-US" w:eastAsia="zh-CN" w:bidi="ar"/>
        </w:rPr>
        <w:t>37.95</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我单位本年度需政府采购的预算数为0万元。</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bookmarkStart w:id="2" w:name="_Hlk49856735"/>
      <w:r>
        <w:rPr>
          <w:rStyle w:val="Strong"/>
          <w:rFonts w:ascii="仿宋_GB2312" w:eastAsia="仿宋_GB2312" w:hAnsi="仿宋_GB2312" w:cs="仿宋_GB2312" w:hint="eastAsia"/>
          <w:b w:val="0"/>
          <w:color w:val="auto"/>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评价的对象及主要内容为:</w:t>
      </w:r>
      <w:r>
        <w:rPr>
          <w:rStyle w:val="Strong"/>
          <w:rFonts w:ascii="仿宋_GB2312" w:eastAsia="仿宋_GB2312" w:hAnsi="仿宋_GB2312" w:cs="仿宋_GB2312" w:hint="eastAsia"/>
          <w:b w:val="0"/>
          <w:bCs w:val="0"/>
          <w:color w:val="auto"/>
          <w:sz w:val="32"/>
          <w:szCs w:val="32"/>
          <w:lang w:bidi="ar"/>
        </w:rPr>
        <w:t>一是</w:t>
      </w:r>
      <w:r>
        <w:rPr>
          <w:rStyle w:val="Strong"/>
          <w:rFonts w:ascii="仿宋_GB2312" w:eastAsia="仿宋_GB2312" w:hAnsi="仿宋_GB2312" w:cs="仿宋_GB2312" w:hint="eastAsia"/>
          <w:b w:val="0"/>
          <w:color w:val="auto"/>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lang w:bidi="ar"/>
        </w:rPr>
        <w:t>二是</w:t>
      </w:r>
      <w:r>
        <w:rPr>
          <w:rStyle w:val="Strong"/>
          <w:rFonts w:ascii="仿宋_GB2312" w:eastAsia="仿宋_GB2312" w:hAnsi="仿宋_GB2312" w:cs="仿宋_GB2312" w:hint="eastAsia"/>
          <w:b w:val="0"/>
          <w:color w:val="auto"/>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lang w:bidi="ar"/>
        </w:rPr>
        <w:t>三是</w:t>
      </w:r>
      <w:r>
        <w:rPr>
          <w:rStyle w:val="Strong"/>
          <w:rFonts w:ascii="仿宋_GB2312" w:eastAsia="仿宋_GB2312" w:hAnsi="仿宋_GB2312" w:cs="仿宋_GB2312" w:hint="eastAsia"/>
          <w:b w:val="0"/>
          <w:color w:val="auto"/>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lang w:bidi="ar"/>
        </w:rPr>
        <w:t>四是</w:t>
      </w:r>
      <w:r>
        <w:rPr>
          <w:rStyle w:val="Strong"/>
          <w:rFonts w:ascii="仿宋_GB2312" w:eastAsia="仿宋_GB2312" w:hAnsi="仿宋_GB2312" w:cs="仿宋_GB2312" w:hint="eastAsia"/>
          <w:b w:val="0"/>
          <w:color w:val="auto"/>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评价范围是对本单位整体支出从年度总体绩效目标、产出指标、效益指标、满意度指标等方面进行了全方位、多角度综合评价分析。</w:t>
      </w:r>
    </w:p>
    <w:p>
      <w:pPr>
        <w:pStyle w:val="ListParagraph"/>
        <w:numPr>
          <w:ilvl w:val="0"/>
          <w:numId w:val="4"/>
        </w:numPr>
        <w:snapToGrid w:val="0"/>
        <w:spacing w:line="540" w:lineRule="exact"/>
        <w:ind w:firstLineChars="0"/>
        <w:outlineLvl w:val="0"/>
        <w:rPr>
          <w:rFonts w:ascii="黑体" w:eastAsia="黑体" w:hAnsi="黑体" w:cs="仿宋_GB2312"/>
          <w:color w:val="auto"/>
          <w:sz w:val="32"/>
          <w:szCs w:val="32"/>
          <w:lang w:bidi="ar"/>
        </w:rPr>
      </w:pPr>
      <w:bookmarkStart w:id="3" w:name="_Toc32535_WPSOffice_Level1"/>
      <w:r>
        <w:rPr>
          <w:rFonts w:ascii="黑体" w:eastAsia="黑体" w:hAnsi="黑体" w:cs="仿宋_GB2312" w:hint="eastAsia"/>
          <w:color w:val="auto"/>
          <w:sz w:val="32"/>
          <w:szCs w:val="32"/>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本单位为加强预算管理，规范财务行为，已制定《</w:t>
      </w: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Style w:val="Strong"/>
          <w:rFonts w:ascii="仿宋_GB2312" w:eastAsia="仿宋_GB2312" w:hAnsi="仿宋_GB2312" w:cs="仿宋_GB2312" w:hint="eastAsia"/>
          <w:b w:val="0"/>
          <w:color w:val="auto"/>
          <w:sz w:val="32"/>
          <w:szCs w:val="32"/>
          <w:lang w:bidi="ar"/>
        </w:rPr>
        <w:t>部门单位预算绩效管理工作实施办法》，《</w:t>
      </w: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Style w:val="Strong"/>
          <w:rFonts w:ascii="仿宋_GB2312" w:eastAsia="仿宋_GB2312" w:hAnsi="仿宋_GB2312" w:cs="仿宋_GB2312" w:hint="eastAsia"/>
          <w:b w:val="0"/>
          <w:color w:val="auto"/>
          <w:sz w:val="32"/>
          <w:szCs w:val="32"/>
          <w:lang w:bidi="ar"/>
        </w:rPr>
        <w:t>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Fonts w:ascii="仿宋_GB2312" w:eastAsia="仿宋_GB2312" w:hAnsi="仿宋" w:cs="宋体" w:hint="eastAsia"/>
          <w:bCs/>
          <w:color w:val="auto"/>
          <w:sz w:val="32"/>
          <w:szCs w:val="32"/>
          <w:lang w:bidi="ar"/>
        </w:rPr>
        <w:t>按照</w:t>
      </w: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Fonts w:ascii="仿宋_GB2312" w:eastAsia="仿宋_GB2312" w:hAnsi="仿宋" w:cs="宋体" w:hint="eastAsia"/>
          <w:bCs/>
          <w:color w:val="auto"/>
          <w:sz w:val="32"/>
          <w:szCs w:val="32"/>
          <w:lang w:bidi="ar"/>
        </w:rPr>
        <w:t>财政局预决算信息公开工作要求，我单位在</w:t>
      </w:r>
      <w:r>
        <w:rPr>
          <w:rStyle w:val="Strong"/>
          <w:rFonts w:ascii="仿宋_GB2312" w:eastAsia="仿宋_GB2312" w:hAnsi="仿宋_GB2312" w:cs="仿宋_GB2312" w:hint="eastAsia"/>
          <w:b w:val="0"/>
          <w:color w:val="auto"/>
          <w:sz w:val="32"/>
          <w:szCs w:val="32"/>
          <w:lang w:val="en-US" w:eastAsia="zh-CN" w:bidi="ar"/>
        </w:rPr>
        <w:t>塔城</w:t>
      </w:r>
      <w:r>
        <w:rPr>
          <w:rFonts w:ascii="仿宋_GB2312" w:eastAsia="仿宋_GB2312" w:hAnsi="仿宋" w:cs="宋体" w:hint="eastAsia"/>
          <w:bCs/>
          <w:color w:val="auto"/>
          <w:sz w:val="32"/>
          <w:szCs w:val="32"/>
          <w:lang w:bidi="ar"/>
        </w:rPr>
        <w:t>地区政府信息网财政信息公开专栏对本单位预决算信息进行了公开。公开内容主要包括：本单位主要职能、机构及人员情况，收入、支出预算安排及决算情况，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2022年本单位基本支出全年预算总额</w:t>
      </w:r>
      <w:r>
        <w:rPr>
          <w:rStyle w:val="Strong"/>
          <w:rFonts w:ascii="仿宋_GB2312" w:eastAsia="仿宋_GB2312" w:hAnsi="仿宋_GB2312" w:cs="仿宋_GB2312" w:hint="eastAsia"/>
          <w:b w:val="0"/>
          <w:color w:val="auto"/>
          <w:sz w:val="32"/>
          <w:szCs w:val="32"/>
          <w:lang w:val="en-US" w:eastAsia="zh-CN" w:bidi="ar"/>
        </w:rPr>
        <w:t>129.96</w:t>
      </w:r>
      <w:r>
        <w:rPr>
          <w:rStyle w:val="Strong"/>
          <w:rFonts w:ascii="仿宋_GB2312" w:eastAsia="仿宋_GB2312" w:hAnsi="仿宋_GB2312" w:cs="仿宋_GB2312" w:hint="eastAsia"/>
          <w:b w:val="0"/>
          <w:color w:val="auto"/>
          <w:sz w:val="32"/>
          <w:szCs w:val="32"/>
          <w:lang w:bidi="ar"/>
        </w:rPr>
        <w:t>万元，其中：人员经费</w:t>
      </w:r>
      <w:r>
        <w:rPr>
          <w:rStyle w:val="Strong"/>
          <w:rFonts w:ascii="仿宋_GB2312" w:eastAsia="仿宋_GB2312" w:hAnsi="仿宋_GB2312" w:cs="仿宋_GB2312" w:hint="eastAsia"/>
          <w:b w:val="0"/>
          <w:color w:val="auto"/>
          <w:sz w:val="32"/>
          <w:szCs w:val="32"/>
          <w:lang w:val="en-US" w:eastAsia="zh-CN" w:bidi="ar"/>
        </w:rPr>
        <w:t>126.56</w:t>
      </w:r>
      <w:r>
        <w:rPr>
          <w:rStyle w:val="Strong"/>
          <w:rFonts w:ascii="仿宋_GB2312" w:eastAsia="仿宋_GB2312" w:hAnsi="仿宋_GB2312" w:cs="仿宋_GB2312" w:hint="eastAsia"/>
          <w:b w:val="0"/>
          <w:color w:val="auto"/>
          <w:sz w:val="32"/>
          <w:szCs w:val="32"/>
          <w:lang w:bidi="ar"/>
        </w:rPr>
        <w:t>万元，公用经费</w:t>
      </w:r>
      <w:r>
        <w:rPr>
          <w:rStyle w:val="Strong"/>
          <w:rFonts w:ascii="仿宋_GB2312" w:eastAsia="仿宋_GB2312" w:hAnsi="仿宋_GB2312" w:cs="仿宋_GB2312" w:hint="eastAsia"/>
          <w:b w:val="0"/>
          <w:color w:val="auto"/>
          <w:sz w:val="32"/>
          <w:szCs w:val="32"/>
          <w:lang w:val="en-US" w:eastAsia="zh-CN" w:bidi="ar"/>
        </w:rPr>
        <w:t>3.39</w:t>
      </w:r>
      <w:r>
        <w:rPr>
          <w:rStyle w:val="Strong"/>
          <w:rFonts w:ascii="仿宋_GB2312" w:eastAsia="仿宋_GB2312" w:hAnsi="仿宋_GB2312" w:cs="仿宋_GB2312" w:hint="eastAsia"/>
          <w:b w:val="0"/>
          <w:color w:val="auto"/>
          <w:sz w:val="32"/>
          <w:szCs w:val="32"/>
          <w:lang w:bidi="ar"/>
        </w:rPr>
        <w:t>万元。实际支出</w:t>
      </w:r>
      <w:r>
        <w:rPr>
          <w:rStyle w:val="Strong"/>
          <w:rFonts w:ascii="仿宋_GB2312" w:eastAsia="仿宋_GB2312" w:hAnsi="仿宋_GB2312" w:cs="仿宋_GB2312" w:hint="eastAsia"/>
          <w:b w:val="0"/>
          <w:color w:val="auto"/>
          <w:sz w:val="32"/>
          <w:szCs w:val="32"/>
          <w:lang w:val="en-US" w:eastAsia="zh-CN" w:bidi="ar"/>
        </w:rPr>
        <w:t>129.96</w:t>
      </w:r>
      <w:r>
        <w:rPr>
          <w:rStyle w:val="Strong"/>
          <w:rFonts w:ascii="仿宋_GB2312" w:eastAsia="仿宋_GB2312" w:hAnsi="仿宋_GB2312" w:cs="仿宋_GB2312" w:hint="eastAsia"/>
          <w:b w:val="0"/>
          <w:color w:val="auto"/>
          <w:sz w:val="32"/>
          <w:szCs w:val="32"/>
          <w:lang w:bidi="ar"/>
        </w:rPr>
        <w:t>万元，基本支出预算执行率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2.三公经费控制情况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只减不增。2022年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预算为</w:t>
      </w:r>
      <w:r>
        <w:rPr>
          <w:rFonts w:ascii="仿宋_GB2312" w:eastAsia="仿宋_GB2312" w:hAnsi="仿宋" w:cs="宋体" w:hint="eastAsia"/>
          <w:bCs/>
          <w:color w:val="auto"/>
          <w:sz w:val="32"/>
          <w:szCs w:val="32"/>
          <w:lang w:val="en-US" w:eastAsia="zh-CN" w:bidi="ar"/>
        </w:rPr>
        <w:t>0.04</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控制率为</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hint="eastAsia"/>
          <w:bCs/>
          <w:color w:val="auto"/>
          <w:sz w:val="32"/>
          <w:szCs w:val="32"/>
          <w:lang w:bidi="ar"/>
        </w:rPr>
        <w:t>%，其中：因公出国（境）费预算为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万元；公务接待费预算为</w:t>
      </w:r>
      <w:r>
        <w:rPr>
          <w:rFonts w:ascii="仿宋_GB2312" w:eastAsia="仿宋_GB2312" w:hAnsi="仿宋" w:cs="宋体" w:hint="eastAsia"/>
          <w:bCs/>
          <w:color w:val="auto"/>
          <w:sz w:val="32"/>
          <w:szCs w:val="32"/>
          <w:lang w:val="en-US" w:eastAsia="zh-CN" w:bidi="ar"/>
        </w:rPr>
        <w:t>0.04</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万元；公务用车购置费预算为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万元，公务用车运行维护费控制率</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hint="eastAsia"/>
          <w:bCs/>
          <w:color w:val="auto"/>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2022年本单位安排专项支出预算总额</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万元（本年度所有项目资金），实际支出</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万元，专项支出预算执行率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2022年本单位共有</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个资金项目，其中</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个属经常性项目、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个属当年度新增项目，已完成项目</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个、未完成项目</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个。</w:t>
      </w:r>
    </w:p>
    <w:p>
      <w:pPr>
        <w:snapToGrid w:val="0"/>
        <w:spacing w:line="540" w:lineRule="exact"/>
        <w:ind w:left="648"/>
        <w:outlineLvl w:val="0"/>
        <w:rPr>
          <w:rFonts w:ascii="黑体" w:eastAsia="黑体" w:hAnsi="黑体" w:cs="仿宋_GB2312"/>
          <w:color w:val="auto"/>
          <w:sz w:val="32"/>
          <w:szCs w:val="32"/>
          <w:lang w:bidi="ar"/>
        </w:rPr>
      </w:pPr>
      <w:bookmarkStart w:id="4" w:name="_Toc1734_WPSOffice_Level1"/>
      <w:r>
        <w:rPr>
          <w:rFonts w:ascii="黑体" w:eastAsia="黑体" w:hAnsi="黑体" w:cs="仿宋_GB2312" w:hint="eastAsia"/>
          <w:color w:val="auto"/>
          <w:sz w:val="32"/>
          <w:szCs w:val="32"/>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3个以内的项目分项说明：本年我单位供实施</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个项目，金额</w:t>
      </w:r>
      <w:r>
        <w:rPr>
          <w:rStyle w:val="Strong"/>
          <w:rFonts w:ascii="仿宋_GB2312" w:eastAsia="仿宋_GB2312" w:hAnsi="仿宋_GB2312" w:cs="仿宋_GB2312" w:hint="eastAsia"/>
          <w:b w:val="0"/>
          <w:color w:val="auto"/>
          <w:sz w:val="32"/>
          <w:szCs w:val="32"/>
          <w:lang w:val="en-US" w:eastAsia="zh-CN" w:bidi="ar"/>
        </w:rPr>
        <w:t>3</w:t>
      </w:r>
      <w:r>
        <w:rPr>
          <w:rStyle w:val="Strong"/>
          <w:rFonts w:ascii="仿宋_GB2312" w:eastAsia="仿宋_GB2312" w:hAnsi="仿宋_GB2312" w:cs="仿宋_GB2312" w:hint="eastAsia"/>
          <w:b w:val="0"/>
          <w:color w:val="auto"/>
          <w:sz w:val="32"/>
          <w:szCs w:val="32"/>
          <w:lang w:bidi="ar"/>
        </w:rPr>
        <w:t>万元，分别为</w:t>
      </w:r>
      <w:r>
        <w:rPr>
          <w:rStyle w:val="Strong"/>
          <w:rFonts w:ascii="仿宋_GB2312" w:eastAsia="仿宋_GB2312" w:hAnsi="仿宋_GB2312" w:cs="仿宋_GB2312" w:hint="eastAsia"/>
          <w:b w:val="0"/>
          <w:color w:val="auto"/>
          <w:sz w:val="32"/>
          <w:szCs w:val="32"/>
          <w:lang w:val="en-US" w:eastAsia="zh-CN" w:bidi="ar"/>
        </w:rPr>
        <w:t>2021年基本公共卫生服务</w:t>
      </w:r>
      <w:r>
        <w:rPr>
          <w:rStyle w:val="Strong"/>
          <w:rFonts w:ascii="仿宋_GB2312" w:eastAsia="仿宋_GB2312" w:hAnsi="仿宋_GB2312" w:cs="仿宋_GB2312" w:hint="eastAsia"/>
          <w:b w:val="0"/>
          <w:color w:val="auto"/>
          <w:sz w:val="32"/>
          <w:szCs w:val="32"/>
          <w:lang w:bidi="ar"/>
        </w:rPr>
        <w:t>项目，</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万元；</w:t>
      </w:r>
      <w:r>
        <w:rPr>
          <w:rStyle w:val="Strong"/>
          <w:rFonts w:ascii="仿宋_GB2312" w:eastAsia="仿宋_GB2312" w:hAnsi="仿宋_GB2312" w:cs="仿宋_GB2312" w:hint="eastAsia"/>
          <w:b w:val="0"/>
          <w:color w:val="auto"/>
          <w:sz w:val="32"/>
          <w:szCs w:val="32"/>
          <w:lang w:val="en-US" w:eastAsia="zh-CN" w:bidi="ar"/>
        </w:rPr>
        <w:t>2022年基本公共卫生</w:t>
      </w:r>
      <w:r>
        <w:rPr>
          <w:rStyle w:val="Strong"/>
          <w:rFonts w:ascii="仿宋_GB2312" w:eastAsia="仿宋_GB2312" w:hAnsi="仿宋_GB2312" w:cs="仿宋_GB2312" w:hint="eastAsia"/>
          <w:b w:val="0"/>
          <w:color w:val="auto"/>
          <w:sz w:val="32"/>
          <w:szCs w:val="32"/>
          <w:lang w:bidi="ar"/>
        </w:rPr>
        <w:t>项目，</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val="en-US" w:eastAsia="zh-CN"/>
        </w:rPr>
        <w:t>乌苏市卫生计生综合监督执法局</w:t>
      </w:r>
      <w:r>
        <w:rPr>
          <w:rFonts w:ascii="楷体_GB2312" w:eastAsia="楷体_GB2312" w:hAnsi="仿宋_GB2312" w:cs="仿宋_GB2312" w:hint="eastAsia"/>
          <w:b/>
          <w:color w:val="auto"/>
          <w:sz w:val="32"/>
          <w:szCs w:val="32"/>
          <w:lang w:bidi="ar"/>
        </w:rPr>
        <w:t>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我单位成立</w:t>
      </w:r>
      <w:r>
        <w:rPr>
          <w:rStyle w:val="Strong"/>
          <w:rFonts w:ascii="仿宋_GB2312" w:eastAsia="仿宋_GB2312" w:hAnsi="仿宋_GB2312" w:cs="仿宋_GB2312" w:hint="eastAsia"/>
          <w:b w:val="0"/>
          <w:color w:val="auto"/>
          <w:sz w:val="32"/>
          <w:szCs w:val="32"/>
          <w:lang w:val="en-US" w:eastAsia="zh-CN" w:bidi="ar"/>
        </w:rPr>
        <w:t>领导</w:t>
      </w:r>
      <w:r>
        <w:rPr>
          <w:rStyle w:val="Strong"/>
          <w:rFonts w:ascii="仿宋_GB2312" w:eastAsia="仿宋_GB2312" w:hAnsi="仿宋_GB2312" w:cs="仿宋_GB2312" w:hint="eastAsia"/>
          <w:b w:val="0"/>
          <w:color w:val="auto"/>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郭晓云局长</w:t>
      </w:r>
      <w:r>
        <w:rPr>
          <w:rStyle w:val="Strong"/>
          <w:rFonts w:ascii="仿宋_GB2312" w:eastAsia="仿宋_GB2312" w:hAnsi="仿宋_GB2312" w:cs="仿宋_GB2312" w:hint="eastAsia"/>
          <w:b w:val="0"/>
          <w:color w:val="auto"/>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加尔肯·哈吉坎副局长</w:t>
      </w:r>
      <w:r>
        <w:rPr>
          <w:rStyle w:val="Strong"/>
          <w:rFonts w:ascii="仿宋_GB2312" w:eastAsia="仿宋_GB2312" w:hAnsi="仿宋_GB2312" w:cs="仿宋_GB2312" w:hint="eastAsia"/>
          <w:b w:val="0"/>
          <w:color w:val="auto"/>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糜建秀，张维彬，卡德力亚</w:t>
      </w:r>
      <w:r>
        <w:rPr>
          <w:rStyle w:val="Strong"/>
          <w:rFonts w:ascii="仿宋_GB2312" w:eastAsia="仿宋_GB2312" w:hAnsi="仿宋_GB2312" w:cs="仿宋_GB2312" w:hint="eastAsia"/>
          <w:b w:val="0"/>
          <w:color w:val="auto"/>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r>
        <w:rPr>
          <w:rStyle w:val="Strong"/>
          <w:rFonts w:ascii="仿宋_GB2312" w:eastAsia="仿宋_GB2312" w:hAnsi="仿宋_GB2312" w:cs="仿宋_GB2312" w:hint="eastAsia"/>
          <w:b w:val="0"/>
          <w:color w:val="auto"/>
          <w:sz w:val="32"/>
          <w:szCs w:val="32"/>
          <w:lang w:bidi="ar"/>
        </w:rPr>
        <w:t>（本年度所有项目资金）</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w:t>
      </w:r>
      <w:r>
        <w:rPr>
          <w:rStyle w:val="Strong"/>
          <w:rFonts w:ascii="仿宋_GB2312" w:eastAsia="仿宋_GB2312" w:hAnsi="仿宋_GB2312" w:cs="仿宋_GB2312" w:hint="eastAsia"/>
          <w:b w:val="0"/>
          <w:bCs w:val="0"/>
          <w:color w:val="auto"/>
          <w:spacing w:val="-4"/>
          <w:sz w:val="32"/>
          <w:szCs w:val="32"/>
          <w:lang w:val="en-US" w:eastAsia="zh-CN"/>
        </w:rPr>
        <w:t>2.2</w:t>
      </w:r>
      <w:r>
        <w:rPr>
          <w:rStyle w:val="Strong"/>
          <w:rFonts w:ascii="仿宋_GB2312" w:eastAsia="仿宋_GB2312" w:hAnsi="仿宋_GB2312" w:cs="仿宋_GB2312" w:hint="eastAsia"/>
          <w:b w:val="0"/>
          <w:bCs w:val="0"/>
          <w:color w:val="auto"/>
          <w:spacing w:val="-4"/>
          <w:sz w:val="32"/>
          <w:szCs w:val="32"/>
        </w:rPr>
        <w:t>万元，实际到位</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万元，实际支出</w:t>
      </w:r>
      <w:r>
        <w:rPr>
          <w:rStyle w:val="Strong"/>
          <w:rFonts w:ascii="仿宋_GB2312" w:eastAsia="仿宋_GB2312" w:hAnsi="仿宋_GB2312" w:cs="仿宋_GB2312" w:hint="eastAsia"/>
          <w:b w:val="0"/>
          <w:bCs w:val="0"/>
          <w:color w:val="auto"/>
          <w:spacing w:val="-4"/>
          <w:sz w:val="32"/>
          <w:szCs w:val="32"/>
          <w:lang w:val="en-US" w:eastAsia="zh-CN"/>
        </w:rPr>
        <w:t>2.69</w:t>
      </w:r>
      <w:r>
        <w:rPr>
          <w:rStyle w:val="Strong"/>
          <w:rFonts w:ascii="仿宋_GB2312" w:eastAsia="仿宋_GB2312" w:hAnsi="仿宋_GB2312" w:cs="仿宋_GB2312" w:hint="eastAsia"/>
          <w:b w:val="0"/>
          <w:bCs w:val="0"/>
          <w:color w:val="auto"/>
          <w:spacing w:val="-4"/>
          <w:sz w:val="32"/>
          <w:szCs w:val="32"/>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val="en-US" w:eastAsia="zh-CN"/>
        </w:rPr>
        <w:t>乌苏市卫生计生综合监督执法局</w:t>
      </w:r>
      <w:r>
        <w:rPr>
          <w:rStyle w:val="Strong"/>
          <w:rFonts w:ascii="仿宋_GB2312" w:eastAsia="仿宋_GB2312" w:hAnsi="仿宋_GB2312" w:cs="仿宋_GB2312" w:hint="eastAsia"/>
          <w:b w:val="0"/>
          <w:bCs w:val="0"/>
          <w:color w:val="auto"/>
          <w:spacing w:val="-4"/>
          <w:sz w:val="32"/>
          <w:szCs w:val="32"/>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5" w:name="_Toc27846_WPSOffice_Level1"/>
      <w:r>
        <w:rPr>
          <w:rStyle w:val="Strong"/>
          <w:rFonts w:ascii="黑体" w:eastAsia="黑体" w:hAnsi="黑体" w:cs="仿宋_GB2312" w:hint="eastAsia"/>
          <w:b w:val="0"/>
          <w:color w:val="auto"/>
          <w:spacing w:val="-4"/>
          <w:sz w:val="32"/>
          <w:szCs w:val="32"/>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我单位2022年资产合计数为15</w:t>
      </w:r>
      <w:r>
        <w:rPr>
          <w:rFonts w:ascii="仿宋_GB2312" w:eastAsia="仿宋_GB2312" w:hAnsi="仿宋" w:cs="宋体" w:hint="eastAsia"/>
          <w:bCs/>
          <w:color w:val="auto"/>
          <w:sz w:val="32"/>
          <w:szCs w:val="32"/>
          <w:lang w:val="en-US" w:eastAsia="zh-CN" w:bidi="ar"/>
        </w:rPr>
        <w:t>.99</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3.48</w:t>
      </w:r>
      <w:r>
        <w:rPr>
          <w:rFonts w:ascii="仿宋_GB2312" w:eastAsia="仿宋_GB2312" w:hAnsi="仿宋" w:cs="宋体" w:hint="eastAsia"/>
          <w:bCs/>
          <w:color w:val="auto"/>
          <w:sz w:val="32"/>
          <w:szCs w:val="32"/>
          <w:lang w:bidi="ar"/>
        </w:rPr>
        <w:t>万元，主要原因是</w:t>
      </w:r>
      <w:r>
        <w:rPr>
          <w:rFonts w:ascii="仿宋_GB2312" w:eastAsia="仿宋_GB2312" w:hAnsi="仿宋" w:cs="宋体" w:hint="eastAsia"/>
          <w:bCs/>
          <w:color w:val="auto"/>
          <w:sz w:val="32"/>
          <w:szCs w:val="32"/>
          <w:lang w:val="en-US" w:eastAsia="zh-CN" w:bidi="ar"/>
        </w:rPr>
        <w:t>资产累计折旧</w:t>
      </w:r>
      <w:r>
        <w:rPr>
          <w:rFonts w:ascii="仿宋_GB2312" w:eastAsia="仿宋_GB2312" w:hAnsi="仿宋" w:cs="宋体" w:hint="eastAsia"/>
          <w:bCs/>
          <w:color w:val="auto"/>
          <w:sz w:val="32"/>
          <w:szCs w:val="32"/>
          <w:lang w:bidi="ar"/>
        </w:rPr>
        <w:t>，货币资金减少，其中：货币资金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万元；财政应返还额度</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万元，比上年相比无变化；房屋</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平方米</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万元；车辆</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w:t>
      </w:r>
      <w:r>
        <w:rPr>
          <w:rFonts w:ascii="仿宋_GB2312" w:eastAsia="仿宋_GB2312" w:hAnsi="仿宋" w:cs="宋体" w:hint="eastAsia"/>
          <w:bCs/>
          <w:color w:val="auto"/>
          <w:sz w:val="32"/>
          <w:szCs w:val="32"/>
          <w:lang w:val="en-US" w:eastAsia="zh-CN" w:bidi="ar"/>
        </w:rPr>
        <w:t>5.13</w:t>
      </w:r>
      <w:r>
        <w:rPr>
          <w:rFonts w:ascii="仿宋_GB2312" w:eastAsia="仿宋_GB2312" w:hAnsi="仿宋" w:cs="宋体" w:hint="eastAsia"/>
          <w:bCs/>
          <w:color w:val="auto"/>
          <w:sz w:val="32"/>
          <w:szCs w:val="32"/>
          <w:lang w:bidi="ar"/>
        </w:rPr>
        <w:t>万元，与上年相比无变化；在建工程</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万元，与上年持平；办公设备及家具</w:t>
      </w:r>
      <w:r>
        <w:rPr>
          <w:rFonts w:ascii="仿宋_GB2312" w:eastAsia="仿宋_GB2312" w:hAnsi="仿宋" w:cs="宋体" w:hint="eastAsia"/>
          <w:bCs/>
          <w:color w:val="auto"/>
          <w:sz w:val="32"/>
          <w:szCs w:val="32"/>
          <w:lang w:val="en-US" w:eastAsia="zh-CN" w:bidi="ar"/>
        </w:rPr>
        <w:t>10.86</w:t>
      </w:r>
      <w:r>
        <w:rPr>
          <w:rFonts w:ascii="仿宋_GB2312" w:eastAsia="仿宋_GB2312" w:hAnsi="仿宋" w:cs="宋体" w:hint="eastAsia"/>
          <w:bCs/>
          <w:color w:val="auto"/>
          <w:sz w:val="32"/>
          <w:szCs w:val="32"/>
          <w:lang w:bidi="ar"/>
        </w:rPr>
        <w:t>万元，与上年相比无变化。我单位本年无资产处置情况</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1.资产管理情况。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2.固定资产利用情况。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我单位固定资产</w:t>
      </w:r>
      <w:r>
        <w:rPr>
          <w:rFonts w:ascii="仿宋_GB2312" w:eastAsia="仿宋_GB2312" w:hAnsi="仿宋" w:cs="宋体" w:hint="eastAsia"/>
          <w:bCs/>
          <w:color w:val="auto"/>
          <w:sz w:val="32"/>
          <w:szCs w:val="32"/>
          <w:lang w:val="en-US" w:eastAsia="zh-CN" w:bidi="ar"/>
        </w:rPr>
        <w:t>15.99</w:t>
      </w:r>
      <w:r>
        <w:rPr>
          <w:rFonts w:ascii="仿宋_GB2312" w:eastAsia="仿宋_GB2312" w:hAnsi="仿宋" w:cs="宋体" w:hint="eastAsia"/>
          <w:bCs/>
          <w:color w:val="auto"/>
          <w:sz w:val="32"/>
          <w:szCs w:val="32"/>
          <w:lang w:bidi="ar"/>
        </w:rPr>
        <w:t>万元,其中</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套房屋</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辆车</w:t>
      </w:r>
      <w:r>
        <w:rPr>
          <w:rFonts w:ascii="仿宋_GB2312" w:eastAsia="仿宋_GB2312" w:hAnsi="仿宋" w:cs="宋体" w:hint="eastAsia"/>
          <w:bCs/>
          <w:color w:val="auto"/>
          <w:sz w:val="32"/>
          <w:szCs w:val="32"/>
          <w:lang w:val="en-US" w:eastAsia="zh-CN" w:bidi="ar"/>
        </w:rPr>
        <w:t>5.13</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102</w:t>
      </w:r>
      <w:r>
        <w:rPr>
          <w:rFonts w:ascii="仿宋_GB2312" w:eastAsia="仿宋_GB2312" w:hAnsi="仿宋" w:cs="宋体" w:hint="eastAsia"/>
          <w:bCs/>
          <w:color w:val="auto"/>
          <w:sz w:val="32"/>
          <w:szCs w:val="32"/>
          <w:lang w:bidi="ar"/>
        </w:rPr>
        <w:t>个专用设备</w:t>
      </w:r>
      <w:r>
        <w:rPr>
          <w:rFonts w:ascii="仿宋_GB2312" w:eastAsia="仿宋_GB2312" w:hAnsi="仿宋" w:cs="宋体" w:hint="eastAsia"/>
          <w:bCs/>
          <w:color w:val="auto"/>
          <w:sz w:val="32"/>
          <w:szCs w:val="32"/>
          <w:lang w:val="en-US" w:eastAsia="zh-CN" w:bidi="ar"/>
        </w:rPr>
        <w:t>5.69</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94</w:t>
      </w:r>
      <w:r>
        <w:rPr>
          <w:rFonts w:ascii="仿宋_GB2312" w:eastAsia="仿宋_GB2312" w:hAnsi="仿宋" w:cs="宋体" w:hint="eastAsia"/>
          <w:bCs/>
          <w:color w:val="auto"/>
          <w:sz w:val="32"/>
          <w:szCs w:val="32"/>
          <w:lang w:bidi="ar"/>
        </w:rPr>
        <w:t>个办公设备</w:t>
      </w:r>
      <w:r>
        <w:rPr>
          <w:rFonts w:ascii="仿宋_GB2312" w:eastAsia="仿宋_GB2312" w:hAnsi="仿宋" w:cs="宋体" w:hint="eastAsia"/>
          <w:bCs/>
          <w:color w:val="auto"/>
          <w:sz w:val="32"/>
          <w:szCs w:val="32"/>
          <w:lang w:val="en-US" w:eastAsia="zh-CN" w:bidi="ar"/>
        </w:rPr>
        <w:t>5.17</w:t>
      </w:r>
      <w:r>
        <w:rPr>
          <w:rFonts w:ascii="仿宋_GB2312" w:eastAsia="仿宋_GB2312" w:hAnsi="仿宋" w:cs="宋体" w:hint="eastAsia"/>
          <w:bCs/>
          <w:color w:val="auto"/>
          <w:sz w:val="32"/>
          <w:szCs w:val="32"/>
          <w:lang w:bidi="ar"/>
        </w:rPr>
        <w:t>万元。目前正在使用的固定资产总额</w:t>
      </w:r>
      <w:r>
        <w:rPr>
          <w:rFonts w:ascii="仿宋_GB2312" w:eastAsia="仿宋_GB2312" w:hAnsi="仿宋" w:cs="宋体" w:hint="eastAsia"/>
          <w:bCs/>
          <w:color w:val="auto"/>
          <w:sz w:val="32"/>
          <w:szCs w:val="32"/>
          <w:lang w:val="en-US" w:eastAsia="zh-CN" w:bidi="ar"/>
        </w:rPr>
        <w:t>15.99</w:t>
      </w:r>
      <w:r>
        <w:rPr>
          <w:rFonts w:ascii="仿宋_GB2312" w:eastAsia="仿宋_GB2312" w:hAnsi="仿宋" w:cs="宋体" w:hint="eastAsia"/>
          <w:bCs/>
          <w:color w:val="auto"/>
          <w:sz w:val="32"/>
          <w:szCs w:val="32"/>
          <w:lang w:bidi="ar"/>
        </w:rPr>
        <w:t>万元，固定资产利用率为</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bCs/>
          <w:color w:val="auto"/>
          <w:sz w:val="32"/>
          <w:szCs w:val="32"/>
          <w:lang w:bidi="ar"/>
        </w:rPr>
        <w:t>%</w:t>
      </w:r>
      <w:r>
        <w:rPr>
          <w:rFonts w:ascii="仿宋_GB2312" w:eastAsia="仿宋_GB2312" w:hAnsi="仿宋" w:cs="宋体" w:hint="eastAsia"/>
          <w:bCs/>
          <w:color w:val="auto"/>
          <w:sz w:val="32"/>
          <w:szCs w:val="32"/>
          <w:lang w:bidi="ar"/>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w:t>
      </w:r>
      <w:r>
        <w:rPr>
          <w:rStyle w:val="Strong"/>
          <w:rFonts w:ascii="仿宋_GB2312" w:eastAsia="仿宋_GB2312" w:hAnsi="仿宋_GB2312" w:cs="仿宋_GB2312" w:hint="eastAsia"/>
          <w:b w:val="0"/>
          <w:bCs w:val="0"/>
          <w:color w:val="auto"/>
          <w:spacing w:val="-4"/>
          <w:sz w:val="32"/>
          <w:szCs w:val="32"/>
          <w:lang w:val="en-US" w:eastAsia="zh-CN"/>
        </w:rPr>
        <w:t>15.99</w:t>
      </w:r>
      <w:r>
        <w:rPr>
          <w:rStyle w:val="Strong"/>
          <w:rFonts w:ascii="仿宋_GB2312" w:eastAsia="仿宋_GB2312" w:hAnsi="仿宋_GB2312" w:cs="仿宋_GB2312" w:hint="eastAsia"/>
          <w:b w:val="0"/>
          <w:bCs w:val="0"/>
          <w:color w:val="auto"/>
          <w:spacing w:val="-4"/>
          <w:sz w:val="32"/>
          <w:szCs w:val="32"/>
        </w:rPr>
        <w:t>万元，年末实际在用固定资产</w:t>
      </w:r>
      <w:r>
        <w:rPr>
          <w:rStyle w:val="Strong"/>
          <w:rFonts w:ascii="仿宋_GB2312" w:eastAsia="仿宋_GB2312" w:hAnsi="仿宋_GB2312" w:cs="仿宋_GB2312" w:hint="eastAsia"/>
          <w:b w:val="0"/>
          <w:bCs w:val="0"/>
          <w:color w:val="auto"/>
          <w:spacing w:val="-4"/>
          <w:sz w:val="32"/>
          <w:szCs w:val="32"/>
          <w:lang w:val="en-US" w:eastAsia="zh-CN"/>
        </w:rPr>
        <w:t>15.99</w:t>
      </w:r>
      <w:r>
        <w:rPr>
          <w:rStyle w:val="Strong"/>
          <w:rFonts w:ascii="仿宋_GB2312" w:eastAsia="仿宋_GB2312" w:hAnsi="仿宋_GB2312" w:cs="仿宋_GB2312" w:hint="eastAsia"/>
          <w:b w:val="0"/>
          <w:bCs w:val="0"/>
          <w:color w:val="auto"/>
          <w:spacing w:val="-4"/>
          <w:sz w:val="32"/>
          <w:szCs w:val="32"/>
        </w:rPr>
        <w:t>万元，固定资产利用率为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6" w:name="_Toc13582_WPSOffice_Level1"/>
      <w:r>
        <w:rPr>
          <w:rStyle w:val="Strong"/>
          <w:rFonts w:ascii="黑体" w:eastAsia="黑体" w:hAnsi="黑体" w:cs="仿宋_GB2312" w:hint="eastAsia"/>
          <w:b w:val="0"/>
          <w:color w:val="auto"/>
          <w:spacing w:val="-4"/>
          <w:sz w:val="32"/>
          <w:szCs w:val="32"/>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12</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保障在职职工人数</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=8人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8人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保障退休人员</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=6人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6人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医疗卫生机构监督检查合格率</w:t>
      </w:r>
      <w:r>
        <w:rPr>
          <w:rStyle w:val="Strong"/>
          <w:rFonts w:ascii="仿宋_GB2312" w:eastAsia="仿宋_GB2312" w:hAnsi="仿宋_GB2312" w:cs="仿宋_GB2312" w:hint="eastAsia"/>
          <w:b w:val="0"/>
          <w:bCs w:val="0"/>
          <w:color w:val="auto"/>
          <w:spacing w:val="-4"/>
          <w:sz w:val="32"/>
          <w:szCs w:val="32"/>
        </w:rPr>
        <w:t>”预期指标是等于</w:t>
      </w:r>
      <w:r>
        <w:rPr>
          <w:rStyle w:val="Strong"/>
          <w:rFonts w:ascii="仿宋_GB2312" w:eastAsia="仿宋_GB2312" w:hAnsi="仿宋_GB2312" w:cs="仿宋_GB2312" w:hint="eastAsia"/>
          <w:b w:val="0"/>
          <w:bCs w:val="0"/>
          <w:color w:val="auto"/>
          <w:spacing w:val="-4"/>
          <w:sz w:val="32"/>
          <w:szCs w:val="32"/>
          <w:lang w:val="en-US" w:eastAsia="zh-CN"/>
        </w:rPr>
        <w:t>&gt;=95</w:t>
      </w:r>
      <w:r>
        <w:rPr>
          <w:rStyle w:val="Strong"/>
          <w:rFonts w:ascii="仿宋_GB2312" w:eastAsia="仿宋_GB2312" w:hAnsi="仿宋_GB2312" w:cs="仿宋_GB2312" w:hint="eastAsia"/>
          <w:b w:val="0"/>
          <w:bCs w:val="0"/>
          <w:color w:val="auto"/>
          <w:spacing w:val="-4"/>
          <w:sz w:val="32"/>
          <w:szCs w:val="32"/>
        </w:rPr>
        <w:t>%，实际完成值是</w:t>
      </w:r>
      <w:r>
        <w:rPr>
          <w:rFonts w:ascii="仿宋_GB2312" w:eastAsia="仿宋_GB2312" w:hAnsi="仿宋" w:cs="宋体" w:hint="eastAsia"/>
          <w:bCs/>
          <w:color w:val="auto"/>
          <w:sz w:val="32"/>
          <w:szCs w:val="32"/>
          <w:lang w:val="en-US" w:eastAsia="zh-CN" w:bidi="ar"/>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%，达到质量提升及标准。</w:t>
      </w:r>
    </w:p>
    <w:p>
      <w:pPr>
        <w:pStyle w:val="ListParagraph"/>
        <w:snapToGrid w:val="0"/>
        <w:spacing w:line="540" w:lineRule="exact"/>
        <w:ind w:firstLine="624"/>
        <w:rPr>
          <w:rStyle w:val="Strong"/>
          <w:rFonts w:ascii="仿宋_GB2312" w:eastAsia="仿宋_GB2312" w:hAnsi="仿宋_GB2312" w:cs="仿宋_GB2312" w:hint="default"/>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双随机抽查合格率</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&gt;=95</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80%</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84.21</w:t>
      </w:r>
      <w:r>
        <w:rPr>
          <w:rStyle w:val="Strong"/>
          <w:rFonts w:ascii="仿宋_GB2312" w:eastAsia="仿宋_GB2312" w:hAnsi="仿宋_GB2312" w:cs="仿宋_GB2312" w:hint="eastAsia"/>
          <w:b w:val="0"/>
          <w:bCs w:val="0"/>
          <w:color w:val="auto"/>
          <w:spacing w:val="-4"/>
          <w:sz w:val="32"/>
          <w:szCs w:val="32"/>
        </w:rPr>
        <w:t>%，未达成预期目标，未完成的原因是：</w:t>
      </w:r>
      <w:r>
        <w:rPr>
          <w:rStyle w:val="Strong"/>
          <w:rFonts w:ascii="仿宋_GB2312" w:eastAsia="仿宋_GB2312" w:hAnsi="仿宋_GB2312" w:cs="仿宋_GB2312" w:hint="eastAsia"/>
          <w:b w:val="0"/>
          <w:bCs w:val="0"/>
          <w:color w:val="auto"/>
          <w:spacing w:val="-4"/>
          <w:sz w:val="32"/>
          <w:szCs w:val="32"/>
          <w:lang w:val="en-US" w:eastAsia="zh-CN"/>
        </w:rPr>
        <w:t>疫情原因</w:t>
      </w:r>
      <w:r>
        <w:rPr>
          <w:rStyle w:val="Strong"/>
          <w:rFonts w:ascii="仿宋_GB2312" w:eastAsia="仿宋_GB2312" w:hAnsi="仿宋_GB2312" w:cs="仿宋_GB2312" w:hint="eastAsia"/>
          <w:b w:val="0"/>
          <w:bCs w:val="0"/>
          <w:color w:val="auto"/>
          <w:spacing w:val="-4"/>
          <w:sz w:val="32"/>
          <w:szCs w:val="32"/>
        </w:rPr>
        <w:t>导致未能完成，今后的改进措施：</w:t>
      </w:r>
      <w:r>
        <w:rPr>
          <w:rStyle w:val="Strong"/>
          <w:rFonts w:ascii="仿宋_GB2312" w:eastAsia="仿宋_GB2312" w:hAnsi="仿宋_GB2312" w:cs="仿宋_GB2312" w:hint="eastAsia"/>
          <w:b w:val="0"/>
          <w:bCs w:val="0"/>
          <w:color w:val="auto"/>
          <w:spacing w:val="-4"/>
          <w:sz w:val="32"/>
          <w:szCs w:val="32"/>
          <w:lang w:val="en-US" w:eastAsia="zh-CN"/>
        </w:rPr>
        <w:t>双随机任务按时规范执行。</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资金拨付及时率</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人员保障经费</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仿宋_GB2312" w:eastAsia="仿宋_GB2312" w:hAnsi="仿宋_GB2312" w:cs="仿宋_GB2312" w:hint="eastAsia"/>
          <w:b w:val="0"/>
          <w:bCs w:val="0"/>
          <w:color w:val="auto"/>
          <w:spacing w:val="-4"/>
          <w:sz w:val="32"/>
          <w:szCs w:val="32"/>
          <w:lang w:val="en-US" w:eastAsia="zh-CN"/>
        </w:rPr>
        <w:t>&lt;=86.14万元</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126.5</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val="en-US" w:eastAsia="zh-CN"/>
        </w:rPr>
        <w:t>。</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运转保障经费</w:t>
      </w:r>
      <w:r>
        <w:rPr>
          <w:rStyle w:val="Strong"/>
          <w:rFonts w:ascii="仿宋_GB2312" w:eastAsia="仿宋_GB2312" w:hAnsi="仿宋_GB2312" w:cs="仿宋_GB2312" w:hint="eastAsia"/>
          <w:b w:val="0"/>
          <w:bCs w:val="0"/>
          <w:color w:val="auto"/>
          <w:spacing w:val="-4"/>
          <w:sz w:val="32"/>
          <w:szCs w:val="32"/>
        </w:rPr>
        <w:t>”指标，预期指标是小于等于</w:t>
      </w:r>
      <w:r>
        <w:rPr>
          <w:rStyle w:val="Strong"/>
          <w:rFonts w:ascii="仿宋_GB2312" w:eastAsia="仿宋_GB2312" w:hAnsi="仿宋_GB2312" w:cs="仿宋_GB2312" w:hint="eastAsia"/>
          <w:b w:val="0"/>
          <w:bCs w:val="0"/>
          <w:color w:val="auto"/>
          <w:spacing w:val="-4"/>
          <w:sz w:val="32"/>
          <w:szCs w:val="32"/>
          <w:lang w:val="en-US" w:eastAsia="zh-CN"/>
        </w:rPr>
        <w:t>7.82</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3.4</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43.47</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val="en-US" w:eastAsia="zh-CN"/>
        </w:rPr>
        <w:t>因疫情原因无法支出。</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项目经费</w:t>
      </w:r>
      <w:r>
        <w:rPr>
          <w:rStyle w:val="Strong"/>
          <w:rFonts w:ascii="仿宋_GB2312" w:eastAsia="仿宋_GB2312" w:hAnsi="仿宋_GB2312" w:cs="仿宋_GB2312" w:hint="eastAsia"/>
          <w:b w:val="0"/>
          <w:bCs w:val="0"/>
          <w:color w:val="auto"/>
          <w:spacing w:val="-4"/>
          <w:sz w:val="32"/>
          <w:szCs w:val="32"/>
        </w:rPr>
        <w:t>”指标，预期指标是小于等于</w:t>
      </w:r>
      <w:r>
        <w:rPr>
          <w:rStyle w:val="Strong"/>
          <w:rFonts w:ascii="仿宋_GB2312" w:eastAsia="仿宋_GB2312" w:hAnsi="仿宋_GB2312" w:cs="仿宋_GB2312" w:hint="eastAsia"/>
          <w:b w:val="0"/>
          <w:bCs w:val="0"/>
          <w:color w:val="auto"/>
          <w:spacing w:val="-4"/>
          <w:sz w:val="32"/>
          <w:szCs w:val="32"/>
          <w:lang w:val="en-US" w:eastAsia="zh-CN"/>
        </w:rPr>
        <w:t>2.2</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2.69</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1.项目实施的经济效益分析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提高社会服务能力</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val="en-US" w:eastAsia="zh-CN"/>
        </w:rPr>
        <w:t>有所提高</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有所提高</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w:t>
      </w:r>
      <w:r>
        <w:rPr>
          <w:rStyle w:val="Strong"/>
          <w:rFonts w:ascii="仿宋_GB2312" w:eastAsia="仿宋_GB2312" w:hAnsi="仿宋_GB2312" w:cs="仿宋_GB2312" w:hint="eastAsia"/>
          <w:b w:val="0"/>
          <w:bCs w:val="0"/>
          <w:color w:val="auto"/>
          <w:spacing w:val="-4"/>
          <w:sz w:val="32"/>
          <w:szCs w:val="32"/>
          <w:lang w:val="en-US" w:eastAsia="zh-CN"/>
        </w:rPr>
        <w:t>完成</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3.项目实施的生态效益分析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保障医疗机构卫生合格</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val="en-US" w:eastAsia="zh-CN"/>
        </w:rPr>
        <w:t>长期保障</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得到保障</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可持续影响指标共计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工作人员满意度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医疗机构满意度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个，达到单位服务对象对部门履职效果的满意度，服务对象满意度指标完成。</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7" w:name="_Toc22800_WPSOffice_Level1"/>
      <w:r>
        <w:rPr>
          <w:rStyle w:val="Strong"/>
          <w:rFonts w:ascii="黑体" w:eastAsia="黑体" w:hAnsi="黑体" w:cs="仿宋_GB2312" w:hint="eastAsia"/>
          <w:b w:val="0"/>
          <w:color w:val="auto"/>
          <w:spacing w:val="-4"/>
          <w:sz w:val="32"/>
          <w:szCs w:val="32"/>
        </w:rPr>
        <w:t>存在的主要问题</w:t>
      </w:r>
      <w:bookmarkEnd w:id="7"/>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绩效指标的明确性、可衡量性、相关性还需进一步提升。预算精细化管理还需完善，预算编制管理水平仍有进一步提升的空间。</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29546_WPSOffice_Level1"/>
      <w:r>
        <w:rPr>
          <w:rStyle w:val="Strong"/>
          <w:rFonts w:ascii="黑体" w:eastAsia="黑体" w:hAnsi="黑体" w:cs="仿宋_GB2312" w:hint="eastAsia"/>
          <w:b w:val="0"/>
          <w:color w:val="auto"/>
          <w:spacing w:val="-4"/>
          <w:sz w:val="32"/>
          <w:szCs w:val="32"/>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（一）改进措施</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加大绩效工作宣传力度，强化绩效理念。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完善绩效指标，提高整体绩效目标质量。提升预算精细化管理水平。</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继续完善预算绩效管理相关工作制度，建立全过程预算绩效管理链条，有效贯彻落实全面实施绩效管理的精神。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 xml:space="preserve"> （</w:t>
      </w:r>
      <w:r>
        <w:rPr>
          <w:rStyle w:val="Strong"/>
          <w:rFonts w:ascii="仿宋_GB2312" w:eastAsia="仿宋_GB2312" w:hAnsi="仿宋_GB2312" w:cs="仿宋_GB2312" w:hint="eastAsia"/>
          <w:b w:val="0"/>
          <w:bCs w:val="0"/>
          <w:color w:val="auto"/>
          <w:spacing w:val="-4"/>
          <w:sz w:val="32"/>
          <w:szCs w:val="32"/>
          <w:lang w:eastAsia="zh-Hans"/>
        </w:rPr>
        <w:t>根据各单位实际情况填写</w:t>
      </w:r>
      <w:r>
        <w:rPr>
          <w:rStyle w:val="Strong"/>
          <w:rFonts w:ascii="仿宋_GB2312" w:eastAsia="仿宋_GB2312" w:hAnsi="仿宋_GB2312" w:cs="仿宋_GB2312" w:hint="eastAsia"/>
          <w:b w:val="0"/>
          <w:bCs w:val="0"/>
          <w:color w:val="auto"/>
          <w:spacing w:val="-4"/>
          <w:sz w:val="32"/>
          <w:szCs w:val="32"/>
        </w:rPr>
        <w:t>）例</w:t>
      </w:r>
      <w:r>
        <w:rPr>
          <w:rStyle w:val="Strong"/>
          <w:rFonts w:ascii="仿宋_GB2312" w:eastAsia="仿宋_GB2312" w:hAnsi="仿宋_GB2312" w:cs="仿宋_GB2312" w:hint="eastAsia"/>
          <w:b w:val="0"/>
          <w:bCs w:val="0"/>
          <w:color w:val="auto"/>
          <w:spacing w:val="-4"/>
          <w:sz w:val="32"/>
          <w:szCs w:val="32"/>
          <w:lang w:eastAsia="zh-Hans"/>
        </w:rPr>
        <w:t>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2. 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5.强化支出预算约束，进一步提高年初预算编制的科学性和准确性，完善预算执行动态约束机制，加强财政预算资金管理，统筹协调推进项目执行，提高财政资金效益和效果。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6.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4.</w:t>
      </w:r>
      <w:r>
        <w:rPr>
          <w:rStyle w:val="Strong"/>
          <w:rFonts w:ascii="仿宋_GB2312" w:eastAsia="仿宋_GB2312" w:hAnsi="仿宋_GB2312" w:cs="仿宋_GB2312" w:hint="eastAsia"/>
          <w:b w:val="0"/>
          <w:bCs w:val="0"/>
          <w:color w:val="auto"/>
          <w:spacing w:val="-4"/>
          <w:sz w:val="32"/>
          <w:szCs w:val="32"/>
        </w:rPr>
        <w:t>在保证资金安全的前提下加快资金支出进度，支出条件已经成熟的项目，抓紧报销，尽快形成有效支出。</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5.</w:t>
      </w:r>
      <w:r>
        <w:rPr>
          <w:rStyle w:val="Strong"/>
          <w:rFonts w:ascii="仿宋_GB2312" w:eastAsia="仿宋_GB2312" w:hAnsi="仿宋_GB2312" w:cs="仿宋_GB2312" w:hint="eastAsia"/>
          <w:b w:val="0"/>
          <w:bCs w:val="0"/>
          <w:color w:val="auto"/>
          <w:spacing w:val="-4"/>
          <w:sz w:val="32"/>
          <w:szCs w:val="32"/>
        </w:rPr>
        <w:t xml:space="preserve">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6</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Fonts w:ascii="仿宋_GB2312" w:eastAsia="仿宋_GB2312"/>
          <w:color w:val="auto"/>
          <w:sz w:val="32"/>
          <w:szCs w:val="32"/>
        </w:rPr>
      </w:pPr>
      <w:r>
        <w:rPr>
          <w:rFonts w:ascii="仿宋_GB2312" w:eastAsia="仿宋_GB2312" w:hint="eastAsia"/>
          <w:color w:val="auto"/>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FF0000"/>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7C8A07"/>
    <w:multiLevelType w:val="singleLevel"/>
    <w:tmpl w:val="147C8A07"/>
    <w:lvl w:ilvl="0">
      <w:start w:val="5"/>
      <w:numFmt w:val="decimal"/>
      <w:suff w:val="nothing"/>
      <w:lvlText w:val="%1、"/>
      <w:lvlJc w:val="left"/>
      <w:rPr>
        <w:rFonts w:cs="Times New Roman"/>
      </w:rPr>
    </w:lvl>
  </w:abstractNum>
  <w:abstractNum w:abstractNumId="1">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21E82D1F"/>
    <w:multiLevelType w:val="singleLevel"/>
    <w:tmpl w:val="21E82D1F"/>
    <w:lvl w:ilvl="0">
      <w:start w:val="1"/>
      <w:numFmt w:val="decimal"/>
      <w:suff w:val="nothing"/>
      <w:lvlText w:val="%1、"/>
      <w:lvlJc w:val="left"/>
      <w:rPr>
        <w:rFonts w:cs="Times New Roman"/>
      </w:rPr>
    </w:lvl>
  </w:abstractNum>
  <w:abstractNum w:abstractNumId="3">
    <w:nsid w:val="52DEEF71"/>
    <w:multiLevelType w:val="singleLevel"/>
    <w:tmpl w:val="52DEEF71"/>
    <w:lvl w:ilvl="0">
      <w:start w:val="1"/>
      <w:numFmt w:val="decimal"/>
      <w:suff w:val="nothing"/>
      <w:lvlText w:val="%1、"/>
      <w:lvlJc w:val="left"/>
      <w:pPr>
        <w:ind w:left="-223"/>
      </w:pPr>
      <w:rPr>
        <w:rFonts w:cs="Times New Roman"/>
      </w:rPr>
    </w:lvl>
  </w:abstractNum>
  <w:abstractNum w:abstractNumId="4">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4FF0482"/>
    <w:rsid w:val="05062887"/>
    <w:rsid w:val="05F70F85"/>
    <w:rsid w:val="084208C4"/>
    <w:rsid w:val="098A3C0A"/>
    <w:rsid w:val="0A9A7091"/>
    <w:rsid w:val="0CEC3F1A"/>
    <w:rsid w:val="10FE60D7"/>
    <w:rsid w:val="15085607"/>
    <w:rsid w:val="175D58E3"/>
    <w:rsid w:val="18061B60"/>
    <w:rsid w:val="190C3DF8"/>
    <w:rsid w:val="19F83E30"/>
    <w:rsid w:val="1B403139"/>
    <w:rsid w:val="1C420F7D"/>
    <w:rsid w:val="1C6D319F"/>
    <w:rsid w:val="1D4D74D6"/>
    <w:rsid w:val="1DE32CFD"/>
    <w:rsid w:val="1E4D585F"/>
    <w:rsid w:val="1F1A602A"/>
    <w:rsid w:val="1F2854B6"/>
    <w:rsid w:val="20126D60"/>
    <w:rsid w:val="20DA0DBE"/>
    <w:rsid w:val="21B06830"/>
    <w:rsid w:val="21C768CD"/>
    <w:rsid w:val="22E14253"/>
    <w:rsid w:val="23F209A3"/>
    <w:rsid w:val="2403516E"/>
    <w:rsid w:val="256A2A9E"/>
    <w:rsid w:val="278220C7"/>
    <w:rsid w:val="2805537E"/>
    <w:rsid w:val="289437EE"/>
    <w:rsid w:val="291659D8"/>
    <w:rsid w:val="2A1C4276"/>
    <w:rsid w:val="2EBF757D"/>
    <w:rsid w:val="31B83F5F"/>
    <w:rsid w:val="328E2AB6"/>
    <w:rsid w:val="329B12EA"/>
    <w:rsid w:val="33A83F87"/>
    <w:rsid w:val="355C2B3F"/>
    <w:rsid w:val="35F12468"/>
    <w:rsid w:val="36851B5C"/>
    <w:rsid w:val="37D360CA"/>
    <w:rsid w:val="38CB5066"/>
    <w:rsid w:val="3F301058"/>
    <w:rsid w:val="417A34F9"/>
    <w:rsid w:val="418810F4"/>
    <w:rsid w:val="41A37673"/>
    <w:rsid w:val="426B4382"/>
    <w:rsid w:val="42C30950"/>
    <w:rsid w:val="42C95507"/>
    <w:rsid w:val="45A65C7F"/>
    <w:rsid w:val="468C2A4A"/>
    <w:rsid w:val="46AD2493"/>
    <w:rsid w:val="46EC7F14"/>
    <w:rsid w:val="48AF4C7F"/>
    <w:rsid w:val="4A81677A"/>
    <w:rsid w:val="4DA177B2"/>
    <w:rsid w:val="4DF36D4F"/>
    <w:rsid w:val="4EB41A1D"/>
    <w:rsid w:val="501B7C76"/>
    <w:rsid w:val="50462DB6"/>
    <w:rsid w:val="504D5CCF"/>
    <w:rsid w:val="50D70E34"/>
    <w:rsid w:val="533A7469"/>
    <w:rsid w:val="53526129"/>
    <w:rsid w:val="565F61A9"/>
    <w:rsid w:val="57232FC4"/>
    <w:rsid w:val="572D2326"/>
    <w:rsid w:val="57365691"/>
    <w:rsid w:val="59E24AD2"/>
    <w:rsid w:val="59EE1E48"/>
    <w:rsid w:val="5A490F5C"/>
    <w:rsid w:val="5BD21464"/>
    <w:rsid w:val="5BDE2B83"/>
    <w:rsid w:val="5D355238"/>
    <w:rsid w:val="61635F72"/>
    <w:rsid w:val="618606C5"/>
    <w:rsid w:val="63E114D3"/>
    <w:rsid w:val="68147063"/>
    <w:rsid w:val="6AD46D46"/>
    <w:rsid w:val="6DE07909"/>
    <w:rsid w:val="6E58438A"/>
    <w:rsid w:val="6E9D5508"/>
    <w:rsid w:val="6EFBF267"/>
    <w:rsid w:val="71EB22B3"/>
    <w:rsid w:val="72010FA6"/>
    <w:rsid w:val="748A4F72"/>
    <w:rsid w:val="75664078"/>
    <w:rsid w:val="761E4132"/>
    <w:rsid w:val="78061A79"/>
    <w:rsid w:val="783A0789"/>
    <w:rsid w:val="7BC003CA"/>
    <w:rsid w:val="7CBF4BB4"/>
    <w:rsid w:val="7E5D346D"/>
    <w:rsid w:val="7EB62219"/>
    <w:rsid w:val="7FDB1E88"/>
  </w:rsids>
  <w:docVars>
    <w:docVar w:name="commondata" w:val="eyJoZGlkIjoiMzNkZTJiYjlhZGJjODczYzhiNjFmYWU2ZDRiYWU4ZWM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8430</Words>
  <Characters>8771</Characters>
  <Application>Microsoft Office Word</Application>
  <DocSecurity>0</DocSecurity>
  <Lines>60</Lines>
  <Paragraphs>17</Paragraphs>
  <ScaleCrop>false</ScaleCrop>
  <Company>市直单位</Company>
  <LinksUpToDate>false</LinksUpToDate>
  <CharactersWithSpaces>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Administrator</cp:lastModifiedBy>
  <cp:revision>12</cp:revision>
  <dcterms:created xsi:type="dcterms:W3CDTF">2021-02-24T22:26:00Z</dcterms:created>
  <dcterms:modified xsi:type="dcterms:W3CDTF">2023-02-14T11:28:24Z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D6EAAD8F88B74C188E851420F471969A</vt:lpwstr>
  </property>
  <property fmtid="{D5CDD505-2E9C-101B-9397-08002B2CF9AE}" pid="3" name="KSOProductBuildVer">
    <vt:lpwstr>2052-11.8.2.8555</vt:lpwstr>
  </property>
</Properties>
</file>