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lang w:val="en-US" w:eastAsia="zh-CN"/>
        </w:rPr>
      </w:pPr>
      <w:r>
        <w:rPr>
          <w:rFonts w:ascii="方正小标宋_GBK" w:eastAsia="方正小标宋_GBK" w:hAnsi="方正小标宋_GBK" w:hint="eastAsia"/>
          <w:sz w:val="44"/>
          <w:szCs w:val="44"/>
          <w:highlight w:val="none"/>
          <w:lang w:val="en-US" w:eastAsia="zh-CN"/>
        </w:rPr>
        <w:t xml:space="preserve"> </w:t>
      </w:r>
      <w:bookmarkStart w:id="0" w:name="_GoBack"/>
      <w:bookmarkEnd w:id="0"/>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新疆塔城地区乌苏市城市生活无着的流浪乞讨人员救助管理站2022年度部门决算公开说明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1" w:name="_Toc24028"/>
      <w:bookmarkStart w:id="2" w:name="_Toc32314"/>
      <w:r>
        <w:rPr>
          <w:rFonts w:ascii="黑体" w:eastAsia="黑体" w:hAnsi="黑体" w:hint="eastAsia"/>
          <w:sz w:val="32"/>
          <w:szCs w:val="32"/>
          <w:highlight w:val="none"/>
        </w:rPr>
        <w:t>第一部分 单位概况</w:t>
      </w:r>
      <w:bookmarkEnd w:id="1"/>
      <w:bookmarkEnd w:id="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kern w:val="0"/>
          <w:sz w:val="32"/>
          <w:szCs w:val="32"/>
          <w:highlight w:val="none"/>
        </w:rPr>
      </w:pPr>
      <w:bookmarkStart w:id="3" w:name="_Toc30567"/>
      <w:bookmarkStart w:id="4" w:name="_Toc30738"/>
      <w:r>
        <w:rPr>
          <w:rFonts w:ascii="黑体" w:eastAsia="黑体" w:hAnsi="黑体" w:cs="宋体" w:hint="eastAsia"/>
          <w:kern w:val="0"/>
          <w:sz w:val="32"/>
          <w:szCs w:val="32"/>
          <w:highlight w:val="none"/>
        </w:rPr>
        <w:t>一、主要职能</w:t>
      </w:r>
      <w:bookmarkEnd w:id="3"/>
      <w:bookmarkEnd w:id="4"/>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乌苏市城市生活无着的流浪乞讨人员救助站于2016年10月底由乌苏市北京西路搬迁至乌苏市金沙江东路1206号民政福利园区与乌苏市社会福利院、乌苏市中心敬老院、乌苏市儿童福利院 简称“三院一站”均位于民政福利园区院内。属4个牌子一套人马。主要具有以下职能：</w:t>
      </w:r>
      <w:r>
        <w:rPr>
          <w:rFonts w:ascii="仿宋_GB2312" w:eastAsia="仿宋_GB2312" w:hint="eastAsia"/>
          <w:sz w:val="32"/>
          <w:szCs w:val="32"/>
          <w:highlight w:val="none"/>
        </w:rPr>
        <w:br/>
      </w:r>
      <w:r>
        <w:rPr>
          <w:rFonts w:ascii="仿宋_GB2312" w:eastAsia="仿宋_GB2312" w:hint="eastAsia"/>
          <w:sz w:val="32"/>
          <w:szCs w:val="32"/>
          <w:highlight w:val="none"/>
        </w:rPr>
        <w:t>　　流浪乞讨按照国家有关政策,对人员进行救助。</w:t>
      </w:r>
      <w:r>
        <w:rPr>
          <w:rFonts w:ascii="仿宋_GB2312" w:eastAsia="仿宋_GB2312" w:hint="eastAsia"/>
          <w:sz w:val="32"/>
          <w:szCs w:val="32"/>
          <w:highlight w:val="none"/>
        </w:rPr>
        <w:br/>
      </w:r>
      <w:r>
        <w:rPr>
          <w:rFonts w:ascii="仿宋_GB2312" w:eastAsia="仿宋_GB2312" w:hint="eastAsia"/>
          <w:sz w:val="32"/>
          <w:szCs w:val="32"/>
          <w:highlight w:val="none"/>
        </w:rPr>
        <w:t>　　（一）提供符合食品卫生要求的食物；</w:t>
      </w:r>
      <w:r>
        <w:rPr>
          <w:rFonts w:ascii="仿宋_GB2312" w:eastAsia="仿宋_GB2312" w:hint="eastAsia"/>
          <w:sz w:val="32"/>
          <w:szCs w:val="32"/>
          <w:highlight w:val="none"/>
        </w:rPr>
        <w:br/>
      </w:r>
      <w:r>
        <w:rPr>
          <w:rFonts w:ascii="仿宋_GB2312" w:eastAsia="仿宋_GB2312" w:hint="eastAsia"/>
          <w:sz w:val="32"/>
          <w:szCs w:val="32"/>
          <w:highlight w:val="none"/>
        </w:rPr>
        <w:t>　　（二）提供符合基本条件的住处；</w:t>
      </w:r>
      <w:r>
        <w:rPr>
          <w:rFonts w:ascii="仿宋_GB2312" w:eastAsia="仿宋_GB2312" w:hint="eastAsia"/>
          <w:sz w:val="32"/>
          <w:szCs w:val="32"/>
          <w:highlight w:val="none"/>
        </w:rPr>
        <w:br/>
      </w:r>
      <w:r>
        <w:rPr>
          <w:rFonts w:ascii="仿宋_GB2312" w:eastAsia="仿宋_GB2312" w:hint="eastAsia"/>
          <w:sz w:val="32"/>
          <w:szCs w:val="32"/>
          <w:highlight w:val="none"/>
        </w:rPr>
        <w:t>　　（三）对在站内突发急病的，及时送医院救治；</w:t>
      </w:r>
      <w:r>
        <w:rPr>
          <w:rFonts w:ascii="仿宋_GB2312" w:eastAsia="仿宋_GB2312" w:hint="eastAsia"/>
          <w:sz w:val="32"/>
          <w:szCs w:val="32"/>
          <w:highlight w:val="none"/>
        </w:rPr>
        <w:br/>
      </w:r>
      <w:r>
        <w:rPr>
          <w:rFonts w:ascii="仿宋_GB2312" w:eastAsia="仿宋_GB2312" w:hint="eastAsia"/>
          <w:sz w:val="32"/>
          <w:szCs w:val="32"/>
          <w:highlight w:val="none"/>
        </w:rPr>
        <w:t>　　（四）帮助与其亲属或者所在单位联系；</w:t>
      </w:r>
      <w:r>
        <w:rPr>
          <w:rFonts w:ascii="仿宋_GB2312" w:eastAsia="仿宋_GB2312" w:hint="eastAsia"/>
          <w:sz w:val="32"/>
          <w:szCs w:val="32"/>
          <w:highlight w:val="none"/>
        </w:rPr>
        <w:br/>
      </w:r>
      <w:r>
        <w:rPr>
          <w:rFonts w:ascii="仿宋_GB2312" w:eastAsia="仿宋_GB2312" w:hint="eastAsia"/>
          <w:sz w:val="32"/>
          <w:szCs w:val="32"/>
          <w:highlight w:val="none"/>
        </w:rPr>
        <w:t>　　（五）对没有交通费返回其住所地或者所在单位的，提供乘车凭证</w:t>
      </w:r>
      <w:r>
        <w:rPr>
          <w:rFonts w:ascii="仿宋_GB2312" w:eastAsia="仿宋_GB2312" w:hint="eastAsia"/>
          <w:sz w:val="32"/>
          <w:szCs w:val="32"/>
          <w:highlight w:val="none"/>
          <w:lang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 w:name="_Toc31238"/>
      <w:bookmarkStart w:id="6"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5"/>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6"/>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新疆塔城地区乌苏市城市生活无着的流浪乞讨人员救助管理站2022年度，实有人数4人，其中：在职人员4人，离休人员0人，退休人员0人。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城市生活无着的流浪乞讨人员救助管理站部门决算包括：新疆塔城地区乌苏市城市生活无着的流浪乞讨人员救助管理站决算。单位无下属预算单位，下设1个处室，分别是：办公室。</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7" w:name="_Toc3092"/>
      <w:bookmarkStart w:id="8" w:name="_Toc29374"/>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7"/>
      <w:bookmarkEnd w:id="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9" w:name="_Toc25314"/>
      <w:bookmarkStart w:id="10" w:name="_Toc12566"/>
      <w:r>
        <w:rPr>
          <w:rFonts w:ascii="黑体" w:eastAsia="黑体" w:hAnsi="黑体" w:cs="宋体" w:hint="eastAsia"/>
          <w:kern w:val="0"/>
          <w:sz w:val="32"/>
          <w:szCs w:val="32"/>
          <w:highlight w:val="none"/>
        </w:rPr>
        <w:t>一、收入支出决算总体情况说明</w:t>
      </w:r>
      <w:bookmarkEnd w:id="9"/>
      <w:bookmarkEnd w:id="10"/>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收入总计58.71万元</w:t>
      </w:r>
      <w:r>
        <w:rPr>
          <w:rFonts w:ascii="仿宋_GB2312" w:eastAsia="仿宋_GB2312" w:hint="eastAsia"/>
          <w:sz w:val="32"/>
          <w:szCs w:val="32"/>
          <w:highlight w:val="none"/>
          <w:lang w:eastAsia="zh-CN"/>
        </w:rPr>
        <w:t>，其中：本年收入合计58.71万元，使用非财政拨款结余0.00万元，年初结转和结余0.00万元。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增加19.30万元，增长48.97%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补发以前年度大绩效，因此收入比上年增加。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本年支出总计58.71万元</w:t>
      </w:r>
      <w:r>
        <w:rPr>
          <w:rFonts w:ascii="仿宋_GB2312" w:eastAsia="仿宋_GB2312" w:hint="eastAsia"/>
          <w:sz w:val="32"/>
          <w:szCs w:val="32"/>
          <w:highlight w:val="none"/>
          <w:lang w:eastAsia="zh-CN"/>
        </w:rPr>
        <w:t>，其中：本年支出合计58.71万元，结余分配0.00万元，年末结转和结余0.00万元。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，增加19.30万元，增长48.97%，主要原因是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1" w:name="_Toc1979"/>
      <w:bookmarkStart w:id="12" w:name="_Toc12142"/>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本年收入58.71万元，其中：财政拨款收入58.71万元，占100.00%；上级补助收入0.00万元，占0.00%；事业收入0.00万元，占0.00%；经营收入0.00万元，占0.00%；附属单位上缴收入0.00万元，占0.00%；其他收入0.00万元，占0.00%。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3" w:name="_Toc13201"/>
      <w:bookmarkStart w:id="14" w:name="_Toc27961"/>
      <w:r>
        <w:rPr>
          <w:rFonts w:ascii="黑体" w:eastAsia="黑体" w:hAnsi="黑体" w:cs="宋体" w:hint="eastAsia"/>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本年支出58.71万元，其中：基本支出58.71万元，占100.00%；项目支出0.00万元，占0.00%；上缴上级支出0.00万元，占0.00%；经营支出0.00万元，占0.00%；对附属单位补助支出0.00万元，占0.00%。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5" w:name="_Toc26564"/>
      <w:bookmarkStart w:id="16" w:name="_Toc4393"/>
      <w:r>
        <w:rPr>
          <w:rFonts w:ascii="黑体" w:eastAsia="黑体" w:hAnsi="黑体" w:cs="宋体" w:hint="eastAsia"/>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财政拨款收入总计58.71万元，其中：年初财政拨款结转和结余0.00万元，财政拨款本年收入58.71万元。财政拨款收入总计与上年相比，增加19.30万元，增长48.97%，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补发以前年度大绩效，因此收入比上年增加。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财政拨款支出总计58.71万元，其中：年末财政拨款结转和结余0.00万元，财政拨款本年支出58.71万元。财政拨款支出总计与上年相比，增加19.30万元，增长48.97%，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与年初预算数相比情况：财政拨款收入总计年初预算数46.38万元，决算数58.71万元，预决算差异率26.58%，</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补发以前年度大绩效，因此收入比上年增加。财政拨款支出总计年初预算数46.38万元，决算数58.71万元，预决算差异率26.58%，</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7" w:name="_Toc13833"/>
      <w:bookmarkStart w:id="18" w:name="_Toc20360"/>
      <w:r>
        <w:rPr>
          <w:rFonts w:ascii="黑体" w:eastAsia="黑体" w:hAnsi="黑体" w:cs="宋体" w:hint="eastAsia"/>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一般公共预算财政拨款支出58.71万元，占本年支出合计的100.00%，与上年相比，增加19.30万元，增长48.97%，主要原因是：本年度工资调标</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普调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发放绩效奖励</w:t>
      </w:r>
      <w:r>
        <w:rPr>
          <w:rFonts w:ascii="仿宋_GB2312" w:eastAsia="仿宋_GB2312" w:hint="eastAsia"/>
          <w:sz w:val="32"/>
          <w:szCs w:val="32"/>
          <w:highlight w:val="none"/>
          <w:lang w:eastAsia="zh-CN"/>
        </w:rPr>
        <w:t>工资，</w:t>
      </w:r>
      <w:r>
        <w:rPr>
          <w:rFonts w:ascii="仿宋_GB2312" w:eastAsia="仿宋_GB2312" w:hint="eastAsia"/>
          <w:sz w:val="32"/>
          <w:szCs w:val="32"/>
          <w:highlight w:val="none"/>
        </w:rPr>
        <w:t>补发以前年度大绩效，因此</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比上年增加。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1.社会保障和就业支出（类）52.24万元，占88.98%。</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2.卫生健康支出（类）2.47万元，占4.20%。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3.住房保障支出（类）4.00万元，占6.82%。</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行政事业单位养老支出（款）机关事业单位基本养老保险缴费支出（项）：支出决算数为4.78万元，比上年决算增加0.47万元，增长10.90%，主要原因是：2022年与上年度相比社保基数增加，因此社会保障和就业支出决算比上年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临时救助（款）流浪乞讨人员救助支出（项）：支出决算数为47.46万元，比上年决算增加18.01万元，增长61.21%，主要原因是：2022年度工资调整，与上年度相比工资增加，因此社会保障和就业支出临时救助流浪乞讨人员救助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3.卫生健康支出（类）行政事业单位医疗（款）事业单位医疗（项）：支出决算数为2.47万元，比上年决算减少0.09万元，下降3.52%，主要原因是：社保基数工伤比例下调，因此支出减少。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4.住房保障支出（类）住房改革支出（款）住房公积金（项）：支出决算数为4.00万元，比上年决算增加0.92万元，增长29.45%，主要原因是：2022年与上年度相比公积金基数增加，因此住房公积金决算支出增加。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9" w:name="_Toc30870"/>
      <w:bookmarkStart w:id="20" w:name="_Toc11146"/>
      <w:r>
        <w:rPr>
          <w:rFonts w:ascii="黑体" w:eastAsia="黑体" w:hAnsi="黑体" w:cs="宋体" w:hint="eastAsia"/>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2022年度一般公共预算财政拨款基本支出58.7</w:t>
      </w:r>
      <w:r>
        <w:rPr>
          <w:rFonts w:ascii="仿宋_GB2312" w:eastAsia="仿宋_GB2312" w:hint="eastAsia"/>
          <w:sz w:val="32"/>
          <w:szCs w:val="32"/>
          <w:highlight w:val="none"/>
          <w:lang w:val="en-US" w:eastAsia="zh-CN"/>
        </w:rPr>
        <w:t>2</w:t>
      </w:r>
      <w:r>
        <w:rPr>
          <w:rFonts w:ascii="仿宋_GB2312" w:eastAsia="仿宋_GB2312" w:hint="eastAsia"/>
          <w:sz w:val="32"/>
          <w:szCs w:val="32"/>
          <w:highlight w:val="none"/>
        </w:rPr>
        <w:t>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人员经费58.48万元，包括：基本工资、津贴补贴、奖金、机关事业单位基本养老保险缴费、职工基本医疗保险缴费、其他社会保障缴费、住房公积金。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公用经费0.24万元，包括：办公费。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1" w:name="_Toc7190"/>
      <w:bookmarkStart w:id="22" w:name="_Toc21518"/>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财政拨款“三公”经费支出决算0.00万元，比上年增加0.00万元，增长0.00%，主要原因是：我单位无“三公”经费预算安排</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。其中：因公出国（境）费支出0.00万元，占0.00%，比上年增加0.00万元，增长0.00%，主要原因是：我单位无因公出国（境）费预算安排</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；公务用车购置及运行维护费支出0.00万元，占0.00%，比上年增加0.00万元，增长0.00%，主要原因是：我单位无公务用车购置及运行维护费预算安排</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；公务接待费支出0.00万元，占0.00%，比上年增加0.00万元，增长0.00%，主要原因是：我单位无公务接待费预算安排</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因公出国（境）费支出0.00万元，开支内容包括我单位无因公出国（境）费预算安排，故无因公出国（境）费支出。单位全年安排的因公出国（境）团组0个，因公出国（境）0人次。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无公务用车运行维护费预算安排，故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公务接待费0.00万元，开支内容包括我单位无公务接待费预算安排，故无公务接待费开支。单位全年安排的国内公务接待0批次，0人次。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与全年预算数相比情况：“三公”经费支出全年预算数0.00万元，决算数0.00万元，预决算差异率0.00%，主要原因是：我单位未安排</w:t>
      </w:r>
      <w:r>
        <w:rPr>
          <w:rFonts w:ascii="仿宋_GB2312" w:eastAsia="仿宋_GB2312" w:hint="eastAsia"/>
          <w:sz w:val="32"/>
          <w:szCs w:val="32"/>
          <w:highlight w:val="none"/>
          <w:lang w:eastAsia="zh-CN"/>
        </w:rPr>
        <w:t>财政拨款</w:t>
      </w:r>
      <w:r>
        <w:rPr>
          <w:rFonts w:ascii="仿宋_GB2312" w:eastAsia="仿宋_GB2312" w:hint="eastAsia"/>
          <w:sz w:val="32"/>
          <w:szCs w:val="32"/>
          <w:highlight w:val="none"/>
        </w:rPr>
        <w:t>“三公”经费支出，预决算无差异。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3" w:name="_Toc7927"/>
      <w:bookmarkStart w:id="24" w:name="_Toc5810"/>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我单位本年度无政府性基金预算财政拨款收入、支出及结转和结余，</w:t>
      </w:r>
      <w:r>
        <w:rPr>
          <w:rFonts w:ascii="仿宋_GB2312" w:eastAsia="仿宋_GB2312" w:hint="eastAsia"/>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7314"/>
      <w:bookmarkStart w:id="26" w:name="_Toc1235"/>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4519"/>
      <w:bookmarkStart w:id="28" w:name="_Toc13105"/>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2022年度新疆塔城地区乌苏市城市生活无着的流浪乞讨人员救助管理站（事业单位）公用经费0.24万元，比上年减少0.25万元，下降51.02%，主要原因是：开源节流厉行节约。</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6704"/>
      <w:bookmarkStart w:id="30" w:name="_Toc227"/>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0.00</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0.00</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0.00</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0.00</w:t>
      </w:r>
      <w:r>
        <w:rPr>
          <w:rFonts w:ascii="仿宋_GB2312" w:eastAsia="仿宋_GB2312" w:hint="eastAsia"/>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8391"/>
      <w:bookmarkStart w:id="32" w:name="_Toc45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0.00万元，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我单位无其他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435"/>
      <w:bookmarkStart w:id="34" w:name="_Toc11283"/>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0个，全年预算数0.00万元，全年执行数0.00万元。预算绩效管理取得的成效：我单位无项目绩效自评表。发现的问题及原因：我单位无项目绩效自评表。下一步改进措施：我单位无项目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24143"/>
      <w:bookmarkStart w:id="36" w:name="_Toc3250"/>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2784"/>
      <w:bookmarkStart w:id="38" w:name="_Toc2890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2183"/>
      <w:bookmarkStart w:id="40" w:name="_Toc6062"/>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30364"/>
      <w:bookmarkStart w:id="42" w:name="_Toc24532"/>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21304"/>
      <w:bookmarkStart w:id="44" w:name="_Toc3243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28786"/>
      <w:bookmarkStart w:id="46" w:name="_Toc14238"/>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4869"/>
      <w:bookmarkStart w:id="48" w:name="_Toc10347"/>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8884"/>
      <w:bookmarkStart w:id="50" w:name="_Toc5626"/>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29106"/>
      <w:bookmarkStart w:id="52" w:name="_Toc32663"/>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7643"/>
      <w:bookmarkStart w:id="54" w:name="_Toc545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B6E46A3"/>
    <w:rsid w:val="51AA0F49"/>
    <w:rsid w:val="5822737A"/>
    <w:rsid w:val="700B4580"/>
    <w:rsid w:val="7D59601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emiHidden/>
    <w:qFormat/>
  </w:style>
  <w:style w:type="table" w:default="1" w:styleId="TableNormal">
    <w:name w:val="Normal Table"/>
    <w:semiHidden/>
    <w:qFormat/>
    <w:tblPr>
      <w:tblInd w:w="0" w:type="dxa"/>
      <w:tblCellMar>
        <w:top w:w="0" w:type="dxa"/>
        <w:left w:w="108" w:type="dxa"/>
        <w:bottom w:w="0" w:type="dxa"/>
        <w:right w:w="108" w:type="dxa"/>
      </w:tblCellMar>
    </w:tbl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0</cp:revision>
  <dcterms:created xsi:type="dcterms:W3CDTF">2023-11-17T09:28:00Z</dcterms:created>
  <dcterms:modified xsi:type="dcterms:W3CDTF">2023-02-14T11:23:54Z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E94C96CD9C08445D88DC7183CEA7BA80</vt:lpwstr>
  </property>
  <property fmtid="{D5CDD505-2E9C-101B-9397-08002B2CF9AE}" pid="3" name="KSOProductBuildVer">
    <vt:lpwstr>2052-11.8.2.8555</vt:lpwstr>
  </property>
</Properties>
</file>