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widowControl/>
        <w:jc w:val="left"/>
        <w:rPr>
          <w:rFonts w:ascii="黑体" w:eastAsia="黑体" w:hAnsi="黑体" w:cs="宋体"/>
          <w:color w:val="333333"/>
          <w:sz w:val="32"/>
          <w:szCs w:val="32"/>
          <w:lang w:bidi="ar"/>
        </w:rPr>
      </w:pPr>
      <w:bookmarkStart w:id="0" w:name="_GoBack"/>
      <w:bookmarkEnd w:id="0"/>
      <w:r>
        <w:rPr>
          <w:rFonts w:ascii="黑体" w:eastAsia="黑体" w:hAnsi="黑体" w:cs="宋体" w:hint="eastAsia"/>
          <w:color w:val="333333"/>
          <w:sz w:val="32"/>
          <w:szCs w:val="32"/>
          <w:lang w:bidi="ar"/>
        </w:rPr>
        <w:t>附件4：</w:t>
      </w: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ascii="仿宋_GB2312" w:eastAsia="仿宋_GB2312" w:hAnsi="宋体" w:hint="eastAsia"/>
          <w:b/>
          <w:sz w:val="32"/>
          <w:szCs w:val="32"/>
        </w:rPr>
        <w:t>2022</w:t>
      </w:r>
      <w:r>
        <w:rPr>
          <w:rFonts w:eastAsia="仿宋_GB2312" w:hAnsi="宋体" w:cs="宋体" w:hint="eastAsia"/>
          <w:kern w:val="0"/>
          <w:sz w:val="36"/>
          <w:szCs w:val="36"/>
        </w:rPr>
        <w:t>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850" w:firstLineChars="236"/>
        <w:jc w:val="left"/>
        <w:rPr>
          <w:rFonts w:eastAsia="仿宋_GB2312" w:hAnsi="宋体" w:cs="宋体"/>
          <w:kern w:val="0"/>
          <w:sz w:val="36"/>
          <w:szCs w:val="36"/>
        </w:rPr>
      </w:pPr>
      <w:r>
        <w:rPr>
          <w:rFonts w:eastAsia="仿宋_GB2312" w:hAnsi="宋体" w:cs="宋体" w:hint="eastAsia"/>
          <w:kern w:val="0"/>
          <w:sz w:val="36"/>
          <w:szCs w:val="36"/>
        </w:rPr>
        <w:t>部门单位名称（公章）：乌苏市退役军人事务局</w:t>
      </w:r>
    </w:p>
    <w:p>
      <w:pPr>
        <w:spacing w:line="700" w:lineRule="exact"/>
        <w:ind w:firstLine="850" w:firstLineChars="236"/>
        <w:jc w:val="left"/>
        <w:rPr>
          <w:rFonts w:eastAsia="仿宋_GB2312" w:hAnsi="宋体" w:cs="宋体"/>
          <w:kern w:val="0"/>
          <w:sz w:val="36"/>
          <w:szCs w:val="36"/>
        </w:rPr>
      </w:pPr>
      <w:r>
        <w:rPr>
          <w:rFonts w:eastAsia="仿宋_GB2312" w:hAnsi="宋体" w:cs="宋体" w:hint="eastAsia"/>
          <w:kern w:val="0"/>
          <w:sz w:val="36"/>
          <w:szCs w:val="36"/>
        </w:rPr>
        <w:t xml:space="preserve">填报时间： </w:t>
      </w:r>
      <w:r>
        <w:rPr>
          <w:rFonts w:eastAsia="仿宋_GB2312" w:hAnsi="宋体" w:cs="宋体" w:hint="eastAsia"/>
          <w:kern w:val="0"/>
          <w:sz w:val="36"/>
          <w:szCs w:val="36"/>
          <w:lang w:val="en-US" w:eastAsia="zh-CN"/>
        </w:rPr>
        <w:t>2023</w:t>
      </w:r>
      <w:r>
        <w:rPr>
          <w:rFonts w:eastAsia="仿宋_GB2312" w:hAnsi="宋体" w:cs="宋体" w:hint="eastAsia"/>
          <w:kern w:val="0"/>
          <w:sz w:val="36"/>
          <w:szCs w:val="36"/>
        </w:rPr>
        <w:t xml:space="preserve">年 </w:t>
      </w:r>
      <w:r>
        <w:rPr>
          <w:rFonts w:eastAsia="仿宋_GB2312" w:hAnsi="宋体" w:cs="宋体" w:hint="eastAsia"/>
          <w:kern w:val="0"/>
          <w:sz w:val="36"/>
          <w:szCs w:val="36"/>
          <w:lang w:val="en-US" w:eastAsia="zh-CN"/>
        </w:rPr>
        <w:t>4</w:t>
      </w:r>
      <w:r>
        <w:rPr>
          <w:rFonts w:eastAsia="仿宋_GB2312" w:hAnsi="宋体" w:cs="宋体" w:hint="eastAsia"/>
          <w:kern w:val="0"/>
          <w:sz w:val="36"/>
          <w:szCs w:val="36"/>
        </w:rPr>
        <w:t xml:space="preserve">月  </w:t>
      </w:r>
      <w:r>
        <w:rPr>
          <w:rFonts w:eastAsia="仿宋_GB2312" w:hAnsi="宋体" w:cs="宋体" w:hint="eastAsia"/>
          <w:kern w:val="0"/>
          <w:sz w:val="36"/>
          <w:szCs w:val="36"/>
          <w:lang w:val="en-US" w:eastAsia="zh-CN"/>
        </w:rPr>
        <w:t>20</w:t>
      </w:r>
      <w:r>
        <w:rPr>
          <w:rFonts w:eastAsia="仿宋_GB2312" w:hAnsi="宋体" w:cs="宋体" w:hint="eastAsia"/>
          <w:kern w:val="0"/>
          <w:sz w:val="36"/>
          <w:szCs w:val="36"/>
        </w:rPr>
        <w:t>日</w:t>
      </w:r>
    </w:p>
    <w:p>
      <w:pPr>
        <w:spacing w:line="700" w:lineRule="exact"/>
        <w:jc w:val="left"/>
        <w:rPr>
          <w:rFonts w:eastAsia="仿宋_GB2312" w:hAnsi="宋体" w:cs="宋体"/>
          <w:kern w:val="0"/>
          <w:sz w:val="36"/>
          <w:szCs w:val="36"/>
        </w:rPr>
      </w:pPr>
    </w:p>
    <w:p>
      <w:pPr>
        <w:spacing w:line="700" w:lineRule="exact"/>
        <w:jc w:val="left"/>
        <w:rPr>
          <w:rFonts w:eastAsia="仿宋_GB2312" w:hAnsi="宋体" w:cs="宋体"/>
          <w:kern w:val="0"/>
          <w:sz w:val="36"/>
          <w:szCs w:val="36"/>
        </w:rPr>
      </w:pPr>
    </w:p>
    <w:p>
      <w:pPr>
        <w:spacing w:line="700" w:lineRule="exact"/>
        <w:jc w:val="left"/>
        <w:rPr>
          <w:rFonts w:eastAsia="仿宋_GB2312" w:hAnsi="宋体" w:cs="宋体"/>
          <w:kern w:val="0"/>
          <w:sz w:val="36"/>
          <w:szCs w:val="36"/>
        </w:rPr>
      </w:pP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基本概况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t>（一）单位基本情况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1.部门主要职能</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是组织实施退役军人思想政治、管理保障和安置优抚等工作政策法规。（2）是负责军队转业干部、复员干部、离休退休干部、退役士兵和无军籍退休职工的移交安置工作，自主择业干部、就业退役军人服务管理。（3）是组织指导拥军优属工作。（4）是组织退役军人就业创业培训工作。（5）是组织指导伤病残退役军人服务管理和优抚工作。（6）是负责烈士及退役军人荣誉奖励、纪念活动等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2.部门机构设置及人员构成</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乌苏市退役军人事务局单位机关行政编制5名，其中：行政编制5名，机关工勤事业编制0名。实有人员4人。</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3.年度重点工作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（1）认真学习贯彻党的二十大和二十届一中全会精神，以更加昂扬姿态迈进新征程。（2）深化党的建设，</w:t>
      </w:r>
      <w:r>
        <w:rPr>
          <w:rFonts w:ascii="仿宋_GB2312" w:eastAsia="仿宋_GB2312" w:hAnsi="宋体" w:hint="eastAsia"/>
          <w:b/>
          <w:sz w:val="32"/>
          <w:szCs w:val="32"/>
        </w:rPr>
        <w:t>落实全面从严治党</w:t>
      </w:r>
      <w:r>
        <w:rPr>
          <w:rFonts w:ascii="仿宋_GB2312" w:eastAsia="仿宋_GB2312" w:hAnsi="宋体" w:hint="eastAsia"/>
          <w:b/>
          <w:sz w:val="32"/>
          <w:szCs w:val="32"/>
        </w:rPr>
        <w:t>主体责任。（3）切实加强安置保障，稳步提升就业创业工作。（4）扎实做好褒扬宣传，稳步推进双拥工作。（5）做好涉军人员信访维稳工作，维护政治安全与社会稳定。（6）坚持正面引导，营造关心关爱氛围。</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（二）决策过程</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部门项目立项依据充分，符合相关法规政策及部门职责，符合行业发展和政策要求，与部门职责范围相符，属于部门履职所需。符合中央、地方事务支出责任划分原则。</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部门项目立项程序规范，项目严格按照规定的程序申请设立；审批文件、材料符合相关要求；项目前期已经过必要的可行性研究、专家论证、风险评估、绩效评估、集体决策。</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部门整体绩效指标明确，已将整体项目绩效目标细化分解为具体的绩效指标；可以通过清晰、可衡量的指标值予以体现；与整体项目目标任务数或计划数相对应。</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预算编制科学，整体项目在资金投入方面，预算编制经过科学论证、有明确标准，资金额度与年度目标相适应，用以反映和考核项目预算编制的科学性、合理性情况。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资金分配合理，整体项目预算资金分配有测算依据，资金分配额度合理，与部门单位的实际情况相适应。</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综上，我单位本年各项工作能够做到部门项目立项依据充分，部门项目立项程序规范，绩效目标设置合理，预算编制科学有效，资金分配合理。决策过程科学规范、实施有效。</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（三）项目资金分配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1.部门（单位）预算编制及分配依据</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2.分配结果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预算编制和分配符合部门职责和任务要求，能根据年度工作重点，在不同项目、不同用途之间进行合理分配。整体绩效目标与预算确定的资金相匹配。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3.重点支出保障率</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重点支出保障率用以反映和考核部门（单位）对履行主要职责或完成重点任务的保障程度。我单位本年主要实施优抚对象补助资金项目、退役安置补助项目、军队转业干部管理服务项目等重点项目，履行了优待抚恤、退役安置服务管理等主要职责。</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本年度预算安排的重点项目支出1200万元，项目总支出2574.23万元，重点支出保障率为46.62%。</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（四）部门单位整体支出规模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1.预算执行情况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（1）年初预算执行情况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我单位年初预算数为1117.37万元，实际预算执行数1109.91万元，年初预算执行率为99.33%。</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（2）全年预算执行情况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全年预算数为2706.55万元，全年实际支出资金2706.55万元，全年预算执行率为100%。</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2.预算调整情况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我单位年初批复预算数1117.37万元，年中调整数1589.18万元，调整后全年预算数2706.55万元，预算调整率142.14%。</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 xml:space="preserve">3.政府采购执行情况 </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年初政府采购预算数为1.8万元，实际政府采购数为34.49万元，年初政府采购执行率为1916.11%。</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（五）评价使用方法和主要内容、涉及范围</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1.评价使用方法</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2.评价对象及主要内容</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3.涉及的范围</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评价范围是对本单位整体支出从年度总体绩效目标、产出指标、效益指标、满意度指标等方面进行了全方位、多角度综合评价分析。</w:t>
      </w:r>
      <w:bookmarkStart w:id="1" w:name="_Hlk43849111"/>
      <w:bookmarkEnd w:id="1"/>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部门单位整体支出管理及使用情况</w:t>
      </w:r>
    </w:p>
    <w:p>
      <w:pPr>
        <w:spacing w:line="600" w:lineRule="exact"/>
        <w:ind w:firstLine="800" w:firstLineChars="25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1.管理制度健全性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单位为加强预算管理，规范财务行为，已制定《乌苏市退役军人事务局部门单位预算绩效管理工作实施办法》，《乌苏市退役军人事务局单位财务管理制度》等健全完整的各项管理制度，有效保障了我单位高效的履行工作职能，较好的促进事业发展。</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2.资金使用合规性和安全性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3.预决算信息公开性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按照乌苏市财政局预决算信息公开工作要求，我单位在塔城地区政府信息网财政信息公开专栏对本单位预决算信息进行了公开。公开内容主要包括：本单位主要职能、机构及人员情况，收入、支出预算安排及决算情况，</w:t>
      </w:r>
      <w:r>
        <w:rPr>
          <w:rFonts w:ascii="仿宋_GB2312" w:eastAsia="仿宋_GB2312" w:hAnsi="宋体" w:hint="eastAsia"/>
          <w:b/>
          <w:sz w:val="32"/>
          <w:szCs w:val="32"/>
        </w:rPr>
        <w:t>“三公”经费</w:t>
      </w:r>
      <w:r>
        <w:rPr>
          <w:rFonts w:ascii="仿宋_GB2312" w:eastAsia="仿宋_GB2312" w:hAnsi="宋体" w:hint="eastAsia"/>
          <w:b/>
          <w:sz w:val="32"/>
          <w:szCs w:val="32"/>
        </w:rPr>
        <w:t>预算安排及决算情况，政府采购情况，国有资产占用情况，预算绩效情况等信息，主动接受社会各界监督。</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（二）基本支出和使用情况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1.基本支出和使用情况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2022年本单位基本支出全年预算总额132.32万元，其中：人员经费128.94万元，公用经费3.38万元。实际支出132.32万元，基本支出预算执行率100%。</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2.三公经费控制情况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我单位坚决贯彻落实中央、自治区、地委行署厉行勤俭办公的工作要求，提倡本单位全体干部职工，勤俭节约，切实降低行政运行成本，确保每年</w:t>
      </w:r>
      <w:r>
        <w:rPr>
          <w:rFonts w:ascii="仿宋_GB2312" w:eastAsia="仿宋_GB2312" w:hAnsi="宋体" w:hint="eastAsia"/>
          <w:b/>
          <w:sz w:val="32"/>
          <w:szCs w:val="32"/>
        </w:rPr>
        <w:t>“三公”经费</w:t>
      </w:r>
      <w:r>
        <w:rPr>
          <w:rFonts w:ascii="仿宋_GB2312" w:eastAsia="仿宋_GB2312" w:hAnsi="宋体" w:hint="eastAsia"/>
          <w:b/>
          <w:sz w:val="32"/>
          <w:szCs w:val="32"/>
        </w:rPr>
        <w:t>只减不增。2022年</w:t>
      </w:r>
      <w:r>
        <w:rPr>
          <w:rFonts w:ascii="仿宋_GB2312" w:eastAsia="仿宋_GB2312" w:hAnsi="宋体" w:hint="eastAsia"/>
          <w:b/>
          <w:sz w:val="32"/>
          <w:szCs w:val="32"/>
        </w:rPr>
        <w:t>“三公”经费</w:t>
      </w:r>
      <w:r>
        <w:rPr>
          <w:rFonts w:ascii="仿宋_GB2312" w:eastAsia="仿宋_GB2312" w:hAnsi="宋体" w:hint="eastAsia"/>
          <w:b/>
          <w:sz w:val="32"/>
          <w:szCs w:val="32"/>
        </w:rPr>
        <w:t>预算为2.37万元，实际支出0万元，</w:t>
      </w:r>
      <w:r>
        <w:rPr>
          <w:rFonts w:ascii="仿宋_GB2312" w:eastAsia="仿宋_GB2312" w:hAnsi="宋体" w:hint="eastAsia"/>
          <w:b/>
          <w:sz w:val="32"/>
          <w:szCs w:val="32"/>
        </w:rPr>
        <w:t>“三公”经费</w:t>
      </w:r>
      <w:r>
        <w:rPr>
          <w:rFonts w:ascii="仿宋_GB2312" w:eastAsia="仿宋_GB2312" w:hAnsi="宋体" w:hint="eastAsia"/>
          <w:b/>
          <w:sz w:val="32"/>
          <w:szCs w:val="32"/>
        </w:rPr>
        <w:t>控制率为0%，其中：因公出国（境）费预算为0万元，实际支出0万元；公务接待费预算为0.05万元，实际支出0万元；公务用车购置费预算为0万元，实际支出0万元；公务用车运行维护费预算为2.32万元，实际支出0万元，公务用车运行维护费控制率0%，符合财政部门本年预算要求和相关管理制度要求。</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（三）专项支出管理和使用情况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专项资金的使用符合国家法规和财务管理制度，专项资金拨付有完整的审批程序和手续，符合项目预算批复或合同规定的用途，不存在截留、挤占、挪用、虚列支出等情况。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2022年本单位安排专项支出预算总额2579.37万元，实际支出2574.23万元，专项支出预算执行率99.8%。</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2022年本单位共有8个资金项目，其中7个属经常性项目、1个属当年度新增项目，已完成项目8个、未完成项目0个。</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部门单位专项组织实施情况</w:t>
      </w:r>
    </w:p>
    <w:p>
      <w:pPr>
        <w:spacing w:line="600" w:lineRule="exact"/>
        <w:ind w:firstLine="800" w:firstLineChars="25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Pr>
          <w:rFonts w:ascii="仿宋_GB2312" w:eastAsia="仿宋_GB2312" w:hAnsi="宋体" w:hint="eastAsia"/>
          <w:b/>
          <w:sz w:val="32"/>
          <w:szCs w:val="32"/>
        </w:rPr>
        <w:t>本年我单位实施专项项目8个，涉及金额2574.23万元，其中：中央专项项目3个涉及金额1827.57万元，自治区专项项目3个涉及金额365.17万元，地区本级专项项目2个涉及金额381.49万元。</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（一）乌苏市退役军人事务局单位项目专项组织情况分析</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1.前期准备</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我单位成立乌苏市退役军人事务局整体支出绩效自评小组，成员如下：</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孙宗芳任组长，绩效评价工作职责为负责全盘工作。</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张婷任副组长，绩效评价工作职责为为对项目实施情况进行实地调查。</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甄书华、马强、杨晶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2.组织实施</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（二）专项管理情况分析</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1.项目资金情况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预算资金2579.37万元，实际到位2574.23万元，实际支出2574.23万元。到位足额及时，预算编制依据充分，预算编制准确，资金不存在截留、挪用，支付审批合规、不存在用途改变、范围超支和虚列项目支出等情况；项目严格按照《乌苏市退役军人事务局单位财务管理制度》执行项目资金，实行专账核算、逐级审批。认真落实项目资金的使用各项管理制度，确保专款专用，及时拨付到位。</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2.项目实施情况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项目管理情况：根据《项目绩效管理办法》及单位相关项目管理制度的规定，对项目的实施进行监督管理。建立健全项目后续各项监督管理制度，确保项目正常运转，长期发挥效益。</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项目监管情况：不定期对项目进度和质量等进行监督检查，并且组织开展多种形式的监督检查，以加强日常监管为主，自查、随机抽查、专项检查等方式进行。对检查中发现的问题，及时纠正。</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3.项目绩效情况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成本控制情况：严格按照相关的专项资金管理办法，实行多重审批控制专项经费的支出。</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成本节约情况：项目根据实际情况做出合理预算，支出严格控制在预算范围内，本着节约成本，防止资源浪费的原则将项目成效最大化。</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4.项目效率性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项目实施进度：项目实施紧扣各个环节，逐步推进，及时与职能部门跟踪项目进展，加强项目督办，充分调动职能部门的积极性，加大项目投入工作的力度，加快项目实施进度。</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项目完成质量：项目严格按照年度预期目标执行，项目完成质量达标。</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5.项目效益性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预期目标完成程度：按预定目标完成了年初所设定的各项指标。专项经费实际支出未超出预算规定，保障了专项工作的开展。</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项目实施对效益的影响：项目的实施有效提升了培训人员的绩效管理意识，持续保障了培训工作的顺利开展。</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资产管理情况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（一）资产管理规范性</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2022年资产合计数为7.61万元，比上年减少3.3万元，主要原因是固定资产累计折旧。其中：车辆1辆1.4万元，与上年相比无变化；办公设备及家具6.21万元，与上年相比减少3.3万元。我单位本年无资产处置情况（根据单位实际情况修改），资产配置合理，使用规范，安全完整。</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1.资产管理情况。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2.固定资产利用情况。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我单位固定资产7.61万元,其中:1辆车1.4万元，58个办公设备6.21万元。目前正在使用的固定资产总额7.61万元，固定资产利用率为100%。</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3.流动资产管理情况。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根据《行政事业单位资产管理制度》，我单位统一设立银行存款账户，未经财政主管部门同意不允许单独设立财政监管以外的银行存款账户。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（二）固定资产利用率</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截止本年度固定资产账面净值7.61万元，年末实际在用固定资产7.61万元，固定资产利用率为100%。</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部门单位整体支出绩效情况</w:t>
      </w:r>
    </w:p>
    <w:p>
      <w:pPr>
        <w:spacing w:line="600" w:lineRule="exact"/>
        <w:ind w:firstLine="1120" w:firstLineChars="35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部门单位整体支出自评表，共设置一级指标3个，二级指标7个，三级指标14个。</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（一）产出指标完成情况分析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1.产出数量</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“干部职工发放工资津贴人数”指标，预期指标值为“=8人</w:t>
      </w:r>
      <w:r>
        <w:rPr>
          <w:rFonts w:ascii="仿宋_GB2312" w:eastAsia="仿宋_GB2312" w:hAnsi="宋体" w:hint="eastAsia"/>
          <w:b/>
          <w:sz w:val="32"/>
          <w:szCs w:val="32"/>
        </w:rPr>
        <w:tab/>
      </w:r>
      <w:r>
        <w:rPr>
          <w:rFonts w:ascii="仿宋_GB2312" w:eastAsia="仿宋_GB2312" w:hAnsi="宋体" w:hint="eastAsia"/>
          <w:b/>
          <w:sz w:val="32"/>
          <w:szCs w:val="32"/>
        </w:rPr>
        <w:t>”，实际完成值为“8人”，指标完成率是100%，达到预期目标。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“优抚对象发放生活补助、缴纳医疗人数</w:t>
      </w:r>
      <w:r>
        <w:rPr>
          <w:rFonts w:ascii="仿宋_GB2312" w:eastAsia="仿宋_GB2312" w:hAnsi="宋体" w:hint="eastAsia"/>
          <w:b/>
          <w:sz w:val="32"/>
          <w:szCs w:val="32"/>
        </w:rPr>
        <w:tab/>
      </w:r>
      <w:r>
        <w:rPr>
          <w:rFonts w:ascii="仿宋_GB2312" w:eastAsia="仿宋_GB2312" w:hAnsi="宋体" w:hint="eastAsia"/>
          <w:b/>
          <w:sz w:val="32"/>
          <w:szCs w:val="32"/>
        </w:rPr>
        <w:t>”指标，预期指标值为“&lt;=630人”，实际完成值为“630人”，指标完成率是100%，达到预期目标。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“军工军休干部发放工资、缴纳医疗人数</w:t>
      </w:r>
      <w:r>
        <w:rPr>
          <w:rFonts w:ascii="仿宋_GB2312" w:eastAsia="仿宋_GB2312" w:hAnsi="宋体" w:hint="eastAsia"/>
          <w:b/>
          <w:sz w:val="32"/>
          <w:szCs w:val="32"/>
        </w:rPr>
        <w:tab/>
      </w:r>
      <w:r>
        <w:rPr>
          <w:rFonts w:ascii="仿宋_GB2312" w:eastAsia="仿宋_GB2312" w:hAnsi="宋体" w:hint="eastAsia"/>
          <w:b/>
          <w:sz w:val="32"/>
          <w:szCs w:val="32"/>
        </w:rPr>
        <w:t>”指标，预期指标值为“&lt;=42人”，实际完成值为“42人”，指标完成率是100%，达到预期目标。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“自主就业补偿金、优待金、自主择业军转干部医疗人数”指标，预期指标值为“=150人”，实际完成值为“150人”，指标完成率是100%，达到预期目标。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2.产出质量</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“应发放工资、生活补助覆盖率”预期指标是等于100%，实际完成值是100%，达到质量提升及标准。</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3.产出时效</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“项目开始时间”指标，预期指标是“=2022年1月”，实际完成值是2022年1月，指标完成率是100%，达到预期目标。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“项目结束时间”指标，预期指标是“=2022年12月”，实际完成值是2022年12月，指标完成率是100%，达到预期目标。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4.产出成本</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“人员保障支出成本”指标，预期指标是</w:t>
      </w:r>
      <w:r>
        <w:rPr>
          <w:rFonts w:ascii="仿宋_GB2312" w:eastAsia="仿宋_GB2312" w:hAnsi="宋体" w:hint="eastAsia"/>
          <w:b/>
          <w:sz w:val="32"/>
          <w:szCs w:val="32"/>
        </w:rPr>
        <w:tab/>
      </w:r>
      <w:r>
        <w:rPr>
          <w:rFonts w:ascii="仿宋_GB2312" w:eastAsia="仿宋_GB2312" w:hAnsi="宋体" w:hint="eastAsia"/>
          <w:b/>
          <w:sz w:val="32"/>
          <w:szCs w:val="32"/>
        </w:rPr>
        <w:t>&lt;=88.32万元，实际完成值是88.32万元，指标完成率是100%，达到成本控制及改善目标。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“运转保障支出成本”指标，预期指标是小于等于10.84万元，实际完成值是3.38万元，指标完成率是100%，达到成本控制及改善目标。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“其他退役军人事务支出”指标，预期指标是小于等于1018.21万元，实际完成值是1018.21万元，指标完成率是100%，达到成本控制及改善目标。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（二）效益指标完成情况分析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1.项目实施的经济效益分析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无</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2.项目实施的社会效益分析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“改善补助人员生活质量”指标；预期指标值：有所提高；实际完成值为“达到年度指标”；指标完成率为100%。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社会效益指标共计1个，完成1个，达到单位履职能力对社会带来的影响预期目标，社会效益指标完成。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3.项目实施的生态效益分析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无</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4.项目实施的可持续影响分析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“保障补助人员政策落实”指标；预期指标值：长期保障；实际完成值为“达到年度指标”；指标完成率为100%。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可持续影响指标共计1个，完成1个，达到预期目标，可持续影响指标完成。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（三）满意度指标完成情况分析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按计划完成项目实施，已做满意度调查抽样问卷，具体如下：</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“服务对象满意度”，预期指标值为“≥90%，实际完成值是90%，指标完成率是100%，达到服务对象对部门履职效果的满意度。</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“职工满意度”，预期指标值为“≥98%，实际完成值是98%，指标完成率是100%，达到职工对部门履职效果的满意度。</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满意度指标共计2个，完成2个，达到单位服务对象对部门履职效果的满意度，服务对象满意度指标完成。</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存在的主要问题</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预算编制前根据年度内单位可预见的工作任务，确定了单位年度预算目标，细化了预算指标，但是在实际支付过程中，个别时候未严格按照预算指标执行。</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部分业务人员绩效管理意识有待增强，未能全面深入认识理解绩效管理工作的意义。绩效管理经验不足，预算绩效管理工作有待进一步落实。</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改进措施和建议</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（一）改进措施</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加大绩效工作宣传力度，强化绩效理念。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完善绩效指标，提高整体绩效目标质量。提升预算精细化管理水平。</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继续完善预算绩效管理相关工作制度，建立全过程预算绩效管理链条，有效贯彻落实全面实施绩效管理的精神。</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不断完善预算绩效管理相关工作制度，建立全过程预算绩效管理链条，有效贯彻落实全面实施绩效管理的精神。加强预算执行管理。做好事前审批、事中管理和事后监督工作，不断加快预算执行进度，推动预算执行按照资金计划有序进行。</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3.强化支出预算约束，进一步提高年初预算编制的科学性和准确性，完善预算执行动态约束机制，加强财政预算资金管理，统筹协调推进项目执行，提高财政资金效益和效果。</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（二）建议</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2.在保证资金安全的前提下加快资金支出进度，支出条件已经成熟的项目，抓紧报销，尽快形成有效支出。</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根据本单位近年各个项目实际支出情况，合理测算各类别支出的占比情况，依据中长期发展工作目标，结合部门年度工作方向，调整部门整体支出预算项目分类占比，对政府采购项目开展采购内容、采购方式、支付比例、当年支出金额的前期论证，增强整体预算资金安排的科学性，持续优化支出预算结构。</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附表：《部门整体支出绩效目标自评表》</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26714DC1"/>
    <w:rsid w:val="27CB794A"/>
    <w:rsid w:val="62503856"/>
  </w:rsids>
  <w:docVars>
    <w:docVar w:name="commondata" w:val="eyJoZGlkIjoiMzQyZTUxZjJjYWZmMzFhN2JmY2JiOGYzMzhjZGQ2NDU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23</Pages>
  <Words>7129</Words>
  <Characters>7515</Characters>
  <Application>Microsoft Office Word</Application>
  <DocSecurity>0</DocSecurity>
  <Lines>2</Lines>
  <Paragraphs>1</Paragraphs>
  <ScaleCrop>false</ScaleCrop>
  <Company/>
  <LinksUpToDate>false</LinksUpToDate>
  <CharactersWithSpaces>7545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Administrator</cp:lastModifiedBy>
  <cp:revision>22</cp:revision>
  <dcterms:created xsi:type="dcterms:W3CDTF">2020-06-04T05:22:00Z</dcterms:created>
  <dcterms:modified xsi:type="dcterms:W3CDTF">2023-02-14T11:28:01Z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E66222844A82451EADE0B4E100B7189F_13</vt:lpwstr>
  </property>
  <property fmtid="{D5CDD505-2E9C-101B-9397-08002B2CF9AE}" pid="3" name="KSOProductBuildVer">
    <vt:lpwstr>2052-11.8.2.8555</vt:lpwstr>
  </property>
</Properties>
</file>