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1113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9"/>
        <w:gridCol w:w="1079"/>
        <w:gridCol w:w="1079"/>
        <w:gridCol w:w="1080"/>
        <w:gridCol w:w="1006"/>
        <w:gridCol w:w="630"/>
        <w:gridCol w:w="630"/>
        <w:gridCol w:w="586"/>
        <w:gridCol w:w="675"/>
        <w:gridCol w:w="779"/>
        <w:gridCol w:w="885"/>
        <w:gridCol w:w="616"/>
        <w:gridCol w:w="450"/>
        <w:gridCol w:w="556"/>
      </w:tblGrid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1113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1113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97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2022年中央财政城镇保障性安居工程补助资金项目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2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1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1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595.00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469.50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78.91%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7.89分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1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595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1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1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469.5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5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5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1060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2022年筹集250套（间）租赁住房房源：其中保障性租赁住房250套（间）。</w:t>
            </w:r>
          </w:p>
        </w:tc>
        <w:tc>
          <w:tcPr>
            <w:tcW w:w="45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中央财政城镇保障性安居工程补助资金项目项目预算资金595万元，截止2022年12月31日，已经支付469.4万元，项目按照计划正常实行，已经基本完成年度目标值，基本达到了预期效果，该项目严格按照计划实施，并有效保障了绩效自评工作的顺利开展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4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5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0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筹集保障性租赁住房数量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&gt;=250套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250套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工程质量达标率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保障性租赁住房计划完成率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每平方米房屋建设成本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&lt;=3200元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3200元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申请保障性租赁住房计划完成率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&gt;=90%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确保保障性租赁住房发展目标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长期保障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承租人满意度指标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&gt;=80%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1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97.89分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15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刘镇</w:t>
            </w:r>
          </w:p>
        </w:tc>
        <w:tc>
          <w:tcPr>
            <w:tcW w:w="2521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28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田卫慧</w:t>
            </w:r>
          </w:p>
        </w:tc>
        <w:tc>
          <w:tcPr>
            <w:tcW w:w="2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581DC0"/>
    <w:rsid w:val="11156C0B"/>
    <w:rsid w:val="47581DC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2023-08-10T11:23:00Z</dcterms:created>
  <dcterms:modified xsi:type="dcterms:W3CDTF">2023-11-16T16:42:51Z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64DBD227E7CF42FC91C136109ACA2FDE</vt:lpwstr>
  </property>
  <property fmtid="{D5CDD505-2E9C-101B-9397-08002B2CF9AE}" pid="3" name="KSOProductBuildVer">
    <vt:lpwstr>2052-11.8.2.12118</vt:lpwstr>
  </property>
</Properties>
</file>