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5.1.0 -->
  <w:body>
    <w:p>
      <w:pPr>
        <w:widowControl/>
        <w:overflowPunct w:val="0"/>
        <w:autoSpaceDE w:val="0"/>
        <w:autoSpaceDN w:val="0"/>
        <w:adjustRightInd w:val="0"/>
        <w:spacing w:before="120" w:after="120" w:line="360" w:lineRule="auto"/>
        <w:jc w:val="center"/>
        <w:textAlignment w:val="baseline"/>
        <w:rPr>
          <w:rFonts w:ascii="方正小标宋_GBK" w:eastAsia="方正小标宋_GBK" w:hAnsi="方正小标宋_GBK" w:cs="方正小标宋_GBK"/>
          <w:b/>
          <w:bCs/>
          <w:kern w:val="0"/>
          <w:sz w:val="44"/>
          <w:szCs w:val="52"/>
          <w:lang w:bidi="en-US"/>
        </w:rPr>
      </w:pPr>
    </w:p>
    <w:p>
      <w:pPr>
        <w:widowControl/>
        <w:overflowPunct w:val="0"/>
        <w:autoSpaceDE w:val="0"/>
        <w:autoSpaceDN w:val="0"/>
        <w:adjustRightInd w:val="0"/>
        <w:spacing w:before="120" w:after="120" w:line="360" w:lineRule="auto"/>
        <w:jc w:val="center"/>
        <w:textAlignment w:val="baseline"/>
        <w:rPr>
          <w:rFonts w:ascii="方正小标宋_GBK" w:eastAsia="方正小标宋_GBK" w:hAnsi="方正小标宋_GBK" w:cs="方正小标宋_GBK"/>
          <w:b/>
          <w:bCs/>
          <w:kern w:val="0"/>
          <w:sz w:val="44"/>
          <w:szCs w:val="52"/>
          <w:lang w:bidi="en-US"/>
        </w:rPr>
      </w:pPr>
    </w:p>
    <w:p>
      <w:pPr>
        <w:widowControl/>
        <w:overflowPunct w:val="0"/>
        <w:autoSpaceDE w:val="0"/>
        <w:autoSpaceDN w:val="0"/>
        <w:adjustRightInd w:val="0"/>
        <w:spacing w:line="720" w:lineRule="auto"/>
        <w:jc w:val="center"/>
        <w:textAlignment w:val="baseline"/>
        <w:rPr>
          <w:rFonts w:ascii="方正小标宋_GBK" w:eastAsia="方正小标宋_GBK" w:hAnsi="方正小标宋_GBK" w:cs="方正小标宋_GBK"/>
          <w:b/>
          <w:spacing w:val="23"/>
          <w:sz w:val="44"/>
          <w:szCs w:val="44"/>
        </w:rPr>
      </w:pPr>
    </w:p>
    <w:p>
      <w:pPr>
        <w:widowControl/>
        <w:overflowPunct w:val="0"/>
        <w:autoSpaceDE w:val="0"/>
        <w:autoSpaceDN w:val="0"/>
        <w:adjustRightInd w:val="0"/>
        <w:spacing w:line="720" w:lineRule="auto"/>
        <w:jc w:val="center"/>
        <w:textAlignment w:val="baseline"/>
        <w:rPr>
          <w:rFonts w:ascii="黑体" w:eastAsia="黑体" w:hAnsi="黑体" w:cs="黑体"/>
          <w:b/>
          <w:spacing w:val="23"/>
          <w:sz w:val="52"/>
          <w:szCs w:val="52"/>
        </w:rPr>
      </w:pPr>
      <w:r>
        <w:rPr>
          <w:rFonts w:ascii="黑体" w:eastAsia="黑体" w:hAnsi="黑体" w:cs="黑体" w:hint="eastAsia"/>
          <w:b/>
          <w:spacing w:val="23"/>
          <w:sz w:val="52"/>
          <w:szCs w:val="52"/>
        </w:rPr>
        <w:t>乌苏市2022年度重点项目</w:t>
      </w:r>
    </w:p>
    <w:p>
      <w:pPr>
        <w:widowControl/>
        <w:overflowPunct w:val="0"/>
        <w:autoSpaceDE w:val="0"/>
        <w:autoSpaceDN w:val="0"/>
        <w:adjustRightInd w:val="0"/>
        <w:spacing w:line="720" w:lineRule="auto"/>
        <w:jc w:val="center"/>
        <w:textAlignment w:val="baseline"/>
        <w:rPr>
          <w:rFonts w:ascii="黑体" w:eastAsia="黑体" w:hAnsi="黑体" w:cs="黑体"/>
          <w:b/>
          <w:spacing w:val="23"/>
          <w:sz w:val="52"/>
          <w:szCs w:val="52"/>
        </w:rPr>
      </w:pPr>
      <w:r>
        <w:rPr>
          <w:rFonts w:ascii="黑体" w:eastAsia="黑体" w:hAnsi="黑体" w:cs="黑体" w:hint="eastAsia"/>
          <w:b/>
          <w:spacing w:val="23"/>
          <w:sz w:val="52"/>
          <w:szCs w:val="52"/>
        </w:rPr>
        <w:t>预算绩效评价报告</w:t>
      </w: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kern w:val="0"/>
          <w:sz w:val="30"/>
          <w:szCs w:val="30"/>
        </w:rPr>
      </w:pPr>
    </w:p>
    <w:p>
      <w:pPr>
        <w:widowControl/>
        <w:overflowPunct w:val="0"/>
        <w:autoSpaceDE w:val="0"/>
        <w:autoSpaceDN w:val="0"/>
        <w:adjustRightInd w:val="0"/>
        <w:jc w:val="center"/>
        <w:textAlignment w:val="baseline"/>
        <w:rPr>
          <w:rFonts w:ascii="黑体" w:eastAsia="黑体" w:hAnsi="黑体" w:cs="黑体"/>
          <w:b/>
          <w:kern w:val="0"/>
          <w:sz w:val="52"/>
          <w:szCs w:val="44"/>
        </w:rPr>
      </w:pPr>
    </w:p>
    <w:p>
      <w:pPr>
        <w:widowControl/>
        <w:overflowPunct w:val="0"/>
        <w:autoSpaceDE w:val="0"/>
        <w:autoSpaceDN w:val="0"/>
        <w:adjustRightInd w:val="0"/>
        <w:spacing w:before="120" w:after="120" w:line="360" w:lineRule="auto"/>
        <w:ind w:left="1955" w:firstLine="560" w:leftChars="931" w:firstLineChars="200"/>
        <w:textAlignment w:val="baseline"/>
        <w:rPr>
          <w:rFonts w:ascii="黑体" w:eastAsia="黑体" w:hAnsi="黑体" w:cs="黑体"/>
          <w:kern w:val="0"/>
          <w:sz w:val="28"/>
          <w:szCs w:val="28"/>
          <w:lang w:bidi="en-US"/>
        </w:rPr>
      </w:pPr>
    </w:p>
    <w:p>
      <w:pPr>
        <w:widowControl/>
        <w:overflowPunct w:val="0"/>
        <w:autoSpaceDE w:val="0"/>
        <w:autoSpaceDN w:val="0"/>
        <w:adjustRightInd w:val="0"/>
        <w:spacing w:before="120" w:after="120" w:line="360" w:lineRule="auto"/>
        <w:ind w:left="1955" w:firstLine="640" w:leftChars="931" w:firstLineChars="200"/>
        <w:textAlignment w:val="baseline"/>
        <w:rPr>
          <w:rFonts w:ascii="黑体" w:eastAsia="黑体" w:hAnsi="黑体" w:cs="黑体"/>
          <w:kern w:val="0"/>
          <w:sz w:val="32"/>
          <w:szCs w:val="32"/>
          <w:lang w:bidi="en-US"/>
        </w:rPr>
      </w:pPr>
      <w:r>
        <w:rPr>
          <w:rFonts w:ascii="黑体" w:eastAsia="黑体" w:hAnsi="黑体" w:cs="黑体" w:hint="eastAsia"/>
          <w:kern w:val="0"/>
          <w:sz w:val="32"/>
          <w:szCs w:val="32"/>
          <w:lang w:bidi="en-US"/>
        </w:rPr>
        <w:t>项目名称：2022年部分中央财政城镇保障性安居工程补助资金项目</w:t>
      </w:r>
    </w:p>
    <w:p>
      <w:pPr>
        <w:widowControl/>
        <w:overflowPunct w:val="0"/>
        <w:autoSpaceDE w:val="0"/>
        <w:autoSpaceDN w:val="0"/>
        <w:adjustRightInd w:val="0"/>
        <w:spacing w:before="120" w:after="120" w:line="360" w:lineRule="auto"/>
        <w:ind w:left="1955" w:firstLine="640" w:leftChars="931" w:firstLineChars="200"/>
        <w:textAlignment w:val="baseline"/>
        <w:rPr>
          <w:rFonts w:ascii="黑体" w:eastAsia="黑体" w:hAnsi="黑体" w:cs="黑体"/>
          <w:kern w:val="0"/>
          <w:sz w:val="32"/>
          <w:szCs w:val="32"/>
          <w:lang w:bidi="en-US"/>
        </w:rPr>
      </w:pPr>
      <w:r>
        <w:rPr>
          <w:rFonts w:ascii="黑体" w:eastAsia="黑体" w:hAnsi="黑体" w:cs="黑体" w:hint="eastAsia"/>
          <w:kern w:val="0"/>
          <w:sz w:val="32"/>
          <w:szCs w:val="32"/>
          <w:lang w:bidi="en-US"/>
        </w:rPr>
        <w:t>项目单位：乌苏市住房和城乡建设局</w:t>
      </w:r>
    </w:p>
    <w:p>
      <w:pPr>
        <w:pStyle w:val="Title"/>
        <w:jc w:val="both"/>
        <w:rPr>
          <w:rFonts w:ascii="黑体" w:eastAsia="黑体" w:hAnsi="黑体" w:cs="黑体"/>
        </w:rPr>
      </w:pPr>
      <w:r>
        <w:rPr>
          <w:rFonts w:ascii="黑体" w:eastAsia="黑体" w:hAnsi="黑体" w:cs="黑体" w:hint="eastAsia"/>
          <w:kern w:val="0"/>
          <w:lang w:bidi="en-US"/>
        </w:rPr>
        <w:t xml:space="preserve">               </w:t>
      </w:r>
      <w:r>
        <w:rPr>
          <w:rFonts w:ascii="黑体" w:eastAsia="黑体" w:hAnsi="黑体" w:cs="黑体" w:hint="eastAsia"/>
          <w:b w:val="0"/>
          <w:bCs w:val="0"/>
          <w:kern w:val="0"/>
          <w:lang w:bidi="en-US"/>
        </w:rPr>
        <w:t xml:space="preserve"> 委托单位：乌苏市财政局</w:t>
      </w:r>
    </w:p>
    <w:p>
      <w:pPr>
        <w:widowControl/>
        <w:overflowPunct w:val="0"/>
        <w:autoSpaceDE w:val="0"/>
        <w:autoSpaceDN w:val="0"/>
        <w:adjustRightInd w:val="0"/>
        <w:spacing w:before="120" w:after="120" w:line="360" w:lineRule="auto"/>
        <w:ind w:left="1955" w:firstLine="640" w:leftChars="931" w:firstLineChars="200"/>
        <w:textAlignment w:val="baseline"/>
        <w:rPr>
          <w:rFonts w:ascii="黑体" w:eastAsia="黑体" w:hAnsi="黑体" w:cs="黑体"/>
          <w:b/>
          <w:kern w:val="0"/>
          <w:sz w:val="32"/>
          <w:szCs w:val="32"/>
        </w:rPr>
      </w:pPr>
      <w:r>
        <w:rPr>
          <w:rFonts w:ascii="黑体" w:eastAsia="黑体" w:hAnsi="黑体" w:cs="黑体" w:hint="eastAsia"/>
          <w:kern w:val="0"/>
          <w:sz w:val="32"/>
          <w:szCs w:val="32"/>
          <w:lang w:bidi="en-US"/>
        </w:rPr>
        <w:t>评价机构：北京用友政务软件有限公司新疆分公司</w:t>
      </w:r>
    </w:p>
    <w:p>
      <w:pPr>
        <w:widowControl/>
        <w:overflowPunct w:val="0"/>
        <w:autoSpaceDE w:val="0"/>
        <w:autoSpaceDN w:val="0"/>
        <w:adjustRightInd w:val="0"/>
        <w:spacing w:before="120" w:after="120" w:line="360" w:lineRule="auto"/>
        <w:jc w:val="center"/>
        <w:textAlignment w:val="baseline"/>
        <w:rPr>
          <w:rFonts w:ascii="黑体" w:eastAsia="黑体" w:hAnsi="黑体" w:cs="黑体"/>
          <w:kern w:val="0"/>
          <w:sz w:val="32"/>
          <w:szCs w:val="32"/>
          <w:lang w:bidi="en-US"/>
        </w:rPr>
        <w:sectPr>
          <w:headerReference w:type="even" r:id="rId5"/>
          <w:headerReference w:type="default" r:id="rId6"/>
          <w:pgSz w:w="11906" w:h="16838"/>
          <w:pgMar w:top="720" w:right="720" w:bottom="720" w:left="720" w:header="851" w:footer="992" w:gutter="0"/>
          <w:cols w:num="1" w:space="720"/>
          <w:docGrid w:type="lines" w:linePitch="312" w:charSpace="0"/>
        </w:sectPr>
      </w:pPr>
      <w:r>
        <w:rPr>
          <w:rFonts w:ascii="黑体" w:eastAsia="黑体" w:hAnsi="黑体" w:cs="黑体" w:hint="eastAsia"/>
          <w:kern w:val="0"/>
          <w:sz w:val="32"/>
          <w:szCs w:val="32"/>
          <w:lang w:bidi="en-US"/>
        </w:rPr>
        <w:t>2023年</w:t>
      </w:r>
      <w:r>
        <w:rPr>
          <w:rFonts w:ascii="黑体" w:eastAsia="黑体" w:hAnsi="黑体" w:cs="黑体" w:hint="eastAsia"/>
          <w:kern w:val="0"/>
          <w:sz w:val="32"/>
          <w:szCs w:val="32"/>
          <w:lang w:val="en-US" w:eastAsia="zh-CN" w:bidi="en-US"/>
        </w:rPr>
        <w:t>2</w:t>
      </w:r>
      <w:bookmarkStart w:id="0" w:name="_GoBack"/>
      <w:bookmarkEnd w:id="0"/>
      <w:r>
        <w:rPr>
          <w:rFonts w:ascii="黑体" w:eastAsia="黑体" w:hAnsi="黑体" w:cs="黑体" w:hint="eastAsia"/>
          <w:kern w:val="0"/>
          <w:sz w:val="32"/>
          <w:szCs w:val="32"/>
          <w:lang w:bidi="en-US"/>
        </w:rPr>
        <w:t>月</w:t>
      </w:r>
    </w:p>
    <w:sdt>
      <w:sdtPr>
        <w:rPr>
          <w:rFonts w:asciiTheme="majorEastAsia" w:eastAsiaTheme="majorEastAsia" w:hAnsiTheme="majorEastAsia" w:cstheme="majorEastAsia" w:hint="eastAsia"/>
          <w:sz w:val="48"/>
          <w:szCs w:val="48"/>
        </w:rPr>
        <w:id w:val="147451783"/>
        <w:docPartObj>
          <w:docPartGallery w:val="Table of Contents"/>
          <w:docPartUnique/>
        </w:docPartObj>
        <w15:color w:val="DBDBDB"/>
      </w:sdtPr>
      <w:sdtEndPr>
        <w:rPr>
          <w:rFonts w:ascii="方正仿宋_GBK" w:eastAsia="方正仿宋_GBK" w:hAnsi="方正仿宋_GBK" w:cs="方正仿宋_GBK" w:hint="eastAsia"/>
          <w:b/>
          <w:bCs/>
          <w:sz w:val="24"/>
          <w:szCs w:val="24"/>
        </w:rPr>
      </w:sdtEndPr>
      <w:sdtContent>
        <w:p>
          <w:pPr>
            <w:pStyle w:val="TOC1"/>
            <w:tabs>
              <w:tab w:val="right" w:leader="dot" w:pos="8306"/>
            </w:tabs>
            <w:ind w:firstLine="4160" w:firstLineChars="800"/>
            <w:rPr>
              <w:rFonts w:ascii="黑体" w:eastAsia="黑体" w:hAnsi="黑体" w:cs="黑体"/>
              <w:b/>
              <w:bCs/>
              <w:sz w:val="28"/>
              <w:szCs w:val="28"/>
            </w:rPr>
          </w:pPr>
          <w:r>
            <w:rPr>
              <w:rFonts w:ascii="黑体" w:eastAsia="黑体" w:hAnsi="黑体" w:cs="黑体" w:hint="eastAsia"/>
              <w:sz w:val="52"/>
              <w:szCs w:val="52"/>
            </w:rPr>
            <w:t>目录</w:t>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TOC \o "1-2" \h \u </w:instrText>
          </w:r>
          <w:r>
            <w:rPr>
              <w:rFonts w:ascii="黑体" w:eastAsia="黑体" w:hAnsi="黑体" w:cs="黑体" w:hint="eastAsia"/>
              <w:b/>
              <w:bCs/>
              <w:sz w:val="28"/>
              <w:szCs w:val="28"/>
            </w:rPr>
            <w:fldChar w:fldCharType="separate"/>
          </w:r>
        </w:p>
        <w:p>
          <w:pPr>
            <w:pStyle w:val="TOC1"/>
            <w:tabs>
              <w:tab w:val="right" w:leader="dot" w:pos="8296"/>
            </w:tabs>
            <w:rPr>
              <w:rFonts w:ascii="黑体" w:eastAsia="黑体" w:hAnsi="黑体" w:cs="黑体"/>
              <w:b/>
              <w:bCs/>
              <w:sz w:val="28"/>
              <w:szCs w:val="28"/>
            </w:rPr>
          </w:pPr>
          <w:hyperlink w:anchor="_Toc111656744" w:history="1">
            <w:r>
              <w:rPr>
                <w:rFonts w:ascii="黑体" w:eastAsia="黑体" w:hAnsi="黑体" w:cs="黑体" w:hint="eastAsia"/>
                <w:b/>
                <w:bCs/>
                <w:sz w:val="28"/>
                <w:szCs w:val="28"/>
              </w:rPr>
              <w:t>一、基本情况</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_Toc111656744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sz w:val="28"/>
              <w:szCs w:val="28"/>
            </w:rPr>
          </w:pPr>
          <w:hyperlink w:anchor="_Toc111656745" w:history="1">
            <w:r>
              <w:rPr>
                <w:rFonts w:ascii="黑体" w:eastAsia="黑体" w:hAnsi="黑体" w:cs="黑体" w:hint="eastAsia"/>
                <w:sz w:val="28"/>
                <w:szCs w:val="28"/>
              </w:rPr>
              <w:t>（一）项目概况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_Toc111656745 \h </w:instrText>
            </w:r>
            <w:r>
              <w:rPr>
                <w:rFonts w:ascii="黑体" w:eastAsia="黑体" w:hAnsi="黑体" w:cs="黑体" w:hint="eastAsia"/>
                <w:sz w:val="28"/>
                <w:szCs w:val="28"/>
              </w:rPr>
              <w:fldChar w:fldCharType="separate"/>
            </w:r>
            <w:r>
              <w:rPr>
                <w:rFonts w:ascii="黑体" w:eastAsia="黑体" w:hAnsi="黑体" w:cs="黑体" w:hint="eastAsia"/>
                <w:sz w:val="28"/>
                <w:szCs w:val="28"/>
              </w:rPr>
              <w:t>1</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49" w:history="1">
            <w:r>
              <w:rPr>
                <w:rFonts w:ascii="黑体" w:eastAsia="黑体" w:hAnsi="黑体" w:cs="黑体" w:hint="eastAsia"/>
                <w:sz w:val="28"/>
                <w:szCs w:val="28"/>
              </w:rPr>
              <w:t>（二）项目绩效目标</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_Toc111656749 \h </w:instrText>
            </w:r>
            <w:r>
              <w:rPr>
                <w:rFonts w:ascii="黑体" w:eastAsia="黑体" w:hAnsi="黑体" w:cs="黑体" w:hint="eastAsia"/>
                <w:sz w:val="28"/>
                <w:szCs w:val="28"/>
              </w:rPr>
              <w:fldChar w:fldCharType="separate"/>
            </w:r>
            <w:r>
              <w:rPr>
                <w:rFonts w:ascii="黑体" w:eastAsia="黑体" w:hAnsi="黑体" w:cs="黑体" w:hint="eastAsia"/>
                <w:sz w:val="28"/>
                <w:szCs w:val="28"/>
              </w:rPr>
              <w:t>6</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50" w:history="1">
            <w:r>
              <w:rPr>
                <w:rFonts w:ascii="黑体" w:eastAsia="黑体" w:hAnsi="黑体" w:cs="黑体" w:hint="eastAsia"/>
                <w:b/>
                <w:bCs/>
                <w:sz w:val="28"/>
                <w:szCs w:val="28"/>
              </w:rPr>
              <w:t>二、绩效评价工作的开展情况</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_Toc111656750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7</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b/>
              <w:bCs/>
              <w:sz w:val="28"/>
              <w:szCs w:val="28"/>
            </w:rPr>
          </w:pPr>
          <w:hyperlink w:anchor="_Toc111656751" w:history="1">
            <w:r>
              <w:rPr>
                <w:rFonts w:ascii="黑体" w:eastAsia="黑体" w:hAnsi="黑体" w:cs="黑体" w:hint="eastAsia"/>
                <w:bCs/>
                <w:sz w:val="28"/>
                <w:szCs w:val="28"/>
              </w:rPr>
              <w:t>（一）评价目的与原则、对象和范围</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7</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52" w:history="1">
            <w:r>
              <w:rPr>
                <w:rFonts w:ascii="黑体" w:eastAsia="黑体" w:hAnsi="黑体" w:cs="黑体" w:hint="eastAsia"/>
                <w:sz w:val="28"/>
                <w:szCs w:val="28"/>
              </w:rPr>
              <w:t>（二）绩效评价原则、评价指标体系（附表说明）、评价方法、评价标准等</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_Toc111656752 \h </w:instrText>
            </w:r>
            <w:r>
              <w:rPr>
                <w:rFonts w:ascii="黑体" w:eastAsia="黑体" w:hAnsi="黑体" w:cs="黑体" w:hint="eastAsia"/>
                <w:sz w:val="28"/>
                <w:szCs w:val="28"/>
              </w:rPr>
              <w:fldChar w:fldCharType="separate"/>
            </w:r>
            <w:r>
              <w:rPr>
                <w:rFonts w:ascii="黑体" w:eastAsia="黑体" w:hAnsi="黑体" w:cs="黑体" w:hint="eastAsia"/>
                <w:sz w:val="28"/>
                <w:szCs w:val="28"/>
              </w:rPr>
              <w:t>7</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53" w:history="1">
            <w:r>
              <w:rPr>
                <w:rFonts w:ascii="黑体" w:eastAsia="黑体" w:hAnsi="黑体" w:cs="黑体" w:hint="eastAsia"/>
                <w:sz w:val="28"/>
                <w:szCs w:val="28"/>
              </w:rPr>
              <w:t>（三）绩效评价工作过程</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_Toc111656753 \h </w:instrText>
            </w:r>
            <w:r>
              <w:rPr>
                <w:rFonts w:ascii="黑体" w:eastAsia="黑体" w:hAnsi="黑体" w:cs="黑体" w:hint="eastAsia"/>
                <w:sz w:val="28"/>
                <w:szCs w:val="28"/>
              </w:rPr>
              <w:fldChar w:fldCharType="separate"/>
            </w:r>
            <w:r>
              <w:rPr>
                <w:rFonts w:ascii="黑体" w:eastAsia="黑体" w:hAnsi="黑体" w:cs="黑体" w:hint="eastAsia"/>
                <w:sz w:val="28"/>
                <w:szCs w:val="28"/>
              </w:rPr>
              <w:t>9</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54" w:history="1">
            <w:r>
              <w:rPr>
                <w:rFonts w:ascii="黑体" w:eastAsia="黑体" w:hAnsi="黑体" w:cs="黑体" w:hint="eastAsia"/>
                <w:b/>
                <w:bCs/>
                <w:sz w:val="28"/>
                <w:szCs w:val="28"/>
              </w:rPr>
              <w:t>三、综合评价情况及评价结论（附相关评分表）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_Toc111656754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11</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55" w:history="1">
            <w:r>
              <w:rPr>
                <w:rFonts w:ascii="黑体" w:eastAsia="黑体" w:hAnsi="黑体" w:cs="黑体" w:hint="eastAsia"/>
                <w:b/>
                <w:bCs/>
                <w:sz w:val="28"/>
                <w:szCs w:val="28"/>
              </w:rPr>
              <w:t>四、绩效评价指标分析</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_Toc111656755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13</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56" w:history="1">
            <w:r>
              <w:rPr>
                <w:rFonts w:ascii="黑体" w:eastAsia="黑体" w:hAnsi="黑体" w:cs="黑体" w:hint="eastAsia"/>
                <w:sz w:val="28"/>
                <w:szCs w:val="28"/>
              </w:rPr>
              <w:t>（一）项目决策情况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_Toc111656756 \h </w:instrText>
            </w:r>
            <w:r>
              <w:rPr>
                <w:rFonts w:ascii="黑体" w:eastAsia="黑体" w:hAnsi="黑体" w:cs="黑体" w:hint="eastAsia"/>
                <w:sz w:val="28"/>
                <w:szCs w:val="28"/>
              </w:rPr>
              <w:fldChar w:fldCharType="separate"/>
            </w:r>
            <w:r>
              <w:rPr>
                <w:rFonts w:ascii="黑体" w:eastAsia="黑体" w:hAnsi="黑体" w:cs="黑体" w:hint="eastAsia"/>
                <w:sz w:val="28"/>
                <w:szCs w:val="28"/>
              </w:rPr>
              <w:t>13</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58" w:history="1">
            <w:r>
              <w:rPr>
                <w:rFonts w:ascii="黑体" w:eastAsia="黑体" w:hAnsi="黑体" w:cs="黑体" w:hint="eastAsia"/>
                <w:sz w:val="28"/>
                <w:szCs w:val="28"/>
              </w:rPr>
              <w:t>（二）项目过程情况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_Toc111656758 \h </w:instrText>
            </w:r>
            <w:r>
              <w:rPr>
                <w:rFonts w:ascii="黑体" w:eastAsia="黑体" w:hAnsi="黑体" w:cs="黑体" w:hint="eastAsia"/>
                <w:sz w:val="28"/>
                <w:szCs w:val="28"/>
              </w:rPr>
              <w:fldChar w:fldCharType="separate"/>
            </w:r>
            <w:r>
              <w:rPr>
                <w:rFonts w:ascii="黑体" w:eastAsia="黑体" w:hAnsi="黑体" w:cs="黑体" w:hint="eastAsia"/>
                <w:sz w:val="28"/>
                <w:szCs w:val="28"/>
              </w:rPr>
              <w:t>16</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59" w:history="1">
            <w:r>
              <w:rPr>
                <w:rFonts w:ascii="黑体" w:eastAsia="黑体" w:hAnsi="黑体" w:cs="黑体" w:hint="eastAsia"/>
                <w:sz w:val="28"/>
                <w:szCs w:val="28"/>
              </w:rPr>
              <w:t>（三）项目产出情况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_Toc111656759 \h </w:instrText>
            </w:r>
            <w:r>
              <w:rPr>
                <w:rFonts w:ascii="黑体" w:eastAsia="黑体" w:hAnsi="黑体" w:cs="黑体" w:hint="eastAsia"/>
                <w:sz w:val="28"/>
                <w:szCs w:val="28"/>
              </w:rPr>
              <w:fldChar w:fldCharType="separate"/>
            </w:r>
            <w:r>
              <w:rPr>
                <w:rFonts w:ascii="黑体" w:eastAsia="黑体" w:hAnsi="黑体" w:cs="黑体" w:hint="eastAsia"/>
                <w:sz w:val="28"/>
                <w:szCs w:val="28"/>
              </w:rPr>
              <w:t>17</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60" w:history="1">
            <w:r>
              <w:rPr>
                <w:rFonts w:ascii="黑体" w:eastAsia="黑体" w:hAnsi="黑体" w:cs="黑体" w:hint="eastAsia"/>
                <w:sz w:val="28"/>
                <w:szCs w:val="28"/>
              </w:rPr>
              <w:t>（四）项目效益情况</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_Toc111656760 \h </w:instrText>
            </w:r>
            <w:r>
              <w:rPr>
                <w:rFonts w:ascii="黑体" w:eastAsia="黑体" w:hAnsi="黑体" w:cs="黑体" w:hint="eastAsia"/>
                <w:sz w:val="28"/>
                <w:szCs w:val="28"/>
              </w:rPr>
              <w:fldChar w:fldCharType="separate"/>
            </w:r>
            <w:r>
              <w:rPr>
                <w:rFonts w:ascii="黑体" w:eastAsia="黑体" w:hAnsi="黑体" w:cs="黑体" w:hint="eastAsia"/>
                <w:sz w:val="28"/>
                <w:szCs w:val="28"/>
              </w:rPr>
              <w:t>18</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61" w:history="1">
            <w:r>
              <w:rPr>
                <w:rFonts w:ascii="黑体" w:eastAsia="黑体" w:hAnsi="黑体" w:cs="黑体" w:hint="eastAsia"/>
                <w:b/>
                <w:bCs/>
                <w:sz w:val="28"/>
                <w:szCs w:val="28"/>
              </w:rPr>
              <w:t>五、主要经验及做法、存在的问题及原因分析</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_Toc111656761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19</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62" w:history="1">
            <w:r>
              <w:rPr>
                <w:rFonts w:ascii="黑体" w:eastAsia="黑体" w:hAnsi="黑体" w:cs="黑体" w:hint="eastAsia"/>
                <w:sz w:val="28"/>
                <w:szCs w:val="28"/>
              </w:rPr>
              <w:t>（一）主要经验及做法</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_Toc111656762 \h </w:instrText>
            </w:r>
            <w:r>
              <w:rPr>
                <w:rFonts w:ascii="黑体" w:eastAsia="黑体" w:hAnsi="黑体" w:cs="黑体" w:hint="eastAsia"/>
                <w:sz w:val="28"/>
                <w:szCs w:val="28"/>
              </w:rPr>
              <w:fldChar w:fldCharType="separate"/>
            </w:r>
            <w:r>
              <w:rPr>
                <w:rFonts w:ascii="黑体" w:eastAsia="黑体" w:hAnsi="黑体" w:cs="黑体" w:hint="eastAsia"/>
                <w:sz w:val="28"/>
                <w:szCs w:val="28"/>
              </w:rPr>
              <w:t>19</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sz w:val="28"/>
              <w:szCs w:val="28"/>
            </w:rPr>
          </w:pPr>
          <w:hyperlink w:anchor="_Toc111656764" w:history="1">
            <w:r>
              <w:rPr>
                <w:rFonts w:ascii="黑体" w:eastAsia="黑体" w:hAnsi="黑体" w:cs="黑体" w:hint="eastAsia"/>
                <w:sz w:val="28"/>
                <w:szCs w:val="28"/>
              </w:rPr>
              <w:t>（二）存在的问题及原因分析</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_Toc111656764 \h </w:instrText>
            </w:r>
            <w:r>
              <w:rPr>
                <w:rFonts w:ascii="黑体" w:eastAsia="黑体" w:hAnsi="黑体" w:cs="黑体" w:hint="eastAsia"/>
                <w:sz w:val="28"/>
                <w:szCs w:val="28"/>
              </w:rPr>
              <w:fldChar w:fldCharType="separate"/>
            </w:r>
            <w:r>
              <w:rPr>
                <w:rFonts w:ascii="黑体" w:eastAsia="黑体" w:hAnsi="黑体" w:cs="黑体" w:hint="eastAsia"/>
                <w:sz w:val="28"/>
                <w:szCs w:val="28"/>
              </w:rPr>
              <w:t>20</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67" w:history="1">
            <w:r>
              <w:rPr>
                <w:rFonts w:ascii="黑体" w:eastAsia="黑体" w:hAnsi="黑体" w:cs="黑体" w:hint="eastAsia"/>
                <w:b/>
                <w:bCs/>
                <w:sz w:val="28"/>
                <w:szCs w:val="28"/>
              </w:rPr>
              <w:t>六、有关建议</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_Toc111656767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21</w:t>
            </w:r>
            <w:r>
              <w:rPr>
                <w:rFonts w:ascii="黑体" w:eastAsia="黑体" w:hAnsi="黑体" w:cs="黑体" w:hint="eastAsia"/>
                <w:b/>
                <w:bCs/>
                <w:sz w:val="28"/>
                <w:szCs w:val="28"/>
              </w:rPr>
              <w:fldChar w:fldCharType="end"/>
            </w:r>
          </w:hyperlink>
        </w:p>
        <w:p>
          <w:pPr>
            <w:pStyle w:val="TOC1"/>
            <w:tabs>
              <w:tab w:val="right" w:leader="dot" w:pos="8306"/>
            </w:tabs>
            <w:rPr>
              <w:rFonts w:ascii="黑体" w:eastAsia="黑体" w:hAnsi="黑体" w:cs="黑体"/>
              <w:sz w:val="28"/>
              <w:szCs w:val="28"/>
            </w:rPr>
          </w:pPr>
          <w:hyperlink w:anchor="_Toc111656768" w:history="1">
            <w:r>
              <w:rPr>
                <w:rFonts w:ascii="黑体" w:eastAsia="黑体" w:hAnsi="黑体" w:cs="黑体" w:hint="eastAsia"/>
                <w:sz w:val="28"/>
                <w:szCs w:val="28"/>
              </w:rPr>
              <w:t>（一）提升绩效目标评价指标体系</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_Toc111656768 \h </w:instrText>
            </w:r>
            <w:r>
              <w:rPr>
                <w:rFonts w:ascii="黑体" w:eastAsia="黑体" w:hAnsi="黑体" w:cs="黑体" w:hint="eastAsia"/>
                <w:sz w:val="28"/>
                <w:szCs w:val="28"/>
              </w:rPr>
              <w:fldChar w:fldCharType="separate"/>
            </w:r>
            <w:r>
              <w:rPr>
                <w:rFonts w:ascii="黑体" w:eastAsia="黑体" w:hAnsi="黑体" w:cs="黑体" w:hint="eastAsia"/>
                <w:sz w:val="28"/>
                <w:szCs w:val="28"/>
              </w:rPr>
              <w:t>21</w:t>
            </w:r>
            <w:r>
              <w:rPr>
                <w:rFonts w:ascii="黑体" w:eastAsia="黑体" w:hAnsi="黑体" w:cs="黑体" w:hint="eastAsia"/>
                <w:sz w:val="28"/>
                <w:szCs w:val="28"/>
              </w:rPr>
              <w:fldChar w:fldCharType="end"/>
            </w:r>
          </w:hyperlink>
        </w:p>
        <w:p>
          <w:pPr>
            <w:pStyle w:val="TOC1"/>
            <w:tabs>
              <w:tab w:val="right" w:leader="dot" w:pos="8306"/>
            </w:tabs>
            <w:rPr>
              <w:rFonts w:ascii="黑体" w:eastAsia="黑体" w:hAnsi="黑体" w:cs="黑体"/>
              <w:sz w:val="28"/>
              <w:szCs w:val="28"/>
            </w:rPr>
          </w:pPr>
          <w:hyperlink w:anchor="_Toc111656769" w:history="1">
            <w:r>
              <w:rPr>
                <w:rFonts w:ascii="黑体" w:eastAsia="黑体" w:hAnsi="黑体" w:cs="黑体" w:hint="eastAsia"/>
                <w:sz w:val="28"/>
                <w:szCs w:val="28"/>
              </w:rPr>
              <w:t>（二）提升项目管理水平，完善档案管理制度</w:t>
            </w:r>
            <w:r>
              <w:rPr>
                <w:rFonts w:ascii="黑体" w:eastAsia="黑体" w:hAnsi="黑体" w:cs="黑体" w:hint="eastAsia"/>
                <w:sz w:val="28"/>
                <w:szCs w:val="28"/>
              </w:rPr>
              <w:tab/>
            </w:r>
            <w:r>
              <w:rPr>
                <w:rFonts w:ascii="黑体" w:eastAsia="黑体" w:hAnsi="黑体" w:cs="黑体" w:hint="eastAsia"/>
                <w:sz w:val="28"/>
                <w:szCs w:val="28"/>
              </w:rPr>
              <w:fldChar w:fldCharType="begin"/>
            </w:r>
            <w:r>
              <w:rPr>
                <w:rFonts w:ascii="黑体" w:eastAsia="黑体" w:hAnsi="黑体" w:cs="黑体" w:hint="eastAsia"/>
                <w:sz w:val="28"/>
                <w:szCs w:val="28"/>
              </w:rPr>
              <w:instrText xml:space="preserve"> PAGEREF _Toc111656769 \h </w:instrText>
            </w:r>
            <w:r>
              <w:rPr>
                <w:rFonts w:ascii="黑体" w:eastAsia="黑体" w:hAnsi="黑体" w:cs="黑体" w:hint="eastAsia"/>
                <w:sz w:val="28"/>
                <w:szCs w:val="28"/>
              </w:rPr>
              <w:fldChar w:fldCharType="separate"/>
            </w:r>
            <w:r>
              <w:rPr>
                <w:rFonts w:ascii="黑体" w:eastAsia="黑体" w:hAnsi="黑体" w:cs="黑体" w:hint="eastAsia"/>
                <w:sz w:val="28"/>
                <w:szCs w:val="28"/>
              </w:rPr>
              <w:t>21</w:t>
            </w:r>
            <w:r>
              <w:rPr>
                <w:rFonts w:ascii="黑体" w:eastAsia="黑体" w:hAnsi="黑体" w:cs="黑体" w:hint="eastAsia"/>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71" w:history="1">
            <w:r>
              <w:rPr>
                <w:rFonts w:ascii="黑体" w:eastAsia="黑体" w:hAnsi="黑体" w:cs="黑体" w:hint="eastAsia"/>
                <w:b/>
                <w:bCs/>
                <w:sz w:val="28"/>
                <w:szCs w:val="28"/>
              </w:rPr>
              <w:t>附件一 综合评分表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_Toc111656771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23</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72" w:history="1">
            <w:r>
              <w:rPr>
                <w:rFonts w:ascii="黑体" w:eastAsia="黑体" w:hAnsi="黑体" w:cs="黑体" w:hint="eastAsia"/>
                <w:b/>
                <w:bCs/>
                <w:sz w:val="28"/>
                <w:szCs w:val="28"/>
              </w:rPr>
              <w:t>附件二 基础表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_Toc111656772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32</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73" w:history="1">
            <w:r>
              <w:rPr>
                <w:rFonts w:ascii="黑体" w:eastAsia="黑体" w:hAnsi="黑体" w:cs="黑体" w:hint="eastAsia"/>
                <w:b/>
                <w:bCs/>
                <w:sz w:val="28"/>
                <w:szCs w:val="28"/>
              </w:rPr>
              <w:t>附件三 满意度调查问卷报告</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_Toc111656773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33</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1" w:history="1">
            <w:r>
              <w:rPr>
                <w:rFonts w:ascii="黑体" w:eastAsia="黑体" w:hAnsi="黑体" w:cs="黑体" w:hint="eastAsia"/>
                <w:b/>
                <w:bCs/>
                <w:sz w:val="28"/>
                <w:szCs w:val="28"/>
              </w:rPr>
              <w:t>附件四 访谈报告</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_Toc111656781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39</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2" w:history="1">
            <w:r>
              <w:rPr>
                <w:rFonts w:ascii="黑体" w:eastAsia="黑体" w:hAnsi="黑体" w:cs="黑体" w:hint="eastAsia"/>
                <w:b/>
                <w:bCs/>
                <w:sz w:val="28"/>
                <w:szCs w:val="28"/>
              </w:rPr>
              <w:t>附件五 访谈提纲</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_Toc111656782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42</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3" w:history="1">
            <w:r>
              <w:rPr>
                <w:rFonts w:ascii="黑体" w:eastAsia="黑体" w:hAnsi="黑体" w:cs="黑体" w:hint="eastAsia"/>
                <w:b/>
                <w:bCs/>
                <w:sz w:val="28"/>
                <w:szCs w:val="28"/>
              </w:rPr>
              <w:t>附件六 项目自评表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_Toc111656783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43</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4" w:history="1">
            <w:r>
              <w:rPr>
                <w:rFonts w:ascii="黑体" w:eastAsia="黑体" w:hAnsi="黑体" w:cs="黑体" w:hint="eastAsia"/>
                <w:b/>
                <w:bCs/>
                <w:sz w:val="28"/>
                <w:szCs w:val="28"/>
              </w:rPr>
              <w:t>附件七 现场照片</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_Toc111656784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45</w:t>
            </w:r>
            <w:r>
              <w:rPr>
                <w:rFonts w:ascii="黑体" w:eastAsia="黑体" w:hAnsi="黑体" w:cs="黑体" w:hint="eastAsia"/>
                <w:b/>
                <w:bCs/>
                <w:sz w:val="28"/>
                <w:szCs w:val="28"/>
              </w:rPr>
              <w:fldChar w:fldCharType="end"/>
            </w:r>
          </w:hyperlink>
        </w:p>
        <w:p>
          <w:pPr>
            <w:pStyle w:val="TOC1"/>
            <w:tabs>
              <w:tab w:val="right" w:leader="dot" w:pos="8296"/>
            </w:tabs>
            <w:rPr>
              <w:rFonts w:ascii="黑体" w:eastAsia="黑体" w:hAnsi="黑体" w:cs="黑体"/>
              <w:b/>
              <w:bCs/>
              <w:sz w:val="28"/>
              <w:szCs w:val="28"/>
            </w:rPr>
          </w:pPr>
          <w:hyperlink w:anchor="_Toc111656785" w:history="1">
            <w:r>
              <w:rPr>
                <w:rFonts w:ascii="黑体" w:eastAsia="黑体" w:hAnsi="黑体" w:cs="黑体" w:hint="eastAsia"/>
                <w:b/>
                <w:bCs/>
                <w:sz w:val="28"/>
                <w:szCs w:val="28"/>
              </w:rPr>
              <w:t>附件八  网上银行回执单、支付凭证、发票</w:t>
            </w:r>
            <w:r>
              <w:rPr>
                <w:rFonts w:ascii="黑体" w:eastAsia="黑体" w:hAnsi="黑体" w:cs="黑体" w:hint="eastAsia"/>
                <w:b/>
                <w:bCs/>
                <w:sz w:val="28"/>
                <w:szCs w:val="28"/>
              </w:rPr>
              <w:tab/>
            </w:r>
            <w:r>
              <w:rPr>
                <w:rFonts w:ascii="黑体" w:eastAsia="黑体" w:hAnsi="黑体" w:cs="黑体" w:hint="eastAsia"/>
                <w:b/>
                <w:bCs/>
                <w:sz w:val="28"/>
                <w:szCs w:val="28"/>
              </w:rPr>
              <w:fldChar w:fldCharType="begin"/>
            </w:r>
            <w:r>
              <w:rPr>
                <w:rFonts w:ascii="黑体" w:eastAsia="黑体" w:hAnsi="黑体" w:cs="黑体" w:hint="eastAsia"/>
                <w:b/>
                <w:bCs/>
                <w:sz w:val="28"/>
                <w:szCs w:val="28"/>
              </w:rPr>
              <w:instrText xml:space="preserve"> PAGEREF _Toc111656785 \h </w:instrText>
            </w:r>
            <w:r>
              <w:rPr>
                <w:rFonts w:ascii="黑体" w:eastAsia="黑体" w:hAnsi="黑体" w:cs="黑体" w:hint="eastAsia"/>
                <w:b/>
                <w:bCs/>
                <w:sz w:val="28"/>
                <w:szCs w:val="28"/>
              </w:rPr>
              <w:fldChar w:fldCharType="separate"/>
            </w:r>
            <w:r>
              <w:rPr>
                <w:rFonts w:ascii="黑体" w:eastAsia="黑体" w:hAnsi="黑体" w:cs="黑体" w:hint="eastAsia"/>
                <w:b/>
                <w:bCs/>
                <w:sz w:val="28"/>
                <w:szCs w:val="28"/>
              </w:rPr>
              <w:t>49</w:t>
            </w:r>
            <w:r>
              <w:rPr>
                <w:rFonts w:ascii="黑体" w:eastAsia="黑体" w:hAnsi="黑体" w:cs="黑体" w:hint="eastAsia"/>
                <w:b/>
                <w:bCs/>
                <w:sz w:val="28"/>
                <w:szCs w:val="28"/>
              </w:rPr>
              <w:fldChar w:fldCharType="end"/>
            </w:r>
          </w:hyperlink>
        </w:p>
        <w:p>
          <w:pPr>
            <w:pStyle w:val="TOC1"/>
            <w:tabs>
              <w:tab w:val="right" w:leader="dot" w:pos="8296"/>
            </w:tabs>
            <w:rPr>
              <w:rFonts w:ascii="方正仿宋_GBK" w:eastAsia="方正仿宋_GBK" w:hAnsi="方正仿宋_GBK" w:cs="方正仿宋_GBK"/>
              <w:b/>
              <w:bCs/>
              <w:sz w:val="24"/>
              <w:szCs w:val="24"/>
            </w:rPr>
          </w:pPr>
          <w:r>
            <w:rPr>
              <w:rFonts w:ascii="黑体" w:eastAsia="黑体" w:hAnsi="黑体" w:cs="黑体" w:hint="eastAsia"/>
              <w:b/>
              <w:bCs/>
              <w:sz w:val="28"/>
              <w:szCs w:val="28"/>
            </w:rPr>
            <w:fldChar w:fldCharType="end"/>
          </w:r>
        </w:p>
      </w:sdtContent>
    </w:sdt>
    <w:p>
      <w:pPr>
        <w:tabs>
          <w:tab w:val="left" w:pos="3536"/>
        </w:tabs>
        <w:jc w:val="left"/>
        <w:sectPr>
          <w:pgSz w:w="11906" w:h="16838"/>
          <w:pgMar w:top="1440" w:right="1800" w:bottom="1440" w:left="1800" w:header="851" w:footer="992" w:gutter="0"/>
          <w:cols w:num="1" w:space="425"/>
          <w:docGrid w:type="lines" w:linePitch="312" w:charSpace="0"/>
        </w:sectPr>
      </w:pPr>
      <w:r>
        <w:rPr>
          <w:rFonts w:hint="eastAsia"/>
        </w:rPr>
        <w:tab/>
      </w:r>
    </w:p>
    <w:p>
      <w:pPr>
        <w:pStyle w:val="1"/>
        <w:spacing w:line="580" w:lineRule="exact"/>
        <w:ind w:firstLine="640" w:firstLineChars="200"/>
        <w:jc w:val="center"/>
        <w:outlineLvl w:val="1"/>
        <w:rPr>
          <w:szCs w:val="32"/>
        </w:rPr>
      </w:pPr>
      <w:bookmarkStart w:id="1" w:name="_Toc111656743"/>
      <w:bookmarkStart w:id="2" w:name="_Toc640"/>
      <w:r>
        <w:rPr>
          <w:rFonts w:hint="eastAsia"/>
          <w:szCs w:val="32"/>
        </w:rPr>
        <w:t>2022年部分中央财政城镇保障性安居工程补助资金项目绩效评价报告</w:t>
      </w:r>
      <w:bookmarkEnd w:id="1"/>
      <w:bookmarkEnd w:id="2"/>
    </w:p>
    <w:p>
      <w:pPr>
        <w:pStyle w:val="1"/>
        <w:ind w:firstLine="640" w:firstLineChars="200"/>
        <w:rPr>
          <w:rFonts w:ascii="仿宋_GB2312" w:eastAsia="仿宋_GB2312" w:hAnsi="仿宋_GB2312" w:cs="仿宋_GB2312"/>
          <w:b w:val="0"/>
          <w:szCs w:val="32"/>
        </w:rPr>
      </w:pPr>
      <w:r>
        <w:rPr>
          <w:rFonts w:ascii="仿宋_GB2312" w:eastAsia="仿宋_GB2312" w:hAnsi="仿宋_GB2312" w:cs="仿宋_GB2312" w:hint="eastAsia"/>
          <w:b w:val="0"/>
          <w:szCs w:val="32"/>
        </w:rPr>
        <w:t>推进城市棚户区改造，是保障和改善民生的一项重大举措，有利于加快解决低收入居民的住房困难问题。通过棚户区改造，城市中一些脏、乱、差等“城市病”问题能够得到有效治理，能够改善城市人居环境，提高城市居民的生活质量，完善城市功能，提升城市品位。在棚户区改造的同时，能够促进存量土地的有效利用，节约宝贵的土地资源，有利于政府更好地规划、建设城市，为城市的进一步发展打下良好基础。</w:t>
      </w:r>
    </w:p>
    <w:p>
      <w:pPr>
        <w:pStyle w:val="1"/>
        <w:ind w:firstLine="640" w:firstLineChars="200"/>
        <w:rPr>
          <w:rFonts w:ascii="仿宋_GB2312" w:eastAsia="仿宋_GB2312" w:hAnsi="仿宋_GB2312" w:cs="仿宋_GB2312"/>
          <w:b w:val="0"/>
          <w:szCs w:val="32"/>
        </w:rPr>
      </w:pPr>
      <w:r>
        <w:rPr>
          <w:rFonts w:ascii="仿宋_GB2312" w:eastAsia="仿宋_GB2312" w:hAnsi="仿宋_GB2312" w:cs="仿宋_GB2312" w:hint="eastAsia"/>
          <w:b w:val="0"/>
          <w:szCs w:val="32"/>
        </w:rPr>
        <w:t>城镇化是现代化的必由之路，是我国最大的内需潜力和发展动能所在。党的十八大以来，党中央就深入推进新型城镇化建设做出了一系列重大决策部署。以五大发展理念为引领,以人的城镇化为核心,注重提高户籍人口城镇化率,注重城乡基本公共服务均等化,注重提升人民群众获得感和幸福感。城镇化水平持续提高，城市综合实力显著增强，城市社会事业全面进步，城市居民生活质量进一步改善，向中国特色的新型城镇化道路又迈出了坚实一步。</w:t>
      </w:r>
    </w:p>
    <w:p>
      <w:pPr>
        <w:pStyle w:val="1"/>
        <w:ind w:firstLine="640" w:firstLineChars="200"/>
        <w:rPr>
          <w:rFonts w:ascii="Times New Roman" w:eastAsia="仿宋_GB2312" w:hAnsi="Times New Roman"/>
          <w:b w:val="0"/>
          <w:szCs w:val="32"/>
        </w:rPr>
      </w:pPr>
      <w:r>
        <w:rPr>
          <w:rFonts w:ascii="仿宋_GB2312" w:eastAsia="仿宋_GB2312" w:hAnsi="仿宋_GB2312" w:cs="仿宋_GB2312" w:hint="eastAsia"/>
          <w:b w:val="0"/>
          <w:szCs w:val="32"/>
        </w:rPr>
        <w:t>2022年乌苏市住房和城乡建设局开展2022年部分中央财政城镇保障性安居工程补助资金项目，为进一步监控项目执行情况及资金使用情况，受乌苏市财政局委托，北京用友政务软件有限公司新疆分公司承担了2022年</w:t>
      </w:r>
      <w:r>
        <w:rPr>
          <w:rFonts w:ascii="仿宋_GB2312" w:eastAsia="仿宋_GB2312" w:hAnsi="仿宋_GB2312" w:cs="仿宋_GB2312" w:hint="eastAsia"/>
          <w:b w:val="0"/>
          <w:szCs w:val="32"/>
          <w:lang w:bidi="en-US"/>
        </w:rPr>
        <w:t>乌苏市2022年棚户区改造项目</w:t>
      </w:r>
      <w:r>
        <w:rPr>
          <w:rFonts w:ascii="仿宋_GB2312" w:eastAsia="仿宋_GB2312" w:hAnsi="仿宋_GB2312" w:cs="仿宋_GB2312" w:hint="eastAsia"/>
          <w:b w:val="0"/>
          <w:szCs w:val="32"/>
        </w:rPr>
        <w:t>评价工作。评价组依据绩效评价的基本原理，结合本项目特点，经过前期调研、方案制定、访谈、数据收集与梳理等环节，撰写形成本绩效评价报告。</w:t>
      </w:r>
    </w:p>
    <w:p>
      <w:pPr>
        <w:pStyle w:val="1"/>
        <w:ind w:firstLine="640" w:firstLineChars="200"/>
        <w:outlineLvl w:val="0"/>
        <w:rPr>
          <w:rFonts w:ascii="Times New Roman" w:hAnsi="Times New Roman"/>
        </w:rPr>
      </w:pPr>
      <w:bookmarkStart w:id="3" w:name="_Toc30770"/>
      <w:bookmarkStart w:id="4" w:name="_Toc30163832"/>
      <w:bookmarkStart w:id="5" w:name="_Toc6400"/>
      <w:bookmarkStart w:id="6" w:name="_Toc111656744"/>
      <w:r>
        <w:rPr>
          <w:rFonts w:ascii="Times New Roman" w:hAnsi="Times New Roman" w:hint="eastAsia"/>
        </w:rPr>
        <w:t>一、</w:t>
      </w:r>
      <w:bookmarkEnd w:id="3"/>
      <w:bookmarkEnd w:id="4"/>
      <w:bookmarkEnd w:id="5"/>
      <w:r>
        <w:rPr>
          <w:rFonts w:ascii="Times New Roman" w:hAnsi="Times New Roman" w:hint="eastAsia"/>
        </w:rPr>
        <w:t>基本情况</w:t>
      </w:r>
      <w:bookmarkEnd w:id="6"/>
    </w:p>
    <w:p>
      <w:pPr>
        <w:widowControl/>
        <w:overflowPunct w:val="0"/>
        <w:autoSpaceDE w:val="0"/>
        <w:autoSpaceDN w:val="0"/>
        <w:adjustRightInd w:val="0"/>
        <w:spacing w:line="560" w:lineRule="exact"/>
        <w:ind w:firstLine="640" w:firstLineChars="200"/>
        <w:textAlignment w:val="baseline"/>
        <w:outlineLvl w:val="0"/>
        <w:rPr>
          <w:rFonts w:ascii="楷体" w:eastAsia="楷体" w:hAnsi="楷体"/>
          <w:b/>
          <w:kern w:val="0"/>
          <w:sz w:val="32"/>
          <w:szCs w:val="32"/>
        </w:rPr>
      </w:pPr>
      <w:bookmarkStart w:id="7" w:name="_Toc30163833"/>
      <w:bookmarkStart w:id="8" w:name="_Toc31711"/>
      <w:bookmarkStart w:id="9" w:name="_Toc20073"/>
      <w:bookmarkStart w:id="10" w:name="_Toc24475"/>
      <w:bookmarkStart w:id="11" w:name="_Toc12985"/>
      <w:bookmarkStart w:id="12" w:name="_Toc111656745"/>
      <w:r>
        <w:rPr>
          <w:rFonts w:ascii="楷体" w:eastAsia="楷体" w:hAnsi="楷体" w:hint="eastAsia"/>
          <w:b/>
          <w:kern w:val="0"/>
          <w:sz w:val="32"/>
          <w:szCs w:val="32"/>
        </w:rPr>
        <w:t>（一）项目</w:t>
      </w:r>
      <w:bookmarkEnd w:id="7"/>
      <w:bookmarkEnd w:id="8"/>
      <w:bookmarkEnd w:id="9"/>
      <w:bookmarkEnd w:id="10"/>
      <w:bookmarkEnd w:id="11"/>
      <w:r>
        <w:rPr>
          <w:rFonts w:ascii="楷体" w:eastAsia="楷体" w:hAnsi="楷体" w:hint="eastAsia"/>
          <w:b/>
          <w:kern w:val="0"/>
          <w:sz w:val="32"/>
          <w:szCs w:val="32"/>
        </w:rPr>
        <w:t>概况</w:t>
      </w:r>
      <w:bookmarkEnd w:id="12"/>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sz w:val="32"/>
          <w:szCs w:val="32"/>
        </w:rPr>
      </w:pPr>
      <w:r>
        <w:rPr>
          <w:rFonts w:ascii="仿宋_GB2312" w:eastAsia="仿宋_GB2312" w:hAnsi="仿宋_GB2312" w:cs="仿宋_GB2312" w:hint="eastAsia"/>
          <w:b/>
          <w:kern w:val="0"/>
          <w:sz w:val="32"/>
          <w:szCs w:val="32"/>
        </w:rPr>
        <w:t>1.项目背景</w:t>
      </w:r>
    </w:p>
    <w:p>
      <w:pPr>
        <w:widowControl/>
        <w:overflowPunct w:val="0"/>
        <w:autoSpaceDE w:val="0"/>
        <w:autoSpaceDN w:val="0"/>
        <w:adjustRightInd w:val="0"/>
        <w:ind w:firstLine="640" w:firstLineChars="200"/>
        <w:textAlignment w:val="baseline"/>
        <w:rPr>
          <w:rFonts w:ascii="仿宋_GB2312" w:eastAsia="仿宋_GB2312" w:hAnsi="仿宋_GB2312" w:cs="仿宋_GB2312"/>
          <w:kern w:val="0"/>
          <w:sz w:val="32"/>
          <w:szCs w:val="32"/>
        </w:rPr>
      </w:pPr>
      <w:bookmarkStart w:id="13" w:name="_Toc22793"/>
      <w:bookmarkStart w:id="14" w:name="_Toc7718"/>
      <w:bookmarkStart w:id="15" w:name="_Toc30163834"/>
      <w:r>
        <w:rPr>
          <w:rFonts w:ascii="仿宋_GB2312" w:eastAsia="仿宋_GB2312" w:hAnsi="仿宋_GB2312" w:cs="仿宋_GB2312" w:hint="eastAsia"/>
          <w:kern w:val="0"/>
          <w:sz w:val="32"/>
          <w:szCs w:val="32"/>
        </w:rPr>
        <w:t>随着十九大召开，城镇化进程将驶入快车道，越来越多的村落将会并入城市发展轨道。近年来，乌苏市的经济和社会发展速度加快，城市建设日新月异。乌苏市有关部门已经充分认识到，棚户区改造是完善城市功能的客观要求，是促进经济社会协调发展的有效途径，棚户区改造是城市住房保障工作的重要内容。通过乌苏市棚户区(城中村) 改造，将会大大改善提高当地居民的生活环境。有利于改善棚户区低收入居民的住房条件，使其共享改革发展成果，有利于完善市政设施和公共服务设施，改善城市环境，集约利用土地，提升城市承载能力，带动社会就业，发展社区公共服务业促进平安社区建设，在着力保障和改善民生，全力维护社会稳定的同时，也有利于拓宽政府融资渠道、缓解财政支付压力、提高资金使用效率，推动乌苏市经济社会又好又快发展。</w:t>
      </w:r>
    </w:p>
    <w:p>
      <w:pPr>
        <w:widowControl/>
        <w:overflowPunct w:val="0"/>
        <w:autoSpaceDE w:val="0"/>
        <w:autoSpaceDN w:val="0"/>
        <w:adjustRightInd w:val="0"/>
        <w:ind w:firstLine="640" w:firstLineChars="200"/>
        <w:textAlignment w:val="baseline"/>
        <w:rPr>
          <w:rFonts w:ascii="仿宋_GB2312" w:eastAsia="仿宋_GB2312" w:hAnsi="仿宋_GB2312" w:cs="仿宋_GB2312" w:hint="eastAsia"/>
          <w:kern w:val="0"/>
          <w:sz w:val="32"/>
          <w:szCs w:val="32"/>
        </w:rPr>
      </w:pPr>
      <w:r>
        <w:rPr>
          <w:rFonts w:ascii="仿宋_GB2312" w:eastAsia="仿宋_GB2312" w:hAnsi="仿宋_GB2312" w:cs="仿宋_GB2312" w:hint="eastAsia"/>
          <w:kern w:val="0"/>
          <w:sz w:val="32"/>
          <w:szCs w:val="32"/>
        </w:rPr>
        <w:t>乌苏市还有很多建筑密度大、使用年限久、房屋质量差人均建筑面积小、基础设施配套不齐全、交通不便利、治安和消防隐患大、环境卫生脏、乱、差的棚户区改造条件的区域，急需实施改造。</w:t>
      </w:r>
    </w:p>
    <w:p>
      <w:pPr>
        <w:widowControl/>
        <w:overflowPunct w:val="0"/>
        <w:autoSpaceDE w:val="0"/>
        <w:autoSpaceDN w:val="0"/>
        <w:adjustRightInd w:val="0"/>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项目区属于典型棚户区，房屋密度大、道路狭窄、消防通道不畅或无消防通道。房屋基础设施较为落后，基本没有排水设施，没有集中供暖，生活条件简陋，乱搭乱建、乱堆垃圾;道路狭窄，无法硬化，雨天泥泞不堪。通过项目的实施，从根本上改善棚户区居民的生活和乌苏市城经济发展的硬件环境，进而增强乌苏市投资吸引力和县城竞争力。</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kern w:val="0"/>
          <w:sz w:val="32"/>
          <w:szCs w:val="32"/>
        </w:rPr>
      </w:pPr>
      <w:r>
        <w:rPr>
          <w:rFonts w:ascii="仿宋_GB2312" w:eastAsia="仿宋_GB2312" w:hAnsi="仿宋_GB2312" w:cs="仿宋_GB2312" w:hint="eastAsia"/>
          <w:b/>
          <w:kern w:val="0"/>
          <w:sz w:val="32"/>
          <w:szCs w:val="32"/>
        </w:rPr>
        <w:t>2.</w:t>
      </w:r>
      <w:bookmarkEnd w:id="13"/>
      <w:bookmarkEnd w:id="14"/>
      <w:bookmarkEnd w:id="15"/>
      <w:r>
        <w:rPr>
          <w:rFonts w:ascii="仿宋_GB2312" w:eastAsia="仿宋_GB2312" w:hAnsi="仿宋_GB2312" w:cs="仿宋_GB2312" w:hint="eastAsia"/>
          <w:b/>
          <w:kern w:val="0"/>
          <w:sz w:val="32"/>
          <w:szCs w:val="32"/>
        </w:rPr>
        <w:t>主要内容及实施情况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（1）主要内容</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按照“活东、优西、控北、稳南”城市空间格局，结合乌苏市城市发展实际情况，确定乌苏城区中心区北至伊犁河路，西至西安路，南至北疆铁路，东至深圳路。城市中心区及入城四个节点,即“一中心四节点”作为棚改拆迁区域。2022年乌苏市棚户区改造项目涉及棚改任务 2100户，改造区域总规模约 3336.097亩，征收户数2100户，涉迁总建筑面积315000平方米，各地块主要以居住区为主，改造后可收储出让用地性质以商住为主，总可收储出让土地面积为 2858.48 亩。安置方式及安置规模：项目采用实物安置的方式进行征收拆迁户安置。实物安置采用原地安置。塔城地区乌苏市2号片区2022年棚户区改造项目承担 2022年乌苏市棚改安置任务 910 套，安置人口数3512 人，总设计建筑面积157202平方米。</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（2）项目实施情况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bookmarkStart w:id="16" w:name="_Hlk109120457"/>
      <w:r>
        <w:rPr>
          <w:rFonts w:ascii="仿宋_GB2312" w:eastAsia="仿宋_GB2312" w:hAnsi="仿宋_GB2312" w:cs="仿宋_GB2312" w:hint="eastAsia"/>
          <w:kern w:val="0"/>
          <w:sz w:val="32"/>
          <w:szCs w:val="32"/>
        </w:rPr>
        <w:t>拟对“一中心四节点”区范围内所有平房进行拆迁。“十三五划定范围内未完成拆迁 729 户数,新增 12 个地块棚改户数 1677 户，合计 2406 户，2022 年计划棚改任务 2100 户，2023 年计划棚改任务306户。</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 年棚户区改造片区占地 3051.63 亩，征收户数 2100 户征收房屋总建筑面积 315000 平方米。</w:t>
      </w:r>
    </w:p>
    <w:bookmarkEnd w:id="16"/>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bookmarkStart w:id="17" w:name="_Toc26519"/>
      <w:r>
        <w:rPr>
          <w:rFonts w:ascii="仿宋_GB2312" w:eastAsia="仿宋_GB2312" w:hAnsi="仿宋_GB2312" w:cs="仿宋_GB2312" w:hint="eastAsia"/>
          <w:b/>
          <w:bCs/>
          <w:kern w:val="0"/>
          <w:sz w:val="32"/>
          <w:szCs w:val="32"/>
        </w:rPr>
        <w:t>（3）评价时段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本资金的评价时段为2022年1月1日-2022年12月31日。</w:t>
      </w:r>
      <w:bookmarkEnd w:id="17"/>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kern w:val="0"/>
          <w:sz w:val="32"/>
          <w:szCs w:val="32"/>
        </w:rPr>
      </w:pPr>
      <w:r>
        <w:rPr>
          <w:rFonts w:ascii="仿宋_GB2312" w:eastAsia="仿宋_GB2312" w:hAnsi="仿宋_GB2312" w:cs="仿宋_GB2312" w:hint="eastAsia"/>
          <w:b/>
          <w:kern w:val="0"/>
          <w:sz w:val="32"/>
          <w:szCs w:val="32"/>
        </w:rPr>
        <w:t>3.资金投入及使用情况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年部分中央财政城镇保障性安居工程补助资金项目项目预算资金2280万元，截止2022年12月31日，已经支付2280万元，项目按照计划正常实行，已经完成了棚户区改造2100户，达到了改善群众生活居住条件，改造后保障基础设施使用年限的效果，该项目严格按照计划实施，并有效保障了绩效自评工作的顺利开展。资金使用明细见下表。</w:t>
      </w:r>
    </w:p>
    <w:tbl>
      <w:tblPr>
        <w:tblStyle w:val="TableNormal"/>
        <w:tblW w:w="830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13"/>
        <w:gridCol w:w="3925"/>
        <w:gridCol w:w="3162"/>
      </w:tblGrid>
      <w:tr>
        <w:tblPrEx>
          <w:tblW w:w="8300" w:type="dxa"/>
          <w:tblInd w:w="96" w:type="dxa"/>
          <w:tblLayout w:type="fixed"/>
        </w:tblPrEx>
        <w:trPr>
          <w:trHeight w:val="748"/>
          <w:tblHeader/>
        </w:trPr>
        <w:tc>
          <w:tcPr>
            <w:tcW w:w="1213" w:type="dxa"/>
            <w:shd w:val="clear" w:color="auto" w:fill="A5A5A5"/>
          </w:tcPr>
          <w:p>
            <w:pPr>
              <w:widowControl/>
              <w:rPr>
                <w:rFonts w:ascii="仿宋_GB2312" w:eastAsia="仿宋_GB2312" w:hAnsi="仿宋_GB2312" w:cs="仿宋_GB2312"/>
                <w:b/>
                <w:bCs/>
                <w:kern w:val="0"/>
                <w:sz w:val="24"/>
                <w:szCs w:val="24"/>
              </w:rPr>
            </w:pPr>
          </w:p>
          <w:p>
            <w:pPr>
              <w:widowControl/>
              <w:ind w:firstLine="240" w:firstLineChars="10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序号</w:t>
            </w:r>
          </w:p>
        </w:tc>
        <w:tc>
          <w:tcPr>
            <w:tcW w:w="3925" w:type="dxa"/>
            <w:shd w:val="clear" w:color="auto" w:fill="A5A5A5"/>
          </w:tcPr>
          <w:p>
            <w:pPr>
              <w:widowControl/>
              <w:ind w:firstLine="720" w:firstLineChars="300"/>
              <w:rPr>
                <w:rFonts w:ascii="仿宋_GB2312" w:eastAsia="仿宋_GB2312" w:hAnsi="仿宋_GB2312" w:cs="仿宋_GB2312"/>
                <w:b/>
                <w:bCs/>
                <w:kern w:val="0"/>
                <w:sz w:val="24"/>
                <w:szCs w:val="24"/>
              </w:rPr>
            </w:pPr>
          </w:p>
          <w:p>
            <w:pPr>
              <w:widowControl/>
              <w:ind w:firstLine="1200" w:firstLineChars="50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项目</w:t>
            </w:r>
          </w:p>
        </w:tc>
        <w:tc>
          <w:tcPr>
            <w:tcW w:w="3162" w:type="dxa"/>
            <w:shd w:val="clear" w:color="auto" w:fill="A5A5A5"/>
          </w:tcPr>
          <w:p>
            <w:pPr>
              <w:widowControl/>
              <w:rPr>
                <w:rFonts w:ascii="仿宋_GB2312" w:eastAsia="仿宋_GB2312" w:hAnsi="仿宋_GB2312" w:cs="仿宋_GB2312"/>
                <w:b/>
                <w:bCs/>
                <w:kern w:val="0"/>
                <w:sz w:val="24"/>
                <w:szCs w:val="24"/>
              </w:rPr>
            </w:pPr>
          </w:p>
          <w:p>
            <w:pPr>
              <w:widowControl/>
              <w:ind w:firstLine="480" w:firstLineChars="200"/>
              <w:rPr>
                <w:rFonts w:ascii="仿宋_GB2312" w:eastAsia="仿宋_GB2312" w:hAnsi="仿宋_GB2312" w:cs="仿宋_GB2312"/>
                <w:b/>
                <w:bCs/>
                <w:kern w:val="0"/>
                <w:sz w:val="24"/>
                <w:szCs w:val="24"/>
              </w:rPr>
            </w:pPr>
            <w:r>
              <w:rPr>
                <w:rFonts w:ascii="仿宋_GB2312" w:eastAsia="仿宋_GB2312" w:hAnsi="仿宋_GB2312" w:cs="仿宋_GB2312" w:hint="eastAsia"/>
                <w:b/>
                <w:bCs/>
                <w:kern w:val="0"/>
                <w:sz w:val="24"/>
                <w:szCs w:val="24"/>
              </w:rPr>
              <w:t>实际支出金额（万元）</w:t>
            </w:r>
          </w:p>
        </w:tc>
      </w:tr>
      <w:tr>
        <w:tblPrEx>
          <w:tblW w:w="8300" w:type="dxa"/>
          <w:tblInd w:w="96" w:type="dxa"/>
          <w:tblLayout w:type="fixed"/>
        </w:tblPrEx>
        <w:trPr>
          <w:trHeight w:val="844"/>
        </w:trPr>
        <w:tc>
          <w:tcPr>
            <w:tcW w:w="1213" w:type="dxa"/>
          </w:tcPr>
          <w:p>
            <w:pPr>
              <w:widowControl/>
              <w:jc w:val="center"/>
              <w:rPr>
                <w:rFonts w:ascii="Times New Roman" w:eastAsia="仿宋_GB2312" w:hAnsi="Times New Roman"/>
                <w:kern w:val="0"/>
                <w:szCs w:val="21"/>
              </w:rPr>
            </w:pPr>
          </w:p>
          <w:p>
            <w:pPr>
              <w:widowControl/>
              <w:jc w:val="center"/>
              <w:rPr>
                <w:rFonts w:ascii="Times New Roman" w:eastAsia="仿宋_GB2312" w:hAnsi="Times New Roman"/>
                <w:kern w:val="0"/>
                <w:szCs w:val="21"/>
              </w:rPr>
            </w:pPr>
            <w:r>
              <w:rPr>
                <w:rFonts w:ascii="Times New Roman" w:eastAsia="仿宋_GB2312" w:hAnsi="Times New Roman" w:hint="eastAsia"/>
                <w:kern w:val="0"/>
                <w:szCs w:val="21"/>
              </w:rPr>
              <w:t>1</w:t>
            </w:r>
          </w:p>
        </w:tc>
        <w:tc>
          <w:tcPr>
            <w:tcW w:w="3925" w:type="dxa"/>
          </w:tcPr>
          <w:p>
            <w:pPr>
              <w:jc w:val="left"/>
              <w:rPr>
                <w:rFonts w:ascii="仿宋_GB2312" w:eastAsia="仿宋_GB2312" w:hAnsi="仿宋_GB2312" w:cs="仿宋_GB2312"/>
              </w:rPr>
            </w:pPr>
            <w:r>
              <w:rPr>
                <w:rFonts w:ascii="仿宋_GB2312" w:eastAsia="仿宋_GB2312" w:hAnsi="仿宋_GB2312" w:cs="仿宋_GB2312" w:hint="eastAsia"/>
                <w:kern w:val="0"/>
                <w:szCs w:val="21"/>
              </w:rPr>
              <w:t>2022年部分中央财政城镇保障性安居工程补助资金项目</w:t>
            </w:r>
          </w:p>
        </w:tc>
        <w:tc>
          <w:tcPr>
            <w:tcW w:w="3162" w:type="dxa"/>
          </w:tcPr>
          <w:p>
            <w:pPr>
              <w:widowControl/>
              <w:rPr>
                <w:rFonts w:ascii="仿宋_GB2312" w:eastAsia="仿宋_GB2312" w:hAnsi="仿宋_GB2312" w:cs="仿宋_GB2312"/>
                <w:kern w:val="0"/>
                <w:szCs w:val="21"/>
              </w:rPr>
            </w:pPr>
          </w:p>
          <w:p>
            <w:pPr>
              <w:widowControl/>
              <w:jc w:val="center"/>
              <w:rPr>
                <w:rFonts w:ascii="仿宋_GB2312" w:eastAsia="仿宋_GB2312" w:hAnsi="仿宋_GB2312" w:cs="仿宋_GB2312"/>
                <w:kern w:val="0"/>
                <w:szCs w:val="21"/>
              </w:rPr>
            </w:pPr>
            <w:r>
              <w:rPr>
                <w:rFonts w:ascii="仿宋_GB2312" w:eastAsia="仿宋_GB2312" w:hAnsi="仿宋_GB2312" w:cs="仿宋_GB2312" w:hint="eastAsia"/>
                <w:kern w:val="0"/>
                <w:szCs w:val="21"/>
              </w:rPr>
              <w:t>2280</w:t>
            </w:r>
          </w:p>
        </w:tc>
      </w:tr>
    </w:tbl>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kern w:val="0"/>
          <w:sz w:val="32"/>
          <w:szCs w:val="32"/>
        </w:rPr>
      </w:pPr>
      <w:r>
        <w:rPr>
          <w:rFonts w:ascii="仿宋_GB2312" w:eastAsia="仿宋_GB2312" w:hAnsi="仿宋_GB2312" w:cs="仿宋_GB2312" w:hint="eastAsia"/>
          <w:b/>
          <w:kern w:val="0"/>
          <w:sz w:val="32"/>
          <w:szCs w:val="32"/>
        </w:rPr>
        <w:t>4.项目组织与管理情况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（1）项目管理情况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该项目资金拨付部门为乌苏市财政局，乌苏市住房和城乡建设局向乌苏市财政局申请资金，项目实施单位为乌苏市住房和城乡建设局。</w:t>
      </w:r>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rPr>
      </w:pPr>
      <w:bookmarkStart w:id="18" w:name="_Toc13379"/>
      <w:bookmarkStart w:id="19" w:name="_Toc25110"/>
      <w:bookmarkStart w:id="20" w:name="_Toc111656746"/>
      <w:r>
        <w:rPr>
          <w:rFonts w:ascii="仿宋_GB2312" w:eastAsia="仿宋_GB2312" w:hAnsi="仿宋_GB2312" w:cs="仿宋_GB2312" w:hint="eastAsia"/>
          <w:b/>
          <w:bCs/>
          <w:kern w:val="0"/>
          <w:sz w:val="32"/>
          <w:szCs w:val="32"/>
        </w:rPr>
        <w:t>乌苏市财政局：</w:t>
      </w:r>
      <w:r>
        <w:rPr>
          <w:rFonts w:ascii="仿宋_GB2312" w:eastAsia="仿宋_GB2312" w:hAnsi="仿宋_GB2312" w:cs="仿宋_GB2312" w:hint="eastAsia"/>
          <w:kern w:val="0"/>
          <w:sz w:val="32"/>
          <w:szCs w:val="32"/>
        </w:rPr>
        <w:t>负责审核资金的年度预算及项目资金拨付管理，协同各部门制订和完善补助资金管理政策、项目申报指南，参与项目财务事项评审，根据资金预算和项目公示结果及时拨付资金，并对资金使用情况进行绩效考核和监督检查。</w:t>
      </w:r>
      <w:bookmarkEnd w:id="18"/>
      <w:bookmarkEnd w:id="19"/>
      <w:bookmarkEnd w:id="20"/>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rPr>
      </w:pPr>
      <w:bookmarkStart w:id="21" w:name="_Toc29384"/>
      <w:bookmarkStart w:id="22" w:name="_Toc111656747"/>
      <w:r>
        <w:rPr>
          <w:rFonts w:ascii="仿宋_GB2312" w:eastAsia="仿宋_GB2312" w:hAnsi="仿宋_GB2312" w:cs="仿宋_GB2312" w:hint="eastAsia"/>
          <w:b/>
          <w:bCs/>
          <w:kern w:val="0"/>
          <w:sz w:val="32"/>
          <w:szCs w:val="32"/>
        </w:rPr>
        <w:t>乌苏市住房和城乡建设局：</w:t>
      </w:r>
      <w:r>
        <w:rPr>
          <w:rFonts w:ascii="仿宋_GB2312" w:eastAsia="仿宋_GB2312" w:hAnsi="仿宋_GB2312" w:cs="仿宋_GB2312" w:hint="eastAsia"/>
          <w:kern w:val="0"/>
          <w:sz w:val="32"/>
          <w:szCs w:val="32"/>
        </w:rPr>
        <w:t>组织编制资金绩效目标和年度预算；参与组织2022年部分中央财政城镇保障性安居工程补助资金项目的申报、审核及验收工作，配合乌苏市住房和城乡建设局完成项目的其他工作。</w:t>
      </w:r>
      <w:bookmarkEnd w:id="21"/>
      <w:bookmarkEnd w:id="22"/>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rPr>
      </w:pPr>
      <w:bookmarkStart w:id="23" w:name="_Toc29778"/>
      <w:bookmarkStart w:id="24" w:name="_Toc111656748"/>
      <w:r>
        <w:rPr>
          <w:rFonts w:ascii="仿宋_GB2312" w:eastAsia="仿宋_GB2312" w:hAnsi="仿宋_GB2312" w:cs="仿宋_GB2312" w:hint="eastAsia"/>
          <w:b/>
          <w:bCs/>
          <w:color w:val="000000" w:themeColor="text1"/>
          <w:kern w:val="0"/>
          <w:sz w:val="32"/>
          <w:szCs w:val="32"/>
          <w14:textFill>
            <w14:solidFill>
              <w14:schemeClr w14:val="tx1"/>
            </w14:solidFill>
          </w14:textFill>
        </w:rPr>
        <w:t>乌苏市兴融建设投资集团有限责任公司：</w:t>
      </w:r>
      <w:bookmarkEnd w:id="23"/>
      <w:r>
        <w:rPr>
          <w:rFonts w:ascii="仿宋_GB2312" w:eastAsia="仿宋_GB2312" w:hAnsi="仿宋_GB2312" w:cs="仿宋_GB2312" w:hint="eastAsia"/>
          <w:color w:val="000000" w:themeColor="text1"/>
          <w:kern w:val="0"/>
          <w:sz w:val="32"/>
          <w:szCs w:val="32"/>
          <w14:textFill>
            <w14:solidFill>
              <w14:schemeClr w14:val="tx1"/>
            </w14:solidFill>
          </w14:textFill>
        </w:rPr>
        <w:t>负责项目方案；协助建设单位做好项目的前期工作；负责项目设备</w:t>
      </w:r>
      <w:r>
        <w:rPr>
          <w:rFonts w:ascii="仿宋_GB2312" w:eastAsia="仿宋_GB2312" w:hAnsi="仿宋_GB2312" w:cs="仿宋_GB2312" w:hint="eastAsia"/>
          <w:kern w:val="0"/>
          <w:sz w:val="32"/>
          <w:szCs w:val="32"/>
        </w:rPr>
        <w:t>的采购工作；负责与项目相关方的协调；负责工程建设的项目管理、监督和竣工验收、结算、移交等工作。</w:t>
      </w:r>
      <w:bookmarkEnd w:id="24"/>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（2）资金管理情况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本项目资金由</w:t>
      </w:r>
      <w:r>
        <w:rPr>
          <w:rFonts w:ascii="仿宋_GB2312" w:eastAsia="仿宋_GB2312" w:hAnsi="仿宋_GB2312" w:cs="仿宋_GB2312" w:hint="eastAsia"/>
          <w:kern w:val="0"/>
          <w:sz w:val="32"/>
          <w:szCs w:val="32"/>
        </w:rPr>
        <w:t>乌苏市住房和城乡建设局</w:t>
      </w:r>
      <w:r>
        <w:rPr>
          <w:rFonts w:ascii="仿宋_GB2312" w:eastAsia="仿宋_GB2312" w:hAnsi="仿宋_GB2312" w:cs="仿宋_GB2312" w:hint="eastAsia"/>
          <w:kern w:val="0"/>
          <w:sz w:val="32"/>
          <w:szCs w:val="32"/>
          <w:lang w:bidi="ar"/>
        </w:rPr>
        <w:t>依据规定使用，依照资金管理办法，规范财务管理，确保资金专款专用</w:t>
      </w:r>
      <w:bookmarkStart w:id="25" w:name="_Toc80707407"/>
      <w:bookmarkStart w:id="26" w:name="_Toc111656749"/>
      <w:r>
        <w:rPr>
          <w:rFonts w:ascii="仿宋_GB2312" w:eastAsia="仿宋_GB2312" w:hAnsi="仿宋_GB2312" w:cs="仿宋_GB2312" w:hint="eastAsia"/>
          <w:kern w:val="0"/>
          <w:sz w:val="32"/>
          <w:szCs w:val="32"/>
          <w:lang w:bidi="ar"/>
        </w:rPr>
        <w:t>.</w:t>
      </w:r>
    </w:p>
    <w:p>
      <w:pPr>
        <w:widowControl/>
        <w:overflowPunct w:val="0"/>
        <w:autoSpaceDE w:val="0"/>
        <w:autoSpaceDN w:val="0"/>
        <w:adjustRightInd w:val="0"/>
        <w:spacing w:line="560" w:lineRule="exact"/>
        <w:ind w:firstLine="640" w:firstLineChars="200"/>
        <w:textAlignment w:val="baseline"/>
        <w:rPr>
          <w:rFonts w:ascii="楷体" w:eastAsia="楷体" w:hAnsi="楷体" w:cs="楷体"/>
          <w:b/>
          <w:kern w:val="0"/>
          <w:sz w:val="32"/>
          <w:szCs w:val="32"/>
        </w:rPr>
      </w:pPr>
      <w:r>
        <w:rPr>
          <w:rFonts w:ascii="楷体" w:eastAsia="楷体" w:hAnsi="楷体" w:cs="楷体" w:hint="eastAsia"/>
          <w:kern w:val="0"/>
          <w:sz w:val="32"/>
          <w:szCs w:val="32"/>
          <w:lang w:bidi="ar"/>
        </w:rPr>
        <w:t>(</w:t>
      </w:r>
      <w:r>
        <w:rPr>
          <w:rFonts w:ascii="楷体" w:eastAsia="楷体" w:hAnsi="楷体" w:cs="楷体" w:hint="eastAsia"/>
          <w:b/>
          <w:kern w:val="0"/>
          <w:sz w:val="32"/>
          <w:szCs w:val="32"/>
        </w:rPr>
        <w:t>二）项目绩效目标</w:t>
      </w:r>
      <w:bookmarkEnd w:id="25"/>
      <w:bookmarkEnd w:id="26"/>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1.总目标</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kern w:val="0"/>
          <w:sz w:val="32"/>
          <w:szCs w:val="32"/>
        </w:rPr>
        <w:t>通过项目建成和投入使用，进一步改普居民居住条件，提高整体环境，维护社会稳定，促进乌苏市社会经济的发展。</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2.阶段性目标</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color w:val="FF0000"/>
          <w:kern w:val="0"/>
          <w:sz w:val="32"/>
          <w:szCs w:val="32"/>
        </w:rPr>
      </w:pPr>
      <w:r>
        <w:rPr>
          <w:rFonts w:ascii="仿宋_GB2312" w:eastAsia="仿宋_GB2312" w:hAnsi="仿宋_GB2312" w:cs="仿宋_GB2312" w:hint="eastAsia"/>
          <w:kern w:val="0"/>
          <w:sz w:val="32"/>
          <w:szCs w:val="32"/>
        </w:rPr>
        <w:t>根据乌住建字（2021）159号和乌发改（2021）205号文，本项目年度绩效目标见下表。</w:t>
      </w:r>
    </w:p>
    <w:p>
      <w:pPr>
        <w:spacing w:line="560" w:lineRule="exact"/>
        <w:ind w:firstLine="640"/>
        <w:jc w:val="center"/>
        <w:rPr>
          <w:rFonts w:ascii="Times New Roman" w:eastAsia="仿宋_GB2312" w:hAnsi="Times New Roman" w:cs="仿宋"/>
          <w:b/>
          <w:bCs/>
          <w:sz w:val="24"/>
          <w:szCs w:val="24"/>
        </w:rPr>
      </w:pPr>
      <w:r>
        <w:rPr>
          <w:rFonts w:ascii="Times New Roman" w:eastAsia="仿宋_GB2312" w:hAnsi="Times New Roman" w:cs="仿宋" w:hint="eastAsia"/>
          <w:b/>
          <w:bCs/>
          <w:sz w:val="24"/>
          <w:szCs w:val="24"/>
        </w:rPr>
        <w:t>表1-1 2022年部分中央财政城镇保障性安居工程补助资金项目</w:t>
      </w:r>
    </w:p>
    <w:tbl>
      <w:tblPr>
        <w:tblStyle w:val="TableNormal"/>
        <w:tblW w:w="761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0" w:type="dxa"/>
          <w:bottom w:w="0" w:type="dxa"/>
          <w:right w:w="0" w:type="dxa"/>
        </w:tblCellMar>
      </w:tblPr>
      <w:tblGrid>
        <w:gridCol w:w="1027"/>
        <w:gridCol w:w="1487"/>
        <w:gridCol w:w="2268"/>
        <w:gridCol w:w="2835"/>
      </w:tblGrid>
      <w:tr>
        <w:tblPrEx>
          <w:tblW w:w="7617" w:type="dxa"/>
          <w:jc w:val="center"/>
          <w:tblInd w:w="0" w:type="dxa"/>
          <w:tblLayout w:type="fixed"/>
        </w:tblPrEx>
        <w:trPr>
          <w:trHeight w:val="646"/>
          <w:tblHeader/>
          <w:jc w:val="center"/>
        </w:trPr>
        <w:tc>
          <w:tcPr>
            <w:tcW w:w="1027"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一级指标</w:t>
            </w:r>
          </w:p>
        </w:tc>
        <w:tc>
          <w:tcPr>
            <w:tcW w:w="1487"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二级指标</w:t>
            </w:r>
          </w:p>
        </w:tc>
        <w:tc>
          <w:tcPr>
            <w:tcW w:w="2268"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三级指标</w:t>
            </w:r>
          </w:p>
        </w:tc>
        <w:tc>
          <w:tcPr>
            <w:tcW w:w="2835" w:type="dxa"/>
            <w:shd w:val="clear" w:color="auto" w:fill="BEBEBE"/>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b/>
                <w:color w:val="000000"/>
                <w:kern w:val="0"/>
                <w:sz w:val="22"/>
                <w:lang w:bidi="ar"/>
              </w:rPr>
            </w:pPr>
            <w:r>
              <w:rPr>
                <w:rFonts w:ascii="Times New Roman" w:eastAsia="仿宋_GB2312" w:hAnsi="Times New Roman" w:cs="仿宋" w:hint="eastAsia"/>
                <w:b/>
                <w:color w:val="000000"/>
                <w:kern w:val="0"/>
                <w:sz w:val="22"/>
                <w:lang w:bidi="ar"/>
              </w:rPr>
              <w:t>预期指标值</w:t>
            </w:r>
          </w:p>
        </w:tc>
      </w:tr>
      <w:tr>
        <w:tblPrEx>
          <w:tblW w:w="7617" w:type="dxa"/>
          <w:jc w:val="center"/>
          <w:tblInd w:w="0" w:type="dxa"/>
          <w:tblLayout w:type="fixed"/>
        </w:tblPrEx>
        <w:trPr>
          <w:trHeight w:val="90"/>
          <w:jc w:val="center"/>
        </w:trPr>
        <w:tc>
          <w:tcPr>
            <w:tcW w:w="1027"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产</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出</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标</w:t>
            </w: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数量指标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 xml:space="preserve">棚户区改造 </w:t>
            </w:r>
            <w:r>
              <w:rPr>
                <w:rFonts w:ascii="Times New Roman" w:eastAsia="仿宋_GB2312" w:hAnsi="Times New Roman" w:cs="仿宋"/>
                <w:color w:val="000000"/>
                <w:kern w:val="0"/>
                <w:sz w:val="22"/>
                <w:lang w:bidi="ar"/>
              </w:rPr>
              <w:t xml:space="preserve">     </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=2100户</w:t>
            </w:r>
          </w:p>
        </w:tc>
      </w:tr>
      <w:tr>
        <w:tblPrEx>
          <w:tblW w:w="7617" w:type="dxa"/>
          <w:jc w:val="center"/>
          <w:tblInd w:w="0" w:type="dxa"/>
          <w:tblLayout w:type="fixed"/>
        </w:tblPrEx>
        <w:trPr>
          <w:trHeight w:val="552"/>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vMerge w:val="restart"/>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质量指标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年度计划投资完成率</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&gt;=80%</w:t>
            </w:r>
          </w:p>
        </w:tc>
      </w:tr>
      <w:tr>
        <w:tblPrEx>
          <w:tblW w:w="7617" w:type="dxa"/>
          <w:jc w:val="center"/>
          <w:tblInd w:w="0" w:type="dxa"/>
          <w:tblLayout w:type="fixed"/>
        </w:tblPrEx>
        <w:trPr>
          <w:trHeight w:val="506"/>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vMerge w:val="restart"/>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时效指标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项目计划开工时间</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=2022年6月</w:t>
            </w:r>
          </w:p>
        </w:tc>
      </w:tr>
      <w:tr>
        <w:tblPrEx>
          <w:tblW w:w="7617" w:type="dxa"/>
          <w:jc w:val="center"/>
          <w:tblInd w:w="0" w:type="dxa"/>
          <w:tblLayout w:type="fixed"/>
        </w:tblPrEx>
        <w:trPr>
          <w:trHeight w:val="506"/>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项目计划完工时间</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=2023年11月</w:t>
            </w:r>
          </w:p>
        </w:tc>
      </w:tr>
      <w:tr>
        <w:tblPrEx>
          <w:tblW w:w="7617" w:type="dxa"/>
          <w:jc w:val="center"/>
          <w:tblInd w:w="0" w:type="dxa"/>
          <w:tblLayout w:type="fixed"/>
        </w:tblPrEx>
        <w:trPr>
          <w:trHeight w:val="90"/>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成本指标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项目总支出费用</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&lt;=2280万元</w:t>
            </w:r>
          </w:p>
        </w:tc>
      </w:tr>
      <w:tr>
        <w:tblPrEx>
          <w:tblW w:w="7617" w:type="dxa"/>
          <w:jc w:val="center"/>
          <w:tblInd w:w="0" w:type="dxa"/>
          <w:tblLayout w:type="fixed"/>
        </w:tblPrEx>
        <w:trPr>
          <w:trHeight w:val="526"/>
          <w:jc w:val="center"/>
        </w:trPr>
        <w:tc>
          <w:tcPr>
            <w:tcW w:w="1027"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效</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益</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标</w:t>
            </w: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社会效益指标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改善群众生活居住条件</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有效改善</w:t>
            </w:r>
          </w:p>
        </w:tc>
      </w:tr>
      <w:tr>
        <w:tblPrEx>
          <w:tblW w:w="7617" w:type="dxa"/>
          <w:jc w:val="center"/>
          <w:tblInd w:w="0" w:type="dxa"/>
          <w:tblLayout w:type="fixed"/>
        </w:tblPrEx>
        <w:trPr>
          <w:trHeight w:val="870"/>
          <w:jc w:val="center"/>
        </w:trPr>
        <w:tc>
          <w:tcPr>
            <w:tcW w:w="1027"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p>
        </w:tc>
        <w:tc>
          <w:tcPr>
            <w:tcW w:w="1487"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可持续影响指标</w:t>
            </w:r>
          </w:p>
        </w:tc>
        <w:tc>
          <w:tcPr>
            <w:tcW w:w="2268"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改造后保障基础设施使用年限</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有效保障</w:t>
            </w:r>
          </w:p>
        </w:tc>
      </w:tr>
      <w:tr>
        <w:tblPrEx>
          <w:tblW w:w="7617" w:type="dxa"/>
          <w:jc w:val="center"/>
          <w:tblInd w:w="0" w:type="dxa"/>
          <w:tblLayout w:type="fixed"/>
        </w:tblPrEx>
        <w:trPr>
          <w:trHeight w:val="846"/>
          <w:jc w:val="center"/>
        </w:trPr>
        <w:tc>
          <w:tcPr>
            <w:tcW w:w="1027"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满意度指标</w:t>
            </w:r>
          </w:p>
        </w:tc>
        <w:tc>
          <w:tcPr>
            <w:tcW w:w="1487"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满意度指标</w:t>
            </w:r>
          </w:p>
        </w:tc>
        <w:tc>
          <w:tcPr>
            <w:tcW w:w="226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改造后居民满意率</w:t>
            </w:r>
          </w:p>
        </w:tc>
        <w:tc>
          <w:tcPr>
            <w:tcW w:w="2835"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&gt;=96%</w:t>
            </w:r>
          </w:p>
        </w:tc>
      </w:tr>
    </w:tbl>
    <w:p>
      <w:pPr>
        <w:pStyle w:val="1"/>
        <w:adjustRightInd/>
        <w:ind w:firstLine="640" w:firstLineChars="200"/>
        <w:outlineLvl w:val="0"/>
        <w:rPr>
          <w:rFonts w:ascii="Times New Roman" w:hAnsi="Times New Roman"/>
          <w:b w:val="0"/>
          <w:bCs/>
        </w:rPr>
      </w:pPr>
      <w:bookmarkStart w:id="27" w:name="_Toc80707408"/>
      <w:bookmarkStart w:id="28" w:name="_Toc111656750"/>
      <w:bookmarkStart w:id="29" w:name="_Toc18724"/>
      <w:bookmarkStart w:id="30" w:name="_Toc30163839"/>
      <w:bookmarkStart w:id="31" w:name="_Toc8565"/>
      <w:r>
        <w:rPr>
          <w:rFonts w:ascii="Times New Roman" w:hAnsi="Times New Roman" w:hint="eastAsia"/>
          <w:b w:val="0"/>
          <w:bCs/>
        </w:rPr>
        <w:t>二、</w:t>
      </w:r>
      <w:bookmarkEnd w:id="27"/>
      <w:r>
        <w:rPr>
          <w:rFonts w:ascii="Times New Roman" w:hAnsi="Times New Roman" w:hint="eastAsia"/>
          <w:b w:val="0"/>
          <w:bCs/>
        </w:rPr>
        <w:t>绩效评价工作的开展情况</w:t>
      </w:r>
      <w:bookmarkEnd w:id="28"/>
    </w:p>
    <w:bookmarkEnd w:id="29"/>
    <w:bookmarkEnd w:id="30"/>
    <w:bookmarkEnd w:id="31"/>
    <w:p>
      <w:pPr>
        <w:widowControl/>
        <w:overflowPunct w:val="0"/>
        <w:autoSpaceDE w:val="0"/>
        <w:autoSpaceDN w:val="0"/>
        <w:spacing w:line="560" w:lineRule="exact"/>
        <w:ind w:firstLine="640" w:firstLineChars="200"/>
        <w:textAlignment w:val="baseline"/>
        <w:outlineLvl w:val="1"/>
        <w:rPr>
          <w:rFonts w:ascii="Times New Roman" w:eastAsia="楷体" w:hAnsi="Times New Roman"/>
          <w:b/>
          <w:kern w:val="0"/>
          <w:sz w:val="32"/>
          <w:szCs w:val="32"/>
        </w:rPr>
      </w:pPr>
      <w:bookmarkStart w:id="32" w:name="_Toc111656751"/>
      <w:bookmarkStart w:id="33" w:name="_Toc80707409"/>
      <w:r>
        <w:rPr>
          <w:rFonts w:ascii="Times New Roman" w:eastAsia="楷体" w:hAnsi="Times New Roman" w:hint="eastAsia"/>
          <w:b/>
          <w:kern w:val="0"/>
          <w:sz w:val="32"/>
          <w:szCs w:val="32"/>
        </w:rPr>
        <w:t>（一）评价目的与原则、对象和范围</w:t>
      </w:r>
      <w:bookmarkEnd w:id="32"/>
      <w:bookmarkEnd w:id="33"/>
    </w:p>
    <w:p>
      <w:pPr>
        <w:pStyle w:val="a"/>
        <w:spacing w:line="560" w:lineRule="exact"/>
        <w:ind w:firstLine="640"/>
        <w:rPr>
          <w:sz w:val="32"/>
          <w:szCs w:val="32"/>
        </w:rPr>
      </w:pPr>
      <w:r>
        <w:rPr>
          <w:rFonts w:hint="eastAsia"/>
          <w:sz w:val="32"/>
          <w:szCs w:val="32"/>
        </w:rPr>
        <w:t>本次评价坚持定量优先、定量与定性相结合的方式，始终遵循科学规范、公正公开、分级分类、绩效相关的基本原则。通过对</w:t>
      </w:r>
      <w:r>
        <w:rPr>
          <w:rFonts w:ascii="仿宋_GB2312" w:hAnsi="仿宋_GB2312" w:cs="仿宋_GB2312" w:hint="eastAsia"/>
          <w:sz w:val="32"/>
          <w:szCs w:val="32"/>
        </w:rPr>
        <w:t>2022年部分中央财政城镇保障性安居工程补助资金项目</w:t>
      </w:r>
      <w:r>
        <w:rPr>
          <w:rFonts w:hint="eastAsia"/>
          <w:sz w:val="32"/>
          <w:szCs w:val="32"/>
        </w:rPr>
        <w:t>资金进行绩效评价，旨在了解项目资金使用和项目管理情况，以发现本项目在项目管理及预算资金安排等方面存在的问题并提出针对性的意见。</w:t>
      </w:r>
    </w:p>
    <w:p>
      <w:pPr>
        <w:spacing w:line="560" w:lineRule="exact"/>
        <w:ind w:firstLine="640"/>
        <w:jc w:val="left"/>
        <w:rPr>
          <w:sz w:val="32"/>
          <w:szCs w:val="32"/>
        </w:rPr>
      </w:pPr>
      <w:r>
        <w:rPr>
          <w:rFonts w:ascii="仿宋_GB2312" w:eastAsia="仿宋_GB2312" w:hAnsi="仿宋_GB2312" w:cs="仿宋_GB2312" w:hint="eastAsia"/>
          <w:sz w:val="32"/>
          <w:szCs w:val="32"/>
        </w:rPr>
        <w:t>评价对象和评价范围：</w:t>
      </w:r>
      <w:r>
        <w:rPr>
          <w:rFonts w:ascii="仿宋_GB2312" w:eastAsia="仿宋_GB2312" w:hAnsi="仿宋_GB2312" w:cs="仿宋_GB2312" w:hint="eastAsia"/>
          <w:kern w:val="0"/>
          <w:sz w:val="32"/>
          <w:szCs w:val="32"/>
        </w:rPr>
        <w:t>2022年部分中央财政城镇保障性安居工程补助资金项目</w:t>
      </w:r>
      <w:r>
        <w:rPr>
          <w:rFonts w:ascii="仿宋_GB2312" w:eastAsia="仿宋_GB2312" w:hAnsi="仿宋_GB2312" w:cs="仿宋_GB2312" w:hint="eastAsia"/>
          <w:sz w:val="32"/>
          <w:szCs w:val="32"/>
        </w:rPr>
        <w:t>的决策、过程、产出、效益等进行绩效评价</w:t>
      </w:r>
      <w:r>
        <w:rPr>
          <w:rFonts w:ascii="仿宋_GB2312" w:eastAsia="仿宋_GB2312" w:hAnsi="仿宋_GB2312" w:cs="仿宋_GB2312" w:hint="eastAsia"/>
          <w:sz w:val="32"/>
          <w:szCs w:val="32"/>
          <w:lang w:bidi="en-US"/>
        </w:rPr>
        <w:t>。</w:t>
      </w:r>
      <w:r>
        <w:rPr>
          <w:rFonts w:ascii="仿宋_GB2312" w:eastAsia="仿宋_GB2312" w:hAnsi="仿宋_GB2312" w:cs="仿宋_GB2312" w:hint="eastAsia"/>
          <w:sz w:val="32"/>
          <w:szCs w:val="32"/>
        </w:rPr>
        <w:t>本次绩效评价通过现场调研，评价小组对资金的到位、使用、管理情况以及项目绩效情况进行检查。</w:t>
      </w:r>
    </w:p>
    <w:p>
      <w:pPr>
        <w:widowControl/>
        <w:numPr>
          <w:ilvl w:val="0"/>
          <w:numId w:val="1"/>
        </w:numPr>
        <w:overflowPunct w:val="0"/>
        <w:autoSpaceDE w:val="0"/>
        <w:autoSpaceDN w:val="0"/>
        <w:spacing w:line="560" w:lineRule="exact"/>
        <w:ind w:firstLine="640" w:firstLineChars="200"/>
        <w:textAlignment w:val="baseline"/>
        <w:outlineLvl w:val="1"/>
        <w:rPr>
          <w:rFonts w:ascii="Times New Roman" w:eastAsia="楷体" w:hAnsi="Times New Roman"/>
          <w:b/>
          <w:kern w:val="0"/>
          <w:sz w:val="32"/>
          <w:szCs w:val="32"/>
        </w:rPr>
      </w:pPr>
      <w:bookmarkStart w:id="34" w:name="_Toc80707410"/>
      <w:bookmarkStart w:id="35" w:name="_Toc111656752"/>
      <w:bookmarkStart w:id="36" w:name="_Toc80707412"/>
      <w:r>
        <w:rPr>
          <w:rFonts w:ascii="Times New Roman" w:eastAsia="楷体" w:hAnsi="Times New Roman" w:hint="eastAsia"/>
          <w:b/>
          <w:kern w:val="0"/>
          <w:sz w:val="32"/>
          <w:szCs w:val="32"/>
        </w:rPr>
        <w:t>绩效评价原则、评价指标体系（附表说明）、评价方法、评价标准等</w:t>
      </w:r>
      <w:bookmarkEnd w:id="34"/>
      <w:bookmarkEnd w:id="35"/>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sz w:val="32"/>
          <w:szCs w:val="32"/>
        </w:rPr>
      </w:pPr>
      <w:r>
        <w:rPr>
          <w:rFonts w:ascii="仿宋_GB2312" w:eastAsia="仿宋_GB2312" w:hAnsi="仿宋_GB2312" w:cs="仿宋_GB2312" w:hint="eastAsia"/>
          <w:b/>
          <w:bCs/>
          <w:sz w:val="32"/>
          <w:szCs w:val="32"/>
        </w:rPr>
        <w:t>1.评价原则</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sz w:val="32"/>
          <w:szCs w:val="32"/>
        </w:rPr>
      </w:pPr>
      <w:r>
        <w:rPr>
          <w:rFonts w:ascii="仿宋_GB2312" w:eastAsia="仿宋_GB2312" w:hAnsi="仿宋_GB2312" w:cs="仿宋_GB2312" w:hint="eastAsia"/>
          <w:color w:val="000000" w:themeColor="text1"/>
          <w:kern w:val="0"/>
          <w:sz w:val="32"/>
          <w:szCs w:val="32"/>
          <w:lang w:bidi="ar"/>
          <w14:textFill>
            <w14:solidFill>
              <w14:schemeClr w14:val="tx1"/>
            </w14:solidFill>
          </w14:textFill>
        </w:rPr>
        <w:t>根据《项目支出绩效评价管理办法》（新财预〔2020〕10号）等相关文件要求,本次绩效评价遵循科学公正、统筹兼顾、激励约束、公开透明的原则</w:t>
      </w:r>
      <w:r>
        <w:rPr>
          <w:rFonts w:ascii="仿宋_GB2312" w:eastAsia="仿宋_GB2312" w:hAnsi="仿宋_GB2312" w:cs="仿宋_GB2312" w:hint="eastAsia"/>
          <w:sz w:val="32"/>
          <w:szCs w:val="32"/>
        </w:rPr>
        <w:t>按照规范的程序，对项目绩效进行客观、公正的评价。</w:t>
      </w:r>
    </w:p>
    <w:p>
      <w:pPr>
        <w:widowControl/>
        <w:overflowPunct w:val="0"/>
        <w:autoSpaceDE w:val="0"/>
        <w:autoSpaceDN w:val="0"/>
        <w:spacing w:line="560" w:lineRule="exact"/>
        <w:ind w:firstLine="640" w:firstLineChars="200"/>
        <w:textAlignment w:val="baseline"/>
        <w:rPr>
          <w:rFonts w:ascii="仿宋_GB2312" w:eastAsia="仿宋_GB2312" w:hAnsi="仿宋_GB2312" w:cs="仿宋_GB2312"/>
          <w:b/>
          <w:kern w:val="0"/>
          <w:sz w:val="32"/>
          <w:szCs w:val="32"/>
        </w:rPr>
      </w:pPr>
      <w:bookmarkStart w:id="37" w:name="_Toc864"/>
      <w:bookmarkStart w:id="38" w:name="_Toc28709"/>
      <w:r>
        <w:rPr>
          <w:rFonts w:ascii="仿宋_GB2312" w:eastAsia="仿宋_GB2312" w:hAnsi="仿宋_GB2312" w:cs="仿宋_GB2312" w:hint="eastAsia"/>
          <w:b/>
          <w:kern w:val="0"/>
          <w:sz w:val="32"/>
          <w:szCs w:val="32"/>
        </w:rPr>
        <w:t>2.绩效评价指标体系</w:t>
      </w:r>
    </w:p>
    <w:bookmarkEnd w:id="37"/>
    <w:bookmarkEnd w:id="38"/>
    <w:p>
      <w:pPr>
        <w:widowControl/>
        <w:spacing w:line="560" w:lineRule="exact"/>
        <w:ind w:firstLine="640" w:firstLineChars="200"/>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（1）指标体系设计思路</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根据绩效评价的基本原理、原则和项目特点，结合绩效目标，由项目组独立研制科学的指标体系。评价指标体系按照逻辑分析法设计，包括项目决策、项目管理、项目绩效、影响力四部分内容，力求全面考察项目决策、资金投入、过程管理、产出效果和社会效益，体现从项目本身、执行到效果的逻辑路径。评价指标体系是评价的依据，评价数据通过由基础表、访谈等方式获取。</w:t>
      </w:r>
    </w:p>
    <w:p>
      <w:pPr>
        <w:widowControl/>
        <w:spacing w:line="560" w:lineRule="exact"/>
        <w:ind w:firstLine="640" w:firstLineChars="200"/>
        <w:rPr>
          <w:rFonts w:ascii="仿宋_GB2312" w:eastAsia="仿宋_GB2312" w:hAnsi="仿宋_GB2312" w:cs="仿宋_GB2312"/>
          <w:b/>
          <w:bCs/>
          <w:kern w:val="0"/>
          <w:sz w:val="32"/>
          <w:szCs w:val="32"/>
        </w:rPr>
      </w:pPr>
      <w:bookmarkStart w:id="39" w:name="_Toc26179"/>
      <w:bookmarkStart w:id="40" w:name="_Toc5259"/>
      <w:r>
        <w:rPr>
          <w:rFonts w:ascii="仿宋_GB2312" w:eastAsia="仿宋_GB2312" w:hAnsi="仿宋_GB2312" w:cs="仿宋_GB2312" w:hint="eastAsia"/>
          <w:b/>
          <w:bCs/>
          <w:kern w:val="0"/>
          <w:sz w:val="32"/>
          <w:szCs w:val="32"/>
        </w:rPr>
        <w:t>（2）指标</w:t>
      </w:r>
      <w:bookmarkEnd w:id="39"/>
      <w:r>
        <w:rPr>
          <w:rFonts w:ascii="仿宋_GB2312" w:eastAsia="仿宋_GB2312" w:hAnsi="仿宋_GB2312" w:cs="仿宋_GB2312" w:hint="eastAsia"/>
          <w:b/>
          <w:bCs/>
          <w:kern w:val="0"/>
          <w:sz w:val="32"/>
          <w:szCs w:val="32"/>
        </w:rPr>
        <w:t>解释</w:t>
      </w:r>
      <w:bookmarkEnd w:id="40"/>
    </w:p>
    <w:p>
      <w:pPr>
        <w:pStyle w:val="a"/>
        <w:spacing w:line="560" w:lineRule="exact"/>
        <w:ind w:firstLine="640"/>
        <w:rPr>
          <w:rFonts w:ascii="仿宋_GB2312" w:hAnsi="仿宋_GB2312" w:cs="仿宋_GB2312"/>
          <w:sz w:val="32"/>
          <w:szCs w:val="32"/>
        </w:rPr>
      </w:pPr>
      <w:r>
        <w:rPr>
          <w:rFonts w:ascii="仿宋_GB2312" w:hAnsi="仿宋_GB2312" w:cs="仿宋_GB2312" w:hint="eastAsia"/>
          <w:sz w:val="32"/>
          <w:szCs w:val="32"/>
        </w:rPr>
        <w:t>权重：本报告评价指标体系各指标的权重由评价组根据项目评价需求，在调研基础上依据指标的重要性进行分配，在经专家论证后结合专家意见最终确定。</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sz w:val="32"/>
          <w:szCs w:val="32"/>
        </w:rPr>
      </w:pPr>
      <w:r>
        <w:rPr>
          <w:rFonts w:ascii="仿宋_GB2312" w:eastAsia="仿宋_GB2312" w:hAnsi="仿宋_GB2312" w:cs="仿宋_GB2312" w:hint="eastAsia"/>
          <w:b/>
          <w:bCs/>
          <w:sz w:val="32"/>
          <w:szCs w:val="32"/>
        </w:rPr>
        <w:t>3.评价方法</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本次评价主要运用文献法、社会调查法、实地勘查法、对比分析法等多种方法，具体评价方法如下：</w:t>
      </w:r>
    </w:p>
    <w:p>
      <w:pPr>
        <w:spacing w:line="560" w:lineRule="exact"/>
        <w:ind w:firstLine="585"/>
        <w:rPr>
          <w:rFonts w:ascii="仿宋_GB2312" w:eastAsia="仿宋_GB2312" w:hAnsi="仿宋_GB2312" w:cs="仿宋_GB2312"/>
          <w:kern w:val="0"/>
          <w:sz w:val="32"/>
          <w:szCs w:val="32"/>
        </w:rPr>
      </w:pPr>
      <w:r>
        <w:rPr>
          <w:rFonts w:ascii="仿宋_GB2312" w:eastAsia="仿宋_GB2312" w:hAnsi="仿宋_GB2312" w:cs="仿宋_GB2312" w:hint="eastAsia"/>
          <w:b/>
          <w:bCs/>
          <w:kern w:val="0"/>
          <w:sz w:val="32"/>
          <w:szCs w:val="32"/>
        </w:rPr>
        <w:t>文献法</w:t>
      </w:r>
      <w:r>
        <w:rPr>
          <w:rFonts w:ascii="仿宋_GB2312" w:eastAsia="仿宋_GB2312" w:hAnsi="仿宋_GB2312" w:cs="仿宋_GB2312" w:hint="eastAsia"/>
          <w:kern w:val="0"/>
          <w:sz w:val="32"/>
          <w:szCs w:val="32"/>
        </w:rPr>
        <w:t>：通过检索、查阅、梳理2022年部分中央财政城镇保障性安居工程补助资金项目相关的政策文件、会议纪要等相关材料，了解立项依据的充分性及立项规范性。</w:t>
      </w:r>
    </w:p>
    <w:p>
      <w:pPr>
        <w:spacing w:line="560" w:lineRule="exact"/>
        <w:ind w:firstLine="585"/>
        <w:rPr>
          <w:rFonts w:ascii="仿宋_GB2312" w:eastAsia="仿宋_GB2312" w:hAnsi="仿宋_GB2312" w:cs="仿宋_GB2312"/>
          <w:kern w:val="0"/>
          <w:sz w:val="32"/>
          <w:szCs w:val="32"/>
        </w:rPr>
      </w:pPr>
      <w:bookmarkStart w:id="41" w:name="_Toc435460264"/>
      <w:bookmarkStart w:id="42" w:name="_Toc451937457"/>
      <w:bookmarkStart w:id="43" w:name="_Toc451758897"/>
      <w:bookmarkStart w:id="44" w:name="_Toc435026288"/>
      <w:bookmarkStart w:id="45" w:name="_Toc371600465"/>
      <w:bookmarkStart w:id="46" w:name="_Toc452370924"/>
      <w:bookmarkStart w:id="47" w:name="_Toc438563763"/>
      <w:bookmarkStart w:id="48" w:name="_Toc435006004"/>
      <w:bookmarkStart w:id="49" w:name="_Toc435602755"/>
      <w:bookmarkStart w:id="50" w:name="_Toc371295690"/>
      <w:bookmarkStart w:id="51" w:name="_Toc453593832"/>
      <w:r>
        <w:rPr>
          <w:rFonts w:ascii="仿宋_GB2312" w:eastAsia="仿宋_GB2312" w:hAnsi="仿宋_GB2312" w:cs="仿宋_GB2312" w:hint="eastAsia"/>
          <w:b/>
          <w:bCs/>
          <w:kern w:val="0"/>
          <w:sz w:val="32"/>
          <w:szCs w:val="32"/>
        </w:rPr>
        <w:t>社会调查法</w:t>
      </w:r>
      <w:bookmarkEnd w:id="41"/>
      <w:bookmarkEnd w:id="42"/>
      <w:bookmarkEnd w:id="43"/>
      <w:bookmarkEnd w:id="44"/>
      <w:bookmarkEnd w:id="45"/>
      <w:bookmarkEnd w:id="46"/>
      <w:bookmarkEnd w:id="47"/>
      <w:bookmarkEnd w:id="48"/>
      <w:bookmarkEnd w:id="49"/>
      <w:bookmarkEnd w:id="50"/>
      <w:bookmarkEnd w:id="51"/>
      <w:r>
        <w:rPr>
          <w:rFonts w:ascii="仿宋_GB2312" w:eastAsia="仿宋_GB2312" w:hAnsi="仿宋_GB2312" w:cs="仿宋_GB2312" w:hint="eastAsia"/>
          <w:kern w:val="0"/>
          <w:sz w:val="32"/>
          <w:szCs w:val="32"/>
        </w:rPr>
        <w:t>：指深入了解项目参与主体和利益相关方对项目认知及态度的主要方法，同时也是搜集标准统计数据的有效途径。评价组将采用实地访谈、问卷调查等方法对本次评价项目的制定方、实施方和受益方等进行充分调研，更加充分地掌握项目的内容、实施过程、实施效果等，为评价指标评分和结果分析提供支撑。</w:t>
      </w:r>
    </w:p>
    <w:p>
      <w:pPr>
        <w:spacing w:line="560" w:lineRule="exact"/>
        <w:ind w:firstLine="585"/>
        <w:rPr>
          <w:rFonts w:ascii="仿宋_GB2312" w:eastAsia="仿宋_GB2312" w:hAnsi="仿宋_GB2312" w:cs="仿宋_GB2312"/>
          <w:kern w:val="0"/>
          <w:sz w:val="32"/>
          <w:szCs w:val="32"/>
        </w:rPr>
      </w:pPr>
      <w:r>
        <w:rPr>
          <w:rFonts w:ascii="仿宋_GB2312" w:eastAsia="仿宋_GB2312" w:hAnsi="仿宋_GB2312" w:cs="仿宋_GB2312" w:hint="eastAsia"/>
          <w:b/>
          <w:bCs/>
          <w:kern w:val="0"/>
          <w:sz w:val="32"/>
          <w:szCs w:val="32"/>
        </w:rPr>
        <w:t>实地勘查法</w:t>
      </w:r>
      <w:r>
        <w:rPr>
          <w:rFonts w:ascii="仿宋_GB2312" w:eastAsia="仿宋_GB2312" w:hAnsi="仿宋_GB2312" w:cs="仿宋_GB2312" w:hint="eastAsia"/>
          <w:kern w:val="0"/>
          <w:sz w:val="32"/>
          <w:szCs w:val="32"/>
        </w:rPr>
        <w:t>：实地查看拆迁户数、新增地块棚改户数、征收房屋、建设安置房等项目完成情况。</w:t>
      </w:r>
      <w:bookmarkStart w:id="52" w:name="_Toc30163841"/>
    </w:p>
    <w:p>
      <w:pPr>
        <w:spacing w:line="560" w:lineRule="exact"/>
        <w:ind w:firstLine="585"/>
        <w:rPr>
          <w:rFonts w:ascii="仿宋_GB2312" w:eastAsia="仿宋_GB2312" w:hAnsi="仿宋_GB2312" w:cs="仿宋_GB2312"/>
          <w:sz w:val="32"/>
          <w:szCs w:val="32"/>
        </w:rPr>
      </w:pPr>
      <w:r>
        <w:rPr>
          <w:rFonts w:ascii="仿宋_GB2312" w:eastAsia="仿宋_GB2312" w:hAnsi="仿宋_GB2312" w:cs="仿宋_GB2312" w:hint="eastAsia"/>
          <w:b/>
          <w:bCs/>
          <w:sz w:val="32"/>
          <w:szCs w:val="32"/>
        </w:rPr>
        <w:t>对比分析法</w:t>
      </w:r>
      <w:r>
        <w:rPr>
          <w:rFonts w:ascii="仿宋_GB2312" w:eastAsia="仿宋_GB2312" w:hAnsi="仿宋_GB2312" w:cs="仿宋_GB2312" w:hint="eastAsia"/>
          <w:kern w:val="0"/>
          <w:sz w:val="32"/>
          <w:szCs w:val="32"/>
        </w:rPr>
        <w:t>：</w:t>
      </w:r>
      <w:r>
        <w:rPr>
          <w:rFonts w:ascii="仿宋_GB2312" w:eastAsia="仿宋_GB2312" w:hAnsi="仿宋_GB2312" w:cs="仿宋_GB2312" w:hint="eastAsia"/>
          <w:sz w:val="32"/>
          <w:szCs w:val="32"/>
        </w:rPr>
        <w:t>对比分析是绩效评价中分析政策产出和效果常用的方法之一。本次资金政策绩效评价过程中，评价组将各指标的实际完成值与绩效目标进行对比分析，考察分析绩效目标的完成情况及实现程度和效果。</w:t>
      </w:r>
    </w:p>
    <w:p>
      <w:pPr>
        <w:pStyle w:val="a"/>
        <w:spacing w:line="560" w:lineRule="exact"/>
        <w:ind w:firstLine="643"/>
        <w:rPr>
          <w:rFonts w:ascii="仿宋_GB2312" w:hAnsi="仿宋_GB2312" w:cs="仿宋_GB2312"/>
          <w:kern w:val="2"/>
          <w:sz w:val="32"/>
          <w:szCs w:val="32"/>
        </w:rPr>
      </w:pPr>
      <w:r>
        <w:rPr>
          <w:rFonts w:ascii="仿宋_GB2312" w:hAnsi="仿宋_GB2312" w:cs="仿宋_GB2312" w:hint="eastAsia"/>
          <w:b/>
          <w:bCs/>
          <w:sz w:val="32"/>
          <w:szCs w:val="32"/>
        </w:rPr>
        <w:t>评价标准：</w:t>
      </w:r>
      <w:r>
        <w:rPr>
          <w:rFonts w:ascii="仿宋_GB2312" w:hAnsi="仿宋_GB2312" w:cs="仿宋_GB2312" w:hint="eastAsia"/>
          <w:kern w:val="2"/>
          <w:sz w:val="32"/>
          <w:szCs w:val="32"/>
        </w:rPr>
        <w:t>本报告指标体系的评价标准按照计划标准、行业标准、历史标准等制定。对于定性指标，一般通过问卷及访谈采集相关数据，在实施过程中运用等级描述法进行考核，通过设置分级标准来体现该指标认可程度的差异。对于定量指标，一般通过公式等方式予以量化，可以准确数量定义、精确衡量并能设定目标值的考核指标。</w:t>
      </w:r>
    </w:p>
    <w:bookmarkEnd w:id="52"/>
    <w:p>
      <w:pPr>
        <w:widowControl/>
        <w:spacing w:line="560" w:lineRule="exact"/>
        <w:ind w:firstLine="640" w:firstLineChars="200"/>
        <w:rPr>
          <w:rFonts w:ascii="仿宋_GB2312" w:eastAsia="仿宋_GB2312" w:hAnsi="仿宋_GB2312" w:cs="仿宋_GB2312"/>
          <w:kern w:val="0"/>
          <w:sz w:val="32"/>
          <w:szCs w:val="32"/>
        </w:rPr>
      </w:pPr>
      <w:bookmarkStart w:id="53" w:name="_Toc31619"/>
      <w:bookmarkStart w:id="54" w:name="_Toc24159"/>
      <w:r>
        <w:rPr>
          <w:rFonts w:ascii="仿宋_GB2312" w:eastAsia="仿宋_GB2312" w:hAnsi="仿宋_GB2312" w:cs="仿宋_GB2312" w:hint="eastAsia"/>
          <w:b/>
          <w:bCs/>
          <w:kern w:val="0"/>
          <w:sz w:val="32"/>
          <w:szCs w:val="32"/>
        </w:rPr>
        <w:t>指标体系</w:t>
      </w:r>
      <w:bookmarkEnd w:id="53"/>
      <w:r>
        <w:rPr>
          <w:rFonts w:ascii="仿宋_GB2312" w:eastAsia="仿宋_GB2312" w:hAnsi="仿宋_GB2312" w:cs="仿宋_GB2312" w:hint="eastAsia"/>
          <w:b/>
          <w:bCs/>
          <w:kern w:val="0"/>
          <w:sz w:val="32"/>
          <w:szCs w:val="32"/>
        </w:rPr>
        <w:t>：</w:t>
      </w:r>
      <w:r>
        <w:rPr>
          <w:rFonts w:ascii="仿宋_GB2312" w:eastAsia="仿宋_GB2312" w:hAnsi="仿宋_GB2312" w:cs="仿宋_GB2312" w:hint="eastAsia"/>
          <w:kern w:val="0"/>
          <w:sz w:val="32"/>
          <w:szCs w:val="32"/>
        </w:rPr>
        <w:t>根据《项目支出绩效评价管理办法》（新财预〔2020〕10号）等相关文件要求，本次资金的评价指标体系包括评价指标、权重、指标解释、计算公式、评分标准，</w:t>
      </w:r>
      <w:bookmarkEnd w:id="54"/>
      <w:r>
        <w:rPr>
          <w:rFonts w:ascii="仿宋_GB2312" w:eastAsia="仿宋_GB2312" w:hAnsi="仿宋_GB2312" w:cs="仿宋_GB2312" w:hint="eastAsia"/>
          <w:kern w:val="0"/>
          <w:sz w:val="32"/>
          <w:szCs w:val="32"/>
        </w:rPr>
        <w:t>完整的绩效评价指标体系及评分过程详见附件一。</w:t>
      </w:r>
    </w:p>
    <w:p>
      <w:pPr>
        <w:widowControl/>
        <w:overflowPunct w:val="0"/>
        <w:autoSpaceDE w:val="0"/>
        <w:autoSpaceDN w:val="0"/>
        <w:adjustRightInd w:val="0"/>
        <w:spacing w:line="560" w:lineRule="exact"/>
        <w:ind w:firstLine="640" w:firstLineChars="200"/>
        <w:textAlignment w:val="baseline"/>
        <w:outlineLvl w:val="1"/>
        <w:rPr>
          <w:rFonts w:ascii="Times New Roman" w:eastAsia="楷体" w:hAnsi="Times New Roman"/>
          <w:b/>
          <w:kern w:val="0"/>
          <w:sz w:val="32"/>
          <w:szCs w:val="32"/>
        </w:rPr>
      </w:pPr>
      <w:bookmarkStart w:id="55" w:name="_Toc111656753"/>
      <w:bookmarkStart w:id="56" w:name="_Toc80707411"/>
      <w:bookmarkStart w:id="57" w:name="_Toc31947"/>
      <w:r>
        <w:rPr>
          <w:rFonts w:ascii="Times New Roman" w:eastAsia="楷体" w:hAnsi="Times New Roman" w:hint="eastAsia"/>
          <w:b/>
          <w:kern w:val="0"/>
          <w:sz w:val="32"/>
          <w:szCs w:val="32"/>
        </w:rPr>
        <w:t>（三）绩效评价工作过程</w:t>
      </w:r>
      <w:bookmarkEnd w:id="55"/>
      <w:bookmarkEnd w:id="56"/>
    </w:p>
    <w:bookmarkEnd w:id="57"/>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bookmarkStart w:id="58" w:name="_Toc22117"/>
      <w:bookmarkStart w:id="59" w:name="_Toc9102"/>
      <w:r>
        <w:rPr>
          <w:rFonts w:ascii="仿宋_GB2312" w:eastAsia="仿宋_GB2312" w:hAnsi="仿宋_GB2312" w:cs="仿宋_GB2312" w:hint="eastAsia"/>
          <w:b/>
          <w:bCs/>
          <w:kern w:val="0"/>
          <w:sz w:val="32"/>
          <w:szCs w:val="32"/>
        </w:rPr>
        <w:t>1.前期准备</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本次评价委托方为乌苏市财政局，受托方为北京用友政务软件有限公司新疆分公司。北京用友政务软件有限公司新疆分公司负责完成评价工作，包括前期调查，制定工作方案，调查取数，撰写评价报告。</w:t>
      </w:r>
      <w:bookmarkEnd w:id="58"/>
      <w:bookmarkEnd w:id="59"/>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rPr>
      </w:pPr>
      <w:r>
        <w:rPr>
          <w:rFonts w:ascii="仿宋_GB2312" w:eastAsia="仿宋_GB2312" w:hAnsi="仿宋_GB2312" w:cs="仿宋_GB2312" w:hint="eastAsia"/>
          <w:b/>
          <w:bCs/>
          <w:kern w:val="0"/>
          <w:sz w:val="32"/>
          <w:szCs w:val="32"/>
        </w:rPr>
        <w:t>2. 评价进度</w:t>
      </w:r>
    </w:p>
    <w:p>
      <w:pPr>
        <w:pStyle w:val="a"/>
        <w:spacing w:line="560" w:lineRule="exact"/>
        <w:ind w:firstLine="640"/>
        <w:rPr>
          <w:rFonts w:ascii="仿宋_GB2312" w:hAnsi="仿宋_GB2312" w:cs="仿宋_GB2312"/>
          <w:b/>
          <w:bCs/>
          <w:color w:val="000000" w:themeColor="text1"/>
          <w:sz w:val="32"/>
          <w:szCs w:val="32"/>
          <w:lang w:bidi="ar"/>
          <w14:textFill>
            <w14:solidFill>
              <w14:schemeClr w14:val="tx1"/>
            </w14:solidFill>
          </w14:textFill>
        </w:rPr>
      </w:pPr>
      <w:bookmarkStart w:id="60" w:name="_Toc4808"/>
      <w:r>
        <w:rPr>
          <w:rFonts w:ascii="仿宋_GB2312" w:hAnsi="仿宋_GB2312" w:cs="仿宋_GB2312" w:hint="eastAsia"/>
          <w:sz w:val="32"/>
          <w:szCs w:val="32"/>
        </w:rPr>
        <w:t>本次项目的评价期间为2023年7月4日至2023年7月25日，北京用友政务软件有限公司新疆分公司</w:t>
      </w:r>
      <w:r>
        <w:rPr>
          <w:rFonts w:ascii="仿宋_GB2312" w:hAnsi="仿宋_GB2312" w:cs="仿宋_GB2312" w:hint="eastAsia"/>
          <w:color w:val="000000" w:themeColor="text1"/>
          <w:sz w:val="32"/>
          <w:szCs w:val="32"/>
          <w:lang w:bidi="ar"/>
          <w14:textFill>
            <w14:solidFill>
              <w14:schemeClr w14:val="tx1"/>
            </w14:solidFill>
          </w14:textFill>
        </w:rPr>
        <w:t>负责完成评价工作，公司高度重视此次乌苏市财政局对重点评价工作的要求，配备专门人力，重视质量效益评价。组织人力进行前期调查、研究讨论、制定工作方案。具体人员名单如下：</w:t>
      </w:r>
    </w:p>
    <w:p>
      <w:pPr>
        <w:pStyle w:val="a"/>
        <w:ind w:firstLine="3120" w:firstLineChars="1300"/>
        <w:rPr>
          <w:b/>
          <w:bCs/>
          <w:color w:val="000000" w:themeColor="text1"/>
          <w:sz w:val="24"/>
          <w:szCs w:val="24"/>
          <w:lang w:bidi="ar"/>
          <w14:textFill>
            <w14:solidFill>
              <w14:schemeClr w14:val="tx1"/>
            </w14:solidFill>
          </w14:textFill>
        </w:rPr>
      </w:pPr>
      <w:r>
        <w:rPr>
          <w:b/>
          <w:bCs/>
          <w:color w:val="000000" w:themeColor="text1"/>
          <w:sz w:val="24"/>
          <w:szCs w:val="24"/>
          <w:lang w:bidi="ar"/>
          <w14:textFill>
            <w14:solidFill>
              <w14:schemeClr w14:val="tx1"/>
            </w14:solidFill>
          </w14:textFill>
        </w:rPr>
        <w:t>表2-1 评价组组员表</w:t>
      </w:r>
    </w:p>
    <w:tbl>
      <w:tblPr>
        <w:tblStyle w:val="TableNormal"/>
        <w:tblW w:w="829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67"/>
        <w:gridCol w:w="1050"/>
        <w:gridCol w:w="2005"/>
        <w:gridCol w:w="4371"/>
      </w:tblGrid>
      <w:tr>
        <w:tblPrEx>
          <w:tblW w:w="8293" w:type="dxa"/>
          <w:jc w:val="center"/>
          <w:tblInd w:w="0" w:type="dxa"/>
          <w:tblLayout w:type="fixed"/>
        </w:tblPrEx>
        <w:trPr>
          <w:trHeight w:val="340"/>
          <w:tblHeader/>
          <w:jc w:val="center"/>
        </w:trPr>
        <w:tc>
          <w:tcPr>
            <w:tcW w:w="867"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序号</w:t>
            </w:r>
          </w:p>
        </w:tc>
        <w:tc>
          <w:tcPr>
            <w:tcW w:w="1050"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姓名</w:t>
            </w:r>
          </w:p>
        </w:tc>
        <w:tc>
          <w:tcPr>
            <w:tcW w:w="2005"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本</w:t>
            </w:r>
            <w:r>
              <w:rPr>
                <w:rFonts w:ascii="Times New Roman" w:eastAsia="仿宋_GB2312" w:hAnsi="Times New Roman" w:hint="eastAsia"/>
                <w:b/>
                <w:color w:val="000000" w:themeColor="text1"/>
                <w:kern w:val="0"/>
                <w:sz w:val="22"/>
                <w:lang w:eastAsia="zh-Hans"/>
                <w14:textFill>
                  <w14:solidFill>
                    <w14:schemeClr w14:val="tx1"/>
                  </w14:solidFill>
                </w14:textFill>
              </w:rPr>
              <w:t>评价工作</w:t>
            </w:r>
            <w:r>
              <w:rPr>
                <w:rFonts w:ascii="Times New Roman" w:eastAsia="仿宋_GB2312" w:hAnsi="Times New Roman"/>
                <w:b/>
                <w:color w:val="000000" w:themeColor="text1"/>
                <w:kern w:val="0"/>
                <w:sz w:val="22"/>
                <w14:textFill>
                  <w14:solidFill>
                    <w14:schemeClr w14:val="tx1"/>
                  </w14:solidFill>
                </w14:textFill>
              </w:rPr>
              <w:t>中角色</w:t>
            </w:r>
          </w:p>
        </w:tc>
        <w:tc>
          <w:tcPr>
            <w:tcW w:w="4371" w:type="dxa"/>
            <w:tcBorders>
              <w:top w:val="single" w:sz="4" w:space="0" w:color="auto"/>
              <w:left w:val="single" w:sz="4" w:space="0" w:color="auto"/>
              <w:bottom w:val="single" w:sz="4" w:space="0" w:color="auto"/>
              <w:right w:val="single" w:sz="4" w:space="0" w:color="auto"/>
              <w:tl2br w:val="nil"/>
              <w:tr2bl w:val="nil"/>
            </w:tcBorders>
            <w:shd w:val="clear" w:color="auto" w:fill="A6A6A6"/>
            <w:vAlign w:val="center"/>
          </w:tcPr>
          <w:p>
            <w:pPr>
              <w:widowControl/>
              <w:spacing w:line="240" w:lineRule="atLeast"/>
              <w:jc w:val="center"/>
              <w:rPr>
                <w:rFonts w:ascii="Times New Roman" w:eastAsia="仿宋_GB2312" w:hAnsi="Times New Roman"/>
                <w:b/>
                <w:color w:val="000000" w:themeColor="text1"/>
                <w:kern w:val="0"/>
                <w:sz w:val="22"/>
                <w14:textFill>
                  <w14:solidFill>
                    <w14:schemeClr w14:val="tx1"/>
                  </w14:solidFill>
                </w14:textFill>
              </w:rPr>
            </w:pPr>
            <w:r>
              <w:rPr>
                <w:rFonts w:ascii="Times New Roman" w:eastAsia="仿宋_GB2312" w:hAnsi="Times New Roman"/>
                <w:b/>
                <w:color w:val="000000" w:themeColor="text1"/>
                <w:kern w:val="0"/>
                <w:sz w:val="22"/>
                <w14:textFill>
                  <w14:solidFill>
                    <w14:schemeClr w14:val="tx1"/>
                  </w14:solidFill>
                </w14:textFill>
              </w:rPr>
              <w:t>工作职责</w:t>
            </w:r>
          </w:p>
        </w:tc>
      </w:tr>
      <w:tr>
        <w:tblPrEx>
          <w:tblW w:w="8293" w:type="dxa"/>
          <w:jc w:val="center"/>
          <w:tblInd w:w="0" w:type="dxa"/>
          <w:tblLayout w:type="fixed"/>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1</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 xml:space="preserve"> 刘长彬</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项目顾问</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负责绩效评价过程指导</w:t>
            </w:r>
          </w:p>
        </w:tc>
      </w:tr>
      <w:tr>
        <w:tblPrEx>
          <w:tblW w:w="8293" w:type="dxa"/>
          <w:jc w:val="center"/>
          <w:tblInd w:w="0" w:type="dxa"/>
          <w:tblLayout w:type="fixed"/>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2</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lang w:eastAsia="zh-Hans"/>
                <w14:textFill>
                  <w14:solidFill>
                    <w14:schemeClr w14:val="tx1"/>
                  </w14:solidFill>
                </w14:textFill>
              </w:rPr>
            </w:pPr>
            <w:r>
              <w:rPr>
                <w:rFonts w:ascii="仿宋_GB2312" w:eastAsia="仿宋_GB2312" w:hAnsi="黑体" w:cs="宋体" w:hint="eastAsia"/>
                <w:sz w:val="24"/>
              </w:rPr>
              <w:t>蒋秀兰</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项目质控</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负责项目评价方案、项目报告等重点工作内容的质量控制，技术指导</w:t>
            </w:r>
          </w:p>
        </w:tc>
      </w:tr>
      <w:tr>
        <w:tblPrEx>
          <w:tblW w:w="8293" w:type="dxa"/>
          <w:jc w:val="center"/>
          <w:tblInd w:w="0" w:type="dxa"/>
          <w:tblLayout w:type="fixed"/>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3</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牟家兴</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项目经理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负责对项目实施统筹、资料收集，整理及数据分析、撰写工作方案及评价报告并对评价报告进行负责</w:t>
            </w:r>
          </w:p>
        </w:tc>
      </w:tr>
      <w:tr>
        <w:tblPrEx>
          <w:tblW w:w="8293" w:type="dxa"/>
          <w:jc w:val="center"/>
          <w:tblInd w:w="0" w:type="dxa"/>
          <w:tblLayout w:type="fixed"/>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4</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穆翠萍</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项目经理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负责对项目实施统筹、资料收集，整理及数据分析、撰写工作方案及评价报告并对评价报告进行负责</w:t>
            </w:r>
          </w:p>
        </w:tc>
      </w:tr>
      <w:tr>
        <w:tblPrEx>
          <w:tblW w:w="8293" w:type="dxa"/>
          <w:jc w:val="center"/>
          <w:tblInd w:w="0" w:type="dxa"/>
          <w:tblLayout w:type="fixed"/>
        </w:tblPrEx>
        <w:trPr>
          <w:trHeight w:val="9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5</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付磊</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项目助理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负责资料搜集、整理及数据分析等，并协助撰写工作方案及评价报告等</w:t>
            </w:r>
          </w:p>
        </w:tc>
      </w:tr>
      <w:tr>
        <w:tblPrEx>
          <w:tblW w:w="8293" w:type="dxa"/>
          <w:jc w:val="center"/>
          <w:tblInd w:w="0" w:type="dxa"/>
          <w:tblLayout w:type="fixed"/>
        </w:tblPrEx>
        <w:trPr>
          <w:trHeight w:val="340"/>
          <w:jc w:val="center"/>
        </w:trPr>
        <w:tc>
          <w:tcPr>
            <w:tcW w:w="867"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6</w:t>
            </w:r>
          </w:p>
        </w:tc>
        <w:tc>
          <w:tcPr>
            <w:tcW w:w="1050"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hint="eastAsia"/>
                <w:color w:val="000000" w:themeColor="text1"/>
                <w:kern w:val="0"/>
                <w:sz w:val="22"/>
                <w14:textFill>
                  <w14:solidFill>
                    <w14:schemeClr w14:val="tx1"/>
                  </w14:solidFill>
                </w14:textFill>
              </w:rPr>
              <w:t>霍贝贝</w:t>
            </w:r>
          </w:p>
        </w:tc>
        <w:tc>
          <w:tcPr>
            <w:tcW w:w="2005"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center"/>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项目助理</w:t>
            </w:r>
          </w:p>
        </w:tc>
        <w:tc>
          <w:tcPr>
            <w:tcW w:w="4371" w:type="dxa"/>
            <w:tcBorders>
              <w:top w:val="single" w:sz="4" w:space="0" w:color="auto"/>
              <w:left w:val="single" w:sz="4" w:space="0" w:color="auto"/>
              <w:bottom w:val="single" w:sz="4" w:space="0" w:color="auto"/>
              <w:right w:val="single" w:sz="4" w:space="0" w:color="auto"/>
              <w:tl2br w:val="nil"/>
              <w:tr2bl w:val="nil"/>
            </w:tcBorders>
            <w:vAlign w:val="center"/>
          </w:tcPr>
          <w:p>
            <w:pPr>
              <w:widowControl/>
              <w:spacing w:line="240" w:lineRule="atLeast"/>
              <w:jc w:val="left"/>
              <w:rPr>
                <w:rFonts w:ascii="Times New Roman" w:eastAsia="仿宋_GB2312" w:hAnsi="Times New Roman"/>
                <w:color w:val="000000" w:themeColor="text1"/>
                <w:kern w:val="0"/>
                <w:sz w:val="22"/>
                <w14:textFill>
                  <w14:solidFill>
                    <w14:schemeClr w14:val="tx1"/>
                  </w14:solidFill>
                </w14:textFill>
              </w:rPr>
            </w:pPr>
            <w:r>
              <w:rPr>
                <w:rFonts w:ascii="Times New Roman" w:eastAsia="仿宋_GB2312" w:hAnsi="Times New Roman"/>
                <w:color w:val="000000" w:themeColor="text1"/>
                <w:kern w:val="0"/>
                <w:sz w:val="22"/>
                <w14:textFill>
                  <w14:solidFill>
                    <w14:schemeClr w14:val="tx1"/>
                  </w14:solidFill>
                </w14:textFill>
              </w:rPr>
              <w:t>配合公司人员完成社会调研工作</w:t>
            </w:r>
          </w:p>
        </w:tc>
      </w:tr>
      <w:bookmarkEnd w:id="60"/>
    </w:tbl>
    <w:p>
      <w:pPr>
        <w:pStyle w:val="a"/>
        <w:widowControl/>
        <w:spacing w:line="560" w:lineRule="exact"/>
        <w:ind w:firstLine="643"/>
        <w:rPr>
          <w:rFonts w:ascii="仿宋_GB2312" w:hAnsi="仿宋_GB2312" w:cs="仿宋_GB2312"/>
          <w:b/>
          <w:bCs/>
          <w:sz w:val="32"/>
          <w:szCs w:val="32"/>
        </w:rPr>
      </w:pPr>
      <w:bookmarkStart w:id="61" w:name="_Toc111656754"/>
      <w:r>
        <w:rPr>
          <w:rFonts w:ascii="仿宋_GB2312" w:hAnsi="仿宋_GB2312" w:cs="仿宋_GB2312" w:hint="eastAsia"/>
          <w:b/>
          <w:bCs/>
          <w:sz w:val="32"/>
          <w:szCs w:val="32"/>
        </w:rPr>
        <w:t>（1）方案制定——2023年7月5日前</w:t>
      </w:r>
    </w:p>
    <w:p>
      <w:pPr>
        <w:pStyle w:val="a"/>
        <w:widowControl/>
        <w:spacing w:line="560" w:lineRule="exact"/>
        <w:ind w:firstLine="640"/>
        <w:rPr>
          <w:rFonts w:ascii="仿宋_GB2312" w:hAnsi="仿宋_GB2312" w:cs="仿宋_GB2312"/>
          <w:sz w:val="32"/>
          <w:szCs w:val="32"/>
        </w:rPr>
      </w:pPr>
      <w:bookmarkStart w:id="62" w:name="_Toc21283"/>
      <w:r>
        <w:rPr>
          <w:rFonts w:ascii="仿宋_GB2312" w:hAnsi="仿宋_GB2312" w:cs="仿宋_GB2312" w:hint="eastAsia"/>
          <w:sz w:val="32"/>
          <w:szCs w:val="32"/>
        </w:rPr>
        <w:t>受乌苏市财政局委托后，对资金进行调研，与预算单位沟通，收集相关资料，了解资金的内容、操作流程、管理机制、资金使用、产出和效果等情况，根据资金实际情况和绩效管理要求制定绩效评价工作方案，并报送乌苏市财政局和项目主管单位审阅。</w:t>
      </w:r>
      <w:bookmarkEnd w:id="62"/>
    </w:p>
    <w:p>
      <w:pPr>
        <w:pStyle w:val="a"/>
        <w:widowControl/>
        <w:spacing w:line="560" w:lineRule="exact"/>
        <w:ind w:firstLine="643"/>
        <w:rPr>
          <w:rFonts w:ascii="仿宋_GB2312" w:hAnsi="仿宋_GB2312" w:cs="仿宋_GB2312"/>
          <w:sz w:val="32"/>
          <w:szCs w:val="32"/>
        </w:rPr>
      </w:pPr>
      <w:bookmarkStart w:id="63" w:name="_Toc5320"/>
      <w:r>
        <w:rPr>
          <w:rFonts w:ascii="仿宋_GB2312" w:hAnsi="仿宋_GB2312" w:cs="仿宋_GB2312" w:hint="eastAsia"/>
          <w:b/>
          <w:bCs/>
          <w:sz w:val="32"/>
          <w:szCs w:val="32"/>
        </w:rPr>
        <w:t>（2）评价实施阶段——2023年7月9日前</w:t>
      </w:r>
      <w:bookmarkEnd w:id="63"/>
    </w:p>
    <w:p>
      <w:pPr>
        <w:pStyle w:val="a"/>
        <w:widowControl/>
        <w:spacing w:line="560" w:lineRule="exact"/>
        <w:ind w:firstLine="640"/>
        <w:rPr>
          <w:rFonts w:ascii="仿宋_GB2312" w:hAnsi="仿宋_GB2312" w:cs="仿宋_GB2312"/>
          <w:sz w:val="32"/>
          <w:szCs w:val="32"/>
        </w:rPr>
      </w:pPr>
      <w:bookmarkStart w:id="64" w:name="_Toc27499"/>
      <w:r>
        <w:rPr>
          <w:rFonts w:ascii="仿宋_GB2312" w:hAnsi="仿宋_GB2312" w:cs="仿宋_GB2312" w:hint="eastAsia"/>
          <w:sz w:val="32"/>
          <w:szCs w:val="32"/>
        </w:rPr>
        <w:t>数据采集（2023年7月6日前）。将基础表提交给预算主管部门，相关部门按照预算绩效管理要求填报相关数据并加盖公章。</w:t>
      </w:r>
      <w:bookmarkEnd w:id="64"/>
    </w:p>
    <w:p>
      <w:pPr>
        <w:pStyle w:val="a"/>
        <w:widowControl/>
        <w:spacing w:line="560" w:lineRule="exact"/>
        <w:ind w:firstLine="640"/>
        <w:rPr>
          <w:rFonts w:ascii="仿宋_GB2312" w:hAnsi="仿宋_GB2312" w:cs="仿宋_GB2312"/>
          <w:sz w:val="32"/>
          <w:szCs w:val="32"/>
        </w:rPr>
      </w:pPr>
      <w:bookmarkStart w:id="65" w:name="_Toc27071"/>
      <w:r>
        <w:rPr>
          <w:rFonts w:ascii="仿宋_GB2312" w:hAnsi="仿宋_GB2312" w:cs="仿宋_GB2312" w:hint="eastAsia"/>
          <w:sz w:val="32"/>
          <w:szCs w:val="32"/>
        </w:rPr>
        <w:t>实地调研（2023年7月9日前）。根据社会调查方案进行满意度问卷调查和访谈工作，并对预算主管部门、实施部门填报的数据进行复核，对复核后的数据进行分析整理，并撰写形成问卷调查报告和访谈报告。</w:t>
      </w:r>
      <w:bookmarkEnd w:id="65"/>
    </w:p>
    <w:p>
      <w:pPr>
        <w:pStyle w:val="a"/>
        <w:widowControl/>
        <w:spacing w:line="560" w:lineRule="exact"/>
        <w:ind w:firstLine="643"/>
        <w:rPr>
          <w:rFonts w:ascii="仿宋_GB2312" w:hAnsi="仿宋_GB2312" w:cs="仿宋_GB2312"/>
          <w:sz w:val="32"/>
          <w:szCs w:val="32"/>
        </w:rPr>
      </w:pPr>
      <w:bookmarkStart w:id="66" w:name="_Toc10552"/>
      <w:r>
        <w:rPr>
          <w:rFonts w:ascii="仿宋_GB2312" w:hAnsi="仿宋_GB2312" w:cs="仿宋_GB2312" w:hint="eastAsia"/>
          <w:b/>
          <w:bCs/>
          <w:sz w:val="32"/>
          <w:szCs w:val="32"/>
        </w:rPr>
        <w:t>（3）报告撰写阶段（2023年7月25日前）</w:t>
      </w:r>
      <w:bookmarkEnd w:id="66"/>
    </w:p>
    <w:p>
      <w:pPr>
        <w:pStyle w:val="a"/>
        <w:widowControl/>
        <w:spacing w:line="560" w:lineRule="exact"/>
        <w:ind w:firstLine="640"/>
        <w:rPr>
          <w:rFonts w:ascii="仿宋_GB2312" w:hAnsi="仿宋_GB2312" w:cs="仿宋_GB2312"/>
          <w:sz w:val="32"/>
          <w:szCs w:val="32"/>
        </w:rPr>
      </w:pPr>
      <w:bookmarkStart w:id="67" w:name="_Toc14305"/>
      <w:r>
        <w:rPr>
          <w:rFonts w:ascii="仿宋_GB2312" w:hAnsi="仿宋_GB2312" w:cs="仿宋_GB2312" w:hint="eastAsia"/>
          <w:sz w:val="32"/>
          <w:szCs w:val="32"/>
        </w:rPr>
        <w:t>撰写评价报告（2023年7月25日前）。对复核后的数据和资料进行汇总，依据评分标准对绩效指标进行评分，并形成政策评价结论。在此基础上，按照预算绩效管理要求撰写绩效评价报告。</w:t>
      </w:r>
      <w:bookmarkEnd w:id="67"/>
    </w:p>
    <w:p>
      <w:pPr>
        <w:pStyle w:val="a"/>
        <w:widowControl/>
        <w:spacing w:line="560" w:lineRule="exact"/>
        <w:ind w:firstLine="640"/>
        <w:rPr>
          <w:rFonts w:ascii="仿宋_GB2312" w:hAnsi="仿宋_GB2312" w:cs="仿宋_GB2312"/>
          <w:sz w:val="32"/>
          <w:szCs w:val="32"/>
        </w:rPr>
      </w:pPr>
      <w:bookmarkStart w:id="68" w:name="_Toc28508"/>
      <w:r>
        <w:rPr>
          <w:rFonts w:ascii="仿宋_GB2312" w:hAnsi="仿宋_GB2312" w:cs="仿宋_GB2312" w:hint="eastAsia"/>
          <w:sz w:val="32"/>
          <w:szCs w:val="32"/>
        </w:rPr>
        <w:t>报告提交（2022年7月25日前）。撰写完成的绩效评价报告提交乌苏市财政局，并根据乌苏市财政局的安排与预算单位沟通确认。</w:t>
      </w:r>
      <w:bookmarkEnd w:id="68"/>
    </w:p>
    <w:p>
      <w:pPr>
        <w:pStyle w:val="1"/>
        <w:ind w:firstLine="640" w:firstLineChars="200"/>
        <w:outlineLvl w:val="0"/>
        <w:rPr>
          <w:rFonts w:ascii="Times New Roman" w:hAnsi="Times New Roman"/>
          <w:b w:val="0"/>
          <w:bCs/>
        </w:rPr>
      </w:pPr>
      <w:r>
        <w:rPr>
          <w:rFonts w:ascii="Times New Roman" w:hAnsi="Times New Roman" w:hint="eastAsia"/>
          <w:b w:val="0"/>
          <w:bCs/>
        </w:rPr>
        <w:t>三、综合评价情况及评价结论</w:t>
      </w:r>
      <w:bookmarkEnd w:id="36"/>
      <w:r>
        <w:rPr>
          <w:rFonts w:ascii="Times New Roman" w:hAnsi="Times New Roman" w:hint="eastAsia"/>
          <w:b w:val="0"/>
          <w:bCs/>
        </w:rPr>
        <w:t>（附相关评分表）</w:t>
      </w:r>
      <w:bookmarkEnd w:id="61"/>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运用由评价组按相关规定编制并通过主管单位确认的评价指标体系及评分标准，通过基础数据填报、问卷调查和访谈获取的数据，评价组对2022年部分中央财政城镇保障性安居工程补助资金项目进行了独立客观的评价，</w:t>
      </w:r>
      <w:r>
        <w:rPr>
          <w:rFonts w:ascii="仿宋_GB2312" w:eastAsia="仿宋_GB2312" w:hAnsi="仿宋_GB2312" w:cs="仿宋_GB2312" w:hint="eastAsia"/>
          <w:color w:val="000000" w:themeColor="text1"/>
          <w:kern w:val="0"/>
          <w:sz w:val="32"/>
          <w:szCs w:val="32"/>
          <w14:textFill>
            <w14:solidFill>
              <w14:schemeClr w14:val="tx1"/>
            </w14:solidFill>
          </w14:textFill>
        </w:rPr>
        <w:t>最终评分结果为97分，各部分得分情况详见表3-1、表3-2。评分过程详见附件一</w:t>
      </w:r>
      <w:r>
        <w:rPr>
          <w:rFonts w:ascii="仿宋_GB2312" w:eastAsia="仿宋_GB2312" w:hAnsi="仿宋_GB2312" w:cs="仿宋_GB2312" w:hint="eastAsia"/>
          <w:kern w:val="0"/>
          <w:sz w:val="32"/>
          <w:szCs w:val="32"/>
        </w:rPr>
        <w:t>。</w:t>
      </w:r>
    </w:p>
    <w:p>
      <w:pPr>
        <w:pStyle w:val="a"/>
        <w:ind w:firstLine="0" w:firstLineChars="0"/>
        <w:jc w:val="center"/>
        <w:rPr>
          <w:b/>
          <w:sz w:val="22"/>
        </w:rPr>
      </w:pPr>
      <w:r>
        <w:rPr>
          <w:rFonts w:hint="eastAsia"/>
          <w:b/>
          <w:sz w:val="22"/>
        </w:rPr>
        <w:t xml:space="preserve">表3-1 </w:t>
      </w:r>
      <w:r>
        <w:rPr>
          <w:b/>
          <w:sz w:val="22"/>
        </w:rPr>
        <w:t xml:space="preserve"> </w:t>
      </w:r>
      <w:r>
        <w:rPr>
          <w:rFonts w:hint="eastAsia"/>
          <w:b/>
          <w:sz w:val="22"/>
        </w:rPr>
        <w:t>项目指标得分情况汇总表</w:t>
      </w:r>
    </w:p>
    <w:tbl>
      <w:tblPr>
        <w:tblStyle w:val="TableNormal"/>
        <w:tblW w:w="8794" w:type="dxa"/>
        <w:jc w:val="center"/>
        <w:tblInd w:w="0" w:type="dxa"/>
        <w:tblLayout w:type="fixed"/>
        <w:tblCellMar>
          <w:top w:w="0" w:type="dxa"/>
          <w:left w:w="108" w:type="dxa"/>
          <w:bottom w:w="0" w:type="dxa"/>
          <w:right w:w="108" w:type="dxa"/>
        </w:tblCellMar>
      </w:tblPr>
      <w:tblGrid>
        <w:gridCol w:w="2675"/>
        <w:gridCol w:w="2168"/>
        <w:gridCol w:w="1860"/>
        <w:gridCol w:w="2091"/>
      </w:tblGrid>
      <w:tr>
        <w:tblPrEx>
          <w:tblW w:w="8794" w:type="dxa"/>
          <w:jc w:val="center"/>
          <w:tblInd w:w="0" w:type="dxa"/>
          <w:tblLayout w:type="fixed"/>
        </w:tblPrEx>
        <w:trPr>
          <w:trHeight w:val="397"/>
          <w:tblHeader/>
          <w:jc w:val="center"/>
        </w:trPr>
        <w:tc>
          <w:tcPr>
            <w:tcW w:w="2675" w:type="dxa"/>
            <w:tcBorders>
              <w:top w:val="single" w:sz="4" w:space="0" w:color="auto"/>
              <w:left w:val="single" w:sz="4" w:space="0" w:color="auto"/>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一级指标</w:t>
            </w:r>
          </w:p>
        </w:tc>
        <w:tc>
          <w:tcPr>
            <w:tcW w:w="2168" w:type="dxa"/>
            <w:tcBorders>
              <w:top w:val="single" w:sz="4" w:space="0" w:color="auto"/>
              <w:left w:val="nil"/>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权重分</w:t>
            </w:r>
          </w:p>
        </w:tc>
        <w:tc>
          <w:tcPr>
            <w:tcW w:w="1860" w:type="dxa"/>
            <w:tcBorders>
              <w:top w:val="single" w:sz="4" w:space="0" w:color="auto"/>
              <w:left w:val="nil"/>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得分</w:t>
            </w:r>
          </w:p>
        </w:tc>
        <w:tc>
          <w:tcPr>
            <w:tcW w:w="2091" w:type="dxa"/>
            <w:tcBorders>
              <w:top w:val="single" w:sz="4" w:space="0" w:color="auto"/>
              <w:left w:val="nil"/>
              <w:bottom w:val="single" w:sz="4" w:space="0" w:color="auto"/>
              <w:right w:val="single" w:sz="4" w:space="0" w:color="auto"/>
            </w:tcBorders>
            <w:shd w:val="clear" w:color="000000" w:fill="BFBFBF"/>
            <w:vAlign w:val="center"/>
          </w:tcPr>
          <w:p>
            <w:pPr>
              <w:jc w:val="center"/>
              <w:rPr>
                <w:rFonts w:ascii="Times New Roman" w:eastAsia="仿宋_GB2312" w:hAnsi="Times New Roman"/>
                <w:b/>
                <w:bCs/>
                <w:sz w:val="22"/>
              </w:rPr>
            </w:pPr>
            <w:r>
              <w:rPr>
                <w:rFonts w:ascii="Times New Roman" w:eastAsia="仿宋_GB2312" w:hAnsi="Times New Roman" w:hint="eastAsia"/>
                <w:b/>
                <w:bCs/>
                <w:sz w:val="22"/>
              </w:rPr>
              <w:t>得分率</w:t>
            </w:r>
          </w:p>
        </w:tc>
      </w:tr>
      <w:tr>
        <w:tblPrEx>
          <w:tblW w:w="8794" w:type="dxa"/>
          <w:jc w:val="center"/>
          <w:tblInd w:w="0" w:type="dxa"/>
          <w:tblLayout w:type="fixed"/>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项目决策</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60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60</w:t>
            </w:r>
          </w:p>
        </w:tc>
        <w:tc>
          <w:tcPr>
            <w:tcW w:w="2091"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sz w:val="22"/>
              </w:rPr>
            </w:pPr>
            <w:r>
              <w:rPr>
                <w:rFonts w:ascii="Times New Roman" w:eastAsia="仿宋_GB2312" w:hAnsi="Times New Roman" w:hint="eastAsia"/>
                <w:sz w:val="22"/>
              </w:rPr>
              <w:t>100.00%</w:t>
            </w:r>
          </w:p>
        </w:tc>
      </w:tr>
      <w:tr>
        <w:tblPrEx>
          <w:tblW w:w="8794" w:type="dxa"/>
          <w:jc w:val="center"/>
          <w:tblInd w:w="0" w:type="dxa"/>
          <w:tblLayout w:type="fixed"/>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项目管理</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10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10</w:t>
            </w:r>
          </w:p>
        </w:tc>
        <w:tc>
          <w:tcPr>
            <w:tcW w:w="2091"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sz w:val="22"/>
              </w:rPr>
            </w:pPr>
            <w:r>
              <w:rPr>
                <w:rFonts w:ascii="Times New Roman" w:eastAsia="仿宋_GB2312" w:hAnsi="Times New Roman"/>
                <w:sz w:val="22"/>
              </w:rPr>
              <w:t>100.00</w:t>
            </w:r>
            <w:r>
              <w:rPr>
                <w:rFonts w:ascii="Times New Roman" w:eastAsia="仿宋_GB2312" w:hAnsi="Times New Roman" w:hint="eastAsia"/>
                <w:sz w:val="22"/>
              </w:rPr>
              <w:t>%</w:t>
            </w:r>
          </w:p>
        </w:tc>
      </w:tr>
      <w:tr>
        <w:tblPrEx>
          <w:tblW w:w="8794" w:type="dxa"/>
          <w:jc w:val="center"/>
          <w:tblInd w:w="0" w:type="dxa"/>
          <w:tblLayout w:type="fixed"/>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项目绩效</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30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仿宋_GB2312" w:hAnsi="Times New Roman" w:hint="eastAsia"/>
                <w:sz w:val="22"/>
              </w:rPr>
              <w:t>29</w:t>
            </w:r>
          </w:p>
        </w:tc>
        <w:tc>
          <w:tcPr>
            <w:tcW w:w="2091"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sz w:val="22"/>
              </w:rPr>
            </w:pPr>
            <w:r>
              <w:rPr>
                <w:rFonts w:ascii="Times New Roman" w:eastAsia="仿宋_GB2312" w:hAnsi="Times New Roman" w:hint="eastAsia"/>
                <w:sz w:val="22"/>
              </w:rPr>
              <w:t>89.99%</w:t>
            </w:r>
          </w:p>
        </w:tc>
      </w:tr>
      <w:tr>
        <w:tblPrEx>
          <w:tblW w:w="8794" w:type="dxa"/>
          <w:jc w:val="center"/>
          <w:tblInd w:w="0" w:type="dxa"/>
          <w:tblLayout w:type="fixed"/>
        </w:tblPrEx>
        <w:trPr>
          <w:trHeight w:val="397"/>
          <w:jc w:val="center"/>
        </w:trPr>
        <w:tc>
          <w:tcPr>
            <w:tcW w:w="2675" w:type="dxa"/>
            <w:tcBorders>
              <w:top w:val="nil"/>
              <w:left w:val="single" w:sz="4" w:space="0" w:color="auto"/>
              <w:bottom w:val="single" w:sz="4" w:space="0" w:color="auto"/>
              <w:right w:val="single" w:sz="4" w:space="0" w:color="auto"/>
            </w:tcBorders>
            <w:vAlign w:val="center"/>
          </w:tcPr>
          <w:p>
            <w:pPr>
              <w:jc w:val="center"/>
              <w:rPr>
                <w:rFonts w:ascii="Times New Roman" w:eastAsia="仿宋_GB2312" w:hAnsi="Times New Roman" w:cs="宋体"/>
                <w:b/>
                <w:bCs/>
                <w:sz w:val="22"/>
              </w:rPr>
            </w:pPr>
            <w:r>
              <w:rPr>
                <w:rFonts w:ascii="Times New Roman" w:eastAsia="仿宋_GB2312" w:hAnsi="Times New Roman" w:cs="宋体" w:hint="eastAsia"/>
                <w:b/>
                <w:bCs/>
                <w:sz w:val="22"/>
              </w:rPr>
              <w:t>合计</w:t>
            </w:r>
          </w:p>
        </w:tc>
        <w:tc>
          <w:tcPr>
            <w:tcW w:w="2168" w:type="dxa"/>
            <w:tcBorders>
              <w:top w:val="nil"/>
              <w:left w:val="nil"/>
              <w:bottom w:val="single" w:sz="4" w:space="0" w:color="auto"/>
              <w:right w:val="single" w:sz="4" w:space="0" w:color="auto"/>
            </w:tcBorders>
            <w:vAlign w:val="center"/>
          </w:tcPr>
          <w:p>
            <w:pPr>
              <w:jc w:val="center"/>
              <w:rPr>
                <w:rFonts w:ascii="Times New Roman" w:eastAsia="仿宋_GB2312" w:hAnsi="Times New Roman"/>
                <w:b/>
                <w:bCs/>
                <w:sz w:val="22"/>
              </w:rPr>
            </w:pPr>
            <w:r>
              <w:rPr>
                <w:rFonts w:ascii="Times New Roman" w:eastAsia="仿宋_GB2312" w:hAnsi="Times New Roman"/>
                <w:b/>
                <w:bCs/>
                <w:sz w:val="22"/>
              </w:rPr>
              <w:t>100</w:t>
            </w:r>
          </w:p>
        </w:tc>
        <w:tc>
          <w:tcPr>
            <w:tcW w:w="1860" w:type="dxa"/>
            <w:tcBorders>
              <w:top w:val="nil"/>
              <w:left w:val="nil"/>
              <w:bottom w:val="single" w:sz="4" w:space="0" w:color="auto"/>
              <w:right w:val="single" w:sz="4" w:space="0" w:color="auto"/>
            </w:tcBorders>
            <w:vAlign w:val="center"/>
          </w:tcPr>
          <w:p>
            <w:pPr>
              <w:jc w:val="center"/>
              <w:rPr>
                <w:rFonts w:ascii="Times New Roman" w:eastAsia="仿宋_GB2312" w:hAnsi="Times New Roman"/>
                <w:b/>
                <w:bCs/>
                <w:sz w:val="22"/>
              </w:rPr>
            </w:pPr>
            <w:r>
              <w:rPr>
                <w:rFonts w:ascii="Times New Roman" w:eastAsia="等线" w:hAnsi="Times New Roman" w:hint="eastAsia"/>
                <w:b/>
                <w:bCs/>
                <w:color w:val="000000"/>
                <w:kern w:val="0"/>
                <w:sz w:val="22"/>
              </w:rPr>
              <w:t>97</w:t>
            </w:r>
          </w:p>
        </w:tc>
        <w:tc>
          <w:tcPr>
            <w:tcW w:w="2091" w:type="dxa"/>
            <w:tcBorders>
              <w:top w:val="nil"/>
              <w:left w:val="nil"/>
              <w:bottom w:val="single" w:sz="4" w:space="0" w:color="auto"/>
              <w:right w:val="single" w:sz="4" w:space="0" w:color="auto"/>
            </w:tcBorders>
            <w:vAlign w:val="center"/>
          </w:tcPr>
          <w:p>
            <w:pPr>
              <w:jc w:val="center"/>
              <w:rPr>
                <w:rFonts w:ascii="Times New Roman" w:eastAsia="仿宋_GB2312" w:hAnsi="Times New Roman"/>
                <w:sz w:val="22"/>
              </w:rPr>
            </w:pPr>
            <w:r>
              <w:rPr>
                <w:rFonts w:ascii="Times New Roman" w:eastAsia="等线" w:hAnsi="Times New Roman" w:hint="eastAsia"/>
                <w:b/>
                <w:bCs/>
                <w:color w:val="000000"/>
                <w:kern w:val="0"/>
                <w:sz w:val="22"/>
              </w:rPr>
              <w:t>96.66%</w:t>
            </w:r>
          </w:p>
        </w:tc>
      </w:tr>
    </w:tbl>
    <w:p>
      <w:pPr>
        <w:widowControl/>
        <w:overflowPunct w:val="0"/>
        <w:autoSpaceDE w:val="0"/>
        <w:autoSpaceDN w:val="0"/>
        <w:adjustRightInd w:val="0"/>
        <w:spacing w:line="58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各项指标得分情况见下表3-2：</w:t>
      </w:r>
    </w:p>
    <w:p>
      <w:pPr>
        <w:pStyle w:val="a"/>
        <w:ind w:firstLine="0" w:firstLineChars="0"/>
        <w:jc w:val="center"/>
        <w:rPr>
          <w:sz w:val="32"/>
          <w:szCs w:val="32"/>
        </w:rPr>
      </w:pPr>
      <w:r>
        <w:rPr>
          <w:rFonts w:hint="eastAsia"/>
          <w:b/>
          <w:sz w:val="22"/>
        </w:rPr>
        <w:t xml:space="preserve">表3-2 </w:t>
      </w:r>
      <w:r>
        <w:rPr>
          <w:b/>
          <w:sz w:val="22"/>
        </w:rPr>
        <w:t xml:space="preserve"> </w:t>
      </w:r>
      <w:r>
        <w:rPr>
          <w:rFonts w:hint="eastAsia"/>
          <w:b/>
          <w:sz w:val="22"/>
        </w:rPr>
        <w:t>项目指标得分表</w:t>
      </w:r>
    </w:p>
    <w:tbl>
      <w:tblPr>
        <w:tblStyle w:val="TableNormal"/>
        <w:tblW w:w="8838" w:type="dxa"/>
        <w:tblInd w:w="-136" w:type="dxa"/>
        <w:tblLayout w:type="fixed"/>
        <w:tblCellMar>
          <w:top w:w="0" w:type="dxa"/>
          <w:left w:w="108" w:type="dxa"/>
          <w:bottom w:w="0" w:type="dxa"/>
          <w:right w:w="108" w:type="dxa"/>
        </w:tblCellMar>
      </w:tblPr>
      <w:tblGrid>
        <w:gridCol w:w="988"/>
        <w:gridCol w:w="1029"/>
        <w:gridCol w:w="1916"/>
        <w:gridCol w:w="732"/>
        <w:gridCol w:w="1020"/>
        <w:gridCol w:w="975"/>
        <w:gridCol w:w="1148"/>
        <w:gridCol w:w="1030"/>
      </w:tblGrid>
      <w:tr>
        <w:tblPrEx>
          <w:tblW w:w="8838" w:type="dxa"/>
          <w:tblInd w:w="-136" w:type="dxa"/>
          <w:tblLayout w:type="fixed"/>
        </w:tblPrEx>
        <w:trPr>
          <w:trHeight w:val="20"/>
          <w:tblHeader/>
        </w:trPr>
        <w:tc>
          <w:tcPr>
            <w:tcW w:w="988" w:type="dxa"/>
            <w:tcBorders>
              <w:top w:val="single" w:sz="4" w:space="0" w:color="auto"/>
              <w:left w:val="single" w:sz="4" w:space="0" w:color="auto"/>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bookmarkStart w:id="69" w:name="_Toc21266"/>
            <w:r>
              <w:rPr>
                <w:rFonts w:ascii="Times New Roman" w:eastAsia="仿宋_GB2312" w:hAnsi="Times New Roman"/>
                <w:b/>
                <w:bCs/>
                <w:kern w:val="0"/>
                <w:sz w:val="22"/>
              </w:rPr>
              <w:t>一级指标</w:t>
            </w:r>
          </w:p>
        </w:tc>
        <w:tc>
          <w:tcPr>
            <w:tcW w:w="1029"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二级</w:t>
            </w:r>
          </w:p>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指标</w:t>
            </w:r>
          </w:p>
        </w:tc>
        <w:tc>
          <w:tcPr>
            <w:tcW w:w="1916"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三级指标</w:t>
            </w:r>
          </w:p>
        </w:tc>
        <w:tc>
          <w:tcPr>
            <w:tcW w:w="732"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权重</w:t>
            </w:r>
          </w:p>
        </w:tc>
        <w:tc>
          <w:tcPr>
            <w:tcW w:w="1020"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标杆值</w:t>
            </w:r>
          </w:p>
        </w:tc>
        <w:tc>
          <w:tcPr>
            <w:tcW w:w="975"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业绩值</w:t>
            </w:r>
          </w:p>
        </w:tc>
        <w:tc>
          <w:tcPr>
            <w:tcW w:w="11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hint="eastAsia"/>
                <w:b/>
                <w:bCs/>
                <w:kern w:val="0"/>
                <w:sz w:val="22"/>
              </w:rPr>
              <w:t>实际得分</w:t>
            </w:r>
          </w:p>
        </w:tc>
        <w:tc>
          <w:tcPr>
            <w:tcW w:w="1030" w:type="dxa"/>
            <w:tcBorders>
              <w:top w:val="single" w:sz="4" w:space="0" w:color="auto"/>
              <w:left w:val="single" w:sz="4" w:space="0" w:color="auto"/>
              <w:bottom w:val="single" w:sz="4" w:space="0" w:color="auto"/>
              <w:right w:val="single" w:sz="4" w:space="0" w:color="auto"/>
            </w:tcBorders>
            <w:shd w:val="clear" w:color="000000" w:fill="BEBEBE"/>
            <w:vAlign w:val="center"/>
          </w:tcPr>
          <w:p>
            <w:pPr>
              <w:widowControl/>
              <w:jc w:val="center"/>
              <w:rPr>
                <w:rFonts w:ascii="Times New Roman" w:eastAsia="仿宋_GB2312" w:hAnsi="Times New Roman"/>
                <w:b/>
                <w:bCs/>
                <w:kern w:val="0"/>
                <w:sz w:val="22"/>
              </w:rPr>
            </w:pPr>
            <w:r>
              <w:rPr>
                <w:rFonts w:ascii="Times New Roman" w:eastAsia="仿宋_GB2312" w:hAnsi="Times New Roman" w:hint="eastAsia"/>
                <w:b/>
                <w:bCs/>
                <w:kern w:val="0"/>
                <w:sz w:val="22"/>
              </w:rPr>
              <w:t>得分率</w:t>
            </w:r>
          </w:p>
        </w:tc>
      </w:tr>
      <w:tr>
        <w:tblPrEx>
          <w:tblW w:w="8838" w:type="dxa"/>
          <w:tblInd w:w="-136" w:type="dxa"/>
          <w:tblLayout w:type="fixed"/>
        </w:tblPrEx>
        <w:trPr>
          <w:trHeight w:val="20"/>
        </w:trPr>
        <w:tc>
          <w:tcPr>
            <w:tcW w:w="988"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A项目决策（</w:t>
            </w:r>
            <w:r>
              <w:rPr>
                <w:rFonts w:ascii="Times New Roman" w:eastAsia="仿宋_GB2312" w:hAnsi="Times New Roman" w:hint="eastAsia"/>
                <w:kern w:val="0"/>
                <w:sz w:val="22"/>
              </w:rPr>
              <w:t>60</w:t>
            </w:r>
            <w:r>
              <w:rPr>
                <w:rFonts w:ascii="Times New Roman" w:eastAsia="仿宋_GB2312" w:hAnsi="Times New Roman"/>
                <w:kern w:val="0"/>
                <w:sz w:val="22"/>
              </w:rPr>
              <w:t>）</w:t>
            </w:r>
          </w:p>
        </w:tc>
        <w:tc>
          <w:tcPr>
            <w:tcW w:w="1029" w:type="dxa"/>
            <w:vMerge w:val="restart"/>
            <w:tcBorders>
              <w:top w:val="nil"/>
              <w:left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A1</w:t>
            </w:r>
            <w:r>
              <w:rPr>
                <w:rFonts w:ascii="Times New Roman" w:eastAsia="仿宋_GB2312" w:hAnsi="Times New Roman" w:hint="eastAsia"/>
                <w:kern w:val="0"/>
                <w:sz w:val="22"/>
              </w:rPr>
              <w:t>决策依据</w:t>
            </w:r>
            <w:r>
              <w:rPr>
                <w:rFonts w:ascii="Times New Roman" w:eastAsia="仿宋_GB2312" w:hAnsi="Times New Roman"/>
                <w:kern w:val="0"/>
                <w:sz w:val="22"/>
              </w:rPr>
              <w:t>（</w:t>
            </w:r>
            <w:r>
              <w:rPr>
                <w:rFonts w:ascii="Times New Roman" w:eastAsia="仿宋_GB2312" w:hAnsi="Times New Roman" w:hint="eastAsia"/>
                <w:kern w:val="0"/>
                <w:sz w:val="22"/>
              </w:rPr>
              <w:t>50</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A101 </w:t>
            </w:r>
            <w:r>
              <w:rPr>
                <w:rFonts w:ascii="Times New Roman" w:eastAsia="仿宋_GB2312" w:hAnsi="Times New Roman" w:hint="eastAsia"/>
                <w:kern w:val="0"/>
                <w:sz w:val="22"/>
              </w:rPr>
              <w:t>合规性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合规</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合规</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等线" w:hAnsi="Times New Roman"/>
                <w:sz w:val="22"/>
              </w:rPr>
              <w:t>100.00%</w:t>
            </w:r>
          </w:p>
        </w:tc>
      </w:tr>
      <w:tr>
        <w:tblPrEx>
          <w:tblW w:w="8838" w:type="dxa"/>
          <w:tblInd w:w="-136" w:type="dxa"/>
          <w:tblLayout w:type="fixed"/>
        </w:tblPrEx>
        <w:trPr>
          <w:trHeight w:val="635"/>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vMerge/>
            <w:tcBorders>
              <w:left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A102 </w:t>
            </w:r>
            <w:r>
              <w:rPr>
                <w:rFonts w:ascii="Times New Roman" w:eastAsia="仿宋_GB2312" w:hAnsi="Times New Roman" w:hint="eastAsia"/>
                <w:kern w:val="0"/>
                <w:sz w:val="22"/>
              </w:rPr>
              <w:t>科学性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科学</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科学</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10.00</w:t>
            </w:r>
          </w:p>
        </w:tc>
        <w:tc>
          <w:tcPr>
            <w:tcW w:w="1030" w:type="dxa"/>
            <w:tcBorders>
              <w:top w:val="nil"/>
              <w:left w:val="single" w:sz="4" w:space="0" w:color="auto"/>
              <w:bottom w:val="single" w:sz="4" w:space="0" w:color="auto"/>
              <w:right w:val="single" w:sz="4" w:space="0" w:color="auto"/>
            </w:tcBorders>
            <w:vAlign w:val="center"/>
          </w:tcPr>
          <w:p>
            <w:pPr>
              <w:widowControl/>
              <w:rPr>
                <w:rFonts w:ascii="Times New Roman" w:eastAsia="仿宋_GB2312" w:hAnsi="Times New Roman"/>
                <w:kern w:val="0"/>
                <w:sz w:val="22"/>
              </w:rPr>
            </w:pPr>
            <w:r>
              <w:rPr>
                <w:rFonts w:ascii="Times New Roman" w:eastAsia="等线" w:hAnsi="Times New Roman"/>
                <w:sz w:val="22"/>
              </w:rPr>
              <w:t>100.00%</w:t>
            </w:r>
          </w:p>
        </w:tc>
      </w:tr>
      <w:tr>
        <w:tblPrEx>
          <w:tblW w:w="8838" w:type="dxa"/>
          <w:tblInd w:w="-136" w:type="dxa"/>
          <w:tblLayout w:type="fixed"/>
        </w:tblPrEx>
        <w:trPr>
          <w:trHeight w:val="635"/>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vMerge/>
            <w:tcBorders>
              <w:left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hint="eastAsia"/>
                <w:kern w:val="0"/>
                <w:sz w:val="22"/>
              </w:rPr>
              <w:t>A103 可行性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可行</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可行</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10.00</w:t>
            </w:r>
          </w:p>
        </w:tc>
        <w:tc>
          <w:tcPr>
            <w:tcW w:w="1030" w:type="dxa"/>
            <w:tcBorders>
              <w:top w:val="nil"/>
              <w:left w:val="single" w:sz="4" w:space="0" w:color="auto"/>
              <w:bottom w:val="single" w:sz="4" w:space="0" w:color="auto"/>
              <w:right w:val="single" w:sz="4" w:space="0" w:color="auto"/>
            </w:tcBorders>
            <w:vAlign w:val="center"/>
          </w:tcPr>
          <w:p>
            <w:pPr>
              <w:widowControl/>
              <w:rPr>
                <w:rFonts w:ascii="Times New Roman" w:eastAsia="等线" w:hAnsi="Times New Roman"/>
                <w:sz w:val="22"/>
              </w:rPr>
            </w:pPr>
            <w:r>
              <w:rPr>
                <w:rFonts w:ascii="Times New Roman" w:eastAsia="等线" w:hAnsi="Times New Roman" w:hint="eastAsia"/>
                <w:sz w:val="22"/>
              </w:rPr>
              <w:t>100.00%</w:t>
            </w:r>
          </w:p>
        </w:tc>
      </w:tr>
      <w:tr>
        <w:tblPrEx>
          <w:tblW w:w="8838" w:type="dxa"/>
          <w:tblInd w:w="-136" w:type="dxa"/>
          <w:tblLayout w:type="fixed"/>
        </w:tblPrEx>
        <w:trPr>
          <w:trHeight w:val="635"/>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vMerge/>
            <w:tcBorders>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hint="eastAsia"/>
                <w:kern w:val="0"/>
                <w:sz w:val="22"/>
              </w:rPr>
              <w:t>A104 必要性</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必要</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 xml:space="preserve">必要 </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15</w:t>
            </w:r>
          </w:p>
        </w:tc>
        <w:tc>
          <w:tcPr>
            <w:tcW w:w="1030" w:type="dxa"/>
            <w:tcBorders>
              <w:top w:val="nil"/>
              <w:left w:val="single" w:sz="4" w:space="0" w:color="auto"/>
              <w:bottom w:val="single" w:sz="4" w:space="0" w:color="auto"/>
              <w:right w:val="single" w:sz="4" w:space="0" w:color="auto"/>
            </w:tcBorders>
            <w:vAlign w:val="center"/>
          </w:tcPr>
          <w:p>
            <w:pPr>
              <w:widowControl/>
              <w:rPr>
                <w:rFonts w:ascii="Times New Roman" w:eastAsia="等线" w:hAnsi="Times New Roman"/>
                <w:sz w:val="22"/>
              </w:rPr>
            </w:pPr>
            <w:r>
              <w:rPr>
                <w:rFonts w:ascii="Times New Roman" w:eastAsia="等线" w:hAnsi="Times New Roman" w:hint="eastAsia"/>
                <w:sz w:val="22"/>
              </w:rPr>
              <w:t>100.00%</w:t>
            </w:r>
          </w:p>
        </w:tc>
      </w:tr>
      <w:tr>
        <w:tblPrEx>
          <w:tblW w:w="8838" w:type="dxa"/>
          <w:tblInd w:w="-136" w:type="dxa"/>
          <w:tblLayout w:type="fixed"/>
        </w:tblPrEx>
        <w:trPr>
          <w:trHeight w:val="20"/>
        </w:trPr>
        <w:tc>
          <w:tcPr>
            <w:tcW w:w="988"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A2 </w:t>
            </w:r>
            <w:r>
              <w:rPr>
                <w:rFonts w:ascii="Times New Roman" w:eastAsia="仿宋_GB2312" w:hAnsi="Times New Roman" w:hint="eastAsia"/>
                <w:kern w:val="0"/>
                <w:sz w:val="22"/>
              </w:rPr>
              <w:t>申报材料</w:t>
            </w:r>
            <w:r>
              <w:rPr>
                <w:rFonts w:ascii="Times New Roman" w:eastAsia="仿宋_GB2312" w:hAnsi="Times New Roman"/>
                <w:kern w:val="0"/>
                <w:sz w:val="22"/>
              </w:rPr>
              <w:t>（</w:t>
            </w:r>
            <w:r>
              <w:rPr>
                <w:rFonts w:ascii="Times New Roman" w:eastAsia="仿宋_GB2312" w:hAnsi="Times New Roman" w:hint="eastAsia"/>
                <w:kern w:val="0"/>
                <w:sz w:val="22"/>
              </w:rPr>
              <w:t>10</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A201 </w:t>
            </w:r>
            <w:r>
              <w:rPr>
                <w:rFonts w:ascii="Times New Roman" w:eastAsia="仿宋_GB2312" w:hAnsi="Times New Roman" w:hint="eastAsia"/>
                <w:kern w:val="0"/>
                <w:sz w:val="22"/>
              </w:rPr>
              <w:t>材料质量</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10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真实、规范、完整</w:t>
            </w:r>
            <w:r>
              <w:rPr>
                <w:rFonts w:ascii="Times New Roman" w:eastAsia="仿宋_GB2312" w:hAnsi="Times New Roman" w:hint="eastAsia"/>
                <w:kern w:val="0"/>
                <w:sz w:val="22"/>
              </w:rPr>
              <w:t>及</w:t>
            </w:r>
            <w:r>
              <w:rPr>
                <w:rFonts w:ascii="Times New Roman" w:eastAsia="仿宋_GB2312" w:hAnsi="Times New Roman" w:hint="eastAsia"/>
                <w:kern w:val="0"/>
                <w:sz w:val="22"/>
              </w:rPr>
              <w:t>时</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真实、规范、完整</w:t>
            </w:r>
            <w:r>
              <w:rPr>
                <w:rFonts w:ascii="Times New Roman" w:eastAsia="仿宋_GB2312" w:hAnsi="Times New Roman" w:hint="eastAsia"/>
                <w:kern w:val="0"/>
                <w:sz w:val="22"/>
              </w:rPr>
              <w:t>及</w:t>
            </w:r>
            <w:r>
              <w:rPr>
                <w:rFonts w:ascii="Times New Roman" w:eastAsia="仿宋_GB2312" w:hAnsi="Times New Roman" w:hint="eastAsia"/>
                <w:kern w:val="0"/>
                <w:sz w:val="22"/>
              </w:rPr>
              <w:t>时</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100</w:t>
            </w:r>
            <w:r>
              <w:rPr>
                <w:rFonts w:ascii="Times New Roman" w:eastAsia="等线" w:hAnsi="Times New Roman"/>
                <w:color w:val="000000"/>
                <w:kern w:val="0"/>
                <w:sz w:val="22"/>
              </w:rPr>
              <w:t>.00%</w:t>
            </w:r>
          </w:p>
        </w:tc>
      </w:tr>
      <w:tr>
        <w:tblPrEx>
          <w:tblW w:w="8838" w:type="dxa"/>
          <w:tblInd w:w="-136" w:type="dxa"/>
          <w:tblLayout w:type="fixed"/>
        </w:tblPrEx>
        <w:trPr>
          <w:trHeight w:val="645"/>
        </w:trPr>
        <w:tc>
          <w:tcPr>
            <w:tcW w:w="988"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B 项目管理（1</w:t>
            </w:r>
            <w:r>
              <w:rPr>
                <w:rFonts w:ascii="Times New Roman" w:eastAsia="仿宋_GB2312" w:hAnsi="Times New Roman" w:hint="eastAsia"/>
                <w:kern w:val="0"/>
                <w:sz w:val="22"/>
              </w:rPr>
              <w:t>0</w:t>
            </w:r>
            <w:r>
              <w:rPr>
                <w:rFonts w:ascii="Times New Roman" w:eastAsia="仿宋_GB2312" w:hAnsi="Times New Roman"/>
                <w:kern w:val="0"/>
                <w:sz w:val="22"/>
              </w:rPr>
              <w:t>）</w:t>
            </w:r>
          </w:p>
        </w:tc>
        <w:tc>
          <w:tcPr>
            <w:tcW w:w="1029"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B1 </w:t>
            </w:r>
            <w:r>
              <w:rPr>
                <w:rFonts w:ascii="Times New Roman" w:eastAsia="仿宋_GB2312" w:hAnsi="Times New Roman" w:hint="eastAsia"/>
                <w:kern w:val="0"/>
                <w:sz w:val="22"/>
              </w:rPr>
              <w:t>资金管理</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B101 </w:t>
            </w:r>
            <w:r>
              <w:rPr>
                <w:rFonts w:ascii="Times New Roman" w:eastAsia="仿宋_GB2312" w:hAnsi="Times New Roman" w:hint="eastAsia"/>
                <w:kern w:val="0"/>
                <w:sz w:val="22"/>
              </w:rPr>
              <w:t>财务管理</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健全</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健全</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color w:val="000000"/>
                <w:kern w:val="0"/>
                <w:sz w:val="22"/>
              </w:rPr>
              <w:t>100.00%</w:t>
            </w:r>
          </w:p>
        </w:tc>
      </w:tr>
      <w:tr>
        <w:tblPrEx>
          <w:tblW w:w="8838" w:type="dxa"/>
          <w:tblInd w:w="-136" w:type="dxa"/>
          <w:tblLayout w:type="fixed"/>
        </w:tblPrEx>
        <w:trPr>
          <w:trHeight w:val="20"/>
        </w:trPr>
        <w:tc>
          <w:tcPr>
            <w:tcW w:w="988" w:type="dxa"/>
            <w:vMerge/>
            <w:tcBorders>
              <w:top w:val="single" w:sz="4" w:space="0" w:color="auto"/>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B2 </w:t>
            </w:r>
            <w:r>
              <w:rPr>
                <w:rFonts w:ascii="Times New Roman" w:eastAsia="仿宋_GB2312" w:hAnsi="Times New Roman" w:hint="eastAsia"/>
                <w:kern w:val="0"/>
                <w:sz w:val="22"/>
              </w:rPr>
              <w:t>组织实施</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916" w:type="dxa"/>
            <w:tcBorders>
              <w:top w:val="nil"/>
              <w:left w:val="nil"/>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kern w:val="0"/>
                <w:sz w:val="22"/>
              </w:rPr>
              <w:t xml:space="preserve">B201 </w:t>
            </w:r>
            <w:r>
              <w:rPr>
                <w:rFonts w:ascii="Times New Roman" w:eastAsia="仿宋_GB2312" w:hAnsi="Times New Roman" w:hint="eastAsia"/>
                <w:kern w:val="0"/>
                <w:sz w:val="22"/>
              </w:rPr>
              <w:t>制度建设</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是否设立</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是</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r>
              <w:rPr>
                <w:rFonts w:ascii="Times New Roman" w:eastAsia="等线" w:hAnsi="Times New Roman"/>
                <w:color w:val="000000"/>
                <w:kern w:val="0"/>
                <w:sz w:val="22"/>
              </w:rPr>
              <w:t>.00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color w:val="000000"/>
                <w:kern w:val="0"/>
                <w:sz w:val="22"/>
              </w:rPr>
              <w:t>100.00%</w:t>
            </w:r>
          </w:p>
        </w:tc>
      </w:tr>
      <w:tr>
        <w:tblPrEx>
          <w:tblW w:w="8838" w:type="dxa"/>
          <w:tblInd w:w="-136" w:type="dxa"/>
          <w:tblLayout w:type="fixed"/>
        </w:tblPrEx>
        <w:trPr>
          <w:trHeight w:val="20"/>
        </w:trPr>
        <w:tc>
          <w:tcPr>
            <w:tcW w:w="988" w:type="dxa"/>
            <w:vMerge w:val="restart"/>
            <w:tcBorders>
              <w:top w:val="single" w:sz="4" w:space="0" w:color="auto"/>
              <w:left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C项目绩</w:t>
            </w:r>
            <w:r>
              <w:rPr>
                <w:rFonts w:ascii="Times New Roman" w:eastAsia="仿宋_GB2312" w:hAnsi="Times New Roman" w:hint="eastAsia"/>
                <w:kern w:val="0"/>
                <w:sz w:val="22"/>
              </w:rPr>
              <w:t>效</w:t>
            </w:r>
            <w:r>
              <w:rPr>
                <w:rFonts w:ascii="Times New Roman" w:eastAsia="仿宋_GB2312" w:hAnsi="Times New Roman"/>
                <w:kern w:val="0"/>
                <w:sz w:val="22"/>
              </w:rPr>
              <w:t>（</w:t>
            </w:r>
            <w:r>
              <w:rPr>
                <w:rFonts w:ascii="Times New Roman" w:eastAsia="仿宋_GB2312" w:hAnsi="Times New Roman" w:hint="eastAsia"/>
                <w:kern w:val="0"/>
                <w:sz w:val="22"/>
              </w:rPr>
              <w:t>3</w:t>
            </w:r>
            <w:r>
              <w:rPr>
                <w:rFonts w:ascii="Times New Roman" w:eastAsia="仿宋_GB2312" w:hAnsi="Times New Roman"/>
                <w:kern w:val="0"/>
                <w:sz w:val="22"/>
              </w:rPr>
              <w:t>0）</w:t>
            </w:r>
          </w:p>
        </w:tc>
        <w:tc>
          <w:tcPr>
            <w:tcW w:w="1029" w:type="dxa"/>
            <w:tcBorders>
              <w:top w:val="nil"/>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 xml:space="preserve">C1 </w:t>
            </w:r>
            <w:r>
              <w:rPr>
                <w:rFonts w:ascii="Times New Roman" w:eastAsia="仿宋_GB2312" w:hAnsi="Times New Roman" w:hint="eastAsia"/>
                <w:kern w:val="0"/>
                <w:sz w:val="22"/>
              </w:rPr>
              <w:t>绩效目标</w:t>
            </w:r>
            <w:r>
              <w:rPr>
                <w:rFonts w:ascii="Times New Roman" w:eastAsia="仿宋_GB2312" w:hAnsi="Times New Roman"/>
                <w:kern w:val="0"/>
                <w:sz w:val="22"/>
              </w:rPr>
              <w:t>（</w:t>
            </w:r>
            <w:r>
              <w:rPr>
                <w:rFonts w:ascii="Times New Roman" w:eastAsia="仿宋_GB2312" w:hAnsi="Times New Roman" w:hint="eastAsia"/>
                <w:kern w:val="0"/>
                <w:sz w:val="22"/>
              </w:rPr>
              <w:t>1</w:t>
            </w:r>
            <w:r>
              <w:rPr>
                <w:rFonts w:ascii="Times New Roman" w:eastAsia="仿宋_GB2312" w:hAnsi="Times New Roman"/>
                <w:kern w:val="0"/>
                <w:sz w:val="22"/>
              </w:rPr>
              <w:t>5）</w:t>
            </w:r>
          </w:p>
        </w:tc>
        <w:tc>
          <w:tcPr>
            <w:tcW w:w="1916" w:type="dxa"/>
            <w:tcBorders>
              <w:top w:val="nil"/>
              <w:left w:val="nil"/>
              <w:bottom w:val="single" w:sz="4" w:space="0" w:color="auto"/>
              <w:right w:val="single" w:sz="4" w:space="0" w:color="auto"/>
            </w:tcBorders>
            <w:vAlign w:val="center"/>
          </w:tcPr>
          <w:p>
            <w:pPr>
              <w:widowControl/>
              <w:rPr>
                <w:rFonts w:ascii="Times New Roman" w:eastAsia="仿宋_GB2312" w:hAnsi="Times New Roman"/>
                <w:kern w:val="0"/>
                <w:sz w:val="22"/>
              </w:rPr>
            </w:pPr>
            <w:r>
              <w:rPr>
                <w:rFonts w:ascii="Times New Roman" w:eastAsia="仿宋_GB2312" w:hAnsi="Times New Roman"/>
                <w:kern w:val="0"/>
                <w:sz w:val="22"/>
              </w:rPr>
              <w:t>C101</w:t>
            </w:r>
            <w:r>
              <w:rPr>
                <w:rFonts w:ascii="Times New Roman" w:eastAsia="仿宋_GB2312" w:hAnsi="Times New Roman" w:hint="eastAsia"/>
                <w:color w:val="000000"/>
                <w:kern w:val="0"/>
                <w:szCs w:val="21"/>
                <w:lang w:bidi="ar"/>
              </w:rPr>
              <w:t>目标质量效益</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color w:val="000000"/>
                <w:kern w:val="0"/>
                <w:szCs w:val="21"/>
                <w:lang w:bidi="ar"/>
              </w:rPr>
              <w:t>各阶段目标明确、科学</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color w:val="000000"/>
                <w:kern w:val="0"/>
                <w:szCs w:val="21"/>
                <w:lang w:bidi="ar"/>
              </w:rPr>
              <w:t>各阶段目标明确、科学</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13.00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86.66</w:t>
            </w:r>
            <w:r>
              <w:rPr>
                <w:rFonts w:ascii="Times New Roman" w:eastAsia="等线" w:hAnsi="Times New Roman"/>
                <w:color w:val="000000"/>
                <w:kern w:val="0"/>
                <w:sz w:val="22"/>
              </w:rPr>
              <w:t>%</w:t>
            </w:r>
          </w:p>
        </w:tc>
      </w:tr>
      <w:tr>
        <w:tblPrEx>
          <w:tblW w:w="8838" w:type="dxa"/>
          <w:tblInd w:w="-136" w:type="dxa"/>
          <w:tblLayout w:type="fixed"/>
        </w:tblPrEx>
        <w:trPr>
          <w:trHeight w:val="20"/>
        </w:trPr>
        <w:tc>
          <w:tcPr>
            <w:tcW w:w="988" w:type="dxa"/>
            <w:vMerge/>
            <w:tcBorders>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p>
        </w:tc>
        <w:tc>
          <w:tcPr>
            <w:tcW w:w="1029" w:type="dxa"/>
            <w:tcBorders>
              <w:top w:val="single" w:sz="4" w:space="0" w:color="auto"/>
              <w:left w:val="single" w:sz="4" w:space="0" w:color="auto"/>
              <w:bottom w:val="single" w:sz="4" w:space="0" w:color="auto"/>
              <w:right w:val="single" w:sz="4" w:space="0" w:color="auto"/>
            </w:tcBorders>
            <w:vAlign w:val="center"/>
          </w:tcPr>
          <w:p>
            <w:pPr>
              <w:widowControl/>
              <w:jc w:val="left"/>
              <w:rPr>
                <w:rFonts w:ascii="Times New Roman" w:eastAsia="仿宋_GB2312" w:hAnsi="Times New Roman"/>
                <w:kern w:val="0"/>
                <w:sz w:val="22"/>
              </w:rPr>
            </w:pPr>
            <w:r>
              <w:rPr>
                <w:rFonts w:ascii="Times New Roman" w:eastAsia="仿宋_GB2312" w:hAnsi="Times New Roman" w:hint="eastAsia"/>
                <w:kern w:val="0"/>
                <w:sz w:val="22"/>
              </w:rPr>
              <w:t>C2 预期绩效结果(15)</w:t>
            </w:r>
          </w:p>
        </w:tc>
        <w:tc>
          <w:tcPr>
            <w:tcW w:w="1916" w:type="dxa"/>
            <w:tcBorders>
              <w:top w:val="nil"/>
              <w:left w:val="nil"/>
              <w:bottom w:val="single" w:sz="4" w:space="0" w:color="auto"/>
              <w:right w:val="single" w:sz="4" w:space="0" w:color="auto"/>
            </w:tcBorders>
            <w:vAlign w:val="center"/>
          </w:tcPr>
          <w:p>
            <w:pPr>
              <w:widowControl/>
              <w:rPr>
                <w:rFonts w:ascii="Times New Roman" w:eastAsia="仿宋_GB2312" w:hAnsi="Times New Roman"/>
                <w:kern w:val="0"/>
                <w:sz w:val="22"/>
              </w:rPr>
            </w:pPr>
            <w:r>
              <w:rPr>
                <w:rFonts w:ascii="Times New Roman" w:eastAsia="仿宋_GB2312" w:hAnsi="Times New Roman"/>
                <w:kern w:val="0"/>
                <w:sz w:val="22"/>
              </w:rPr>
              <w:t>C2</w:t>
            </w:r>
            <w:r>
              <w:rPr>
                <w:rFonts w:ascii="Times New Roman" w:eastAsia="仿宋_GB2312" w:hAnsi="Times New Roman" w:hint="eastAsia"/>
                <w:kern w:val="0"/>
                <w:sz w:val="22"/>
              </w:rPr>
              <w:t xml:space="preserve">01 </w:t>
            </w:r>
            <w:r>
              <w:rPr>
                <w:rFonts w:ascii="Times New Roman" w:eastAsia="仿宋_GB2312" w:hAnsi="Times New Roman" w:cs="仿宋" w:hint="eastAsia"/>
                <w:color w:val="000000"/>
                <w:szCs w:val="21"/>
              </w:rPr>
              <w:t>效益类产出</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color w:val="000000"/>
                <w:kern w:val="0"/>
                <w:szCs w:val="21"/>
                <w:lang w:bidi="ar"/>
              </w:rPr>
              <w:t>是否带来相关效益</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kern w:val="0"/>
                <w:sz w:val="22"/>
              </w:rPr>
            </w:pPr>
            <w:r>
              <w:rPr>
                <w:rFonts w:ascii="Times New Roman" w:eastAsia="仿宋_GB2312" w:hAnsi="Times New Roman" w:hint="eastAsia"/>
                <w:kern w:val="0"/>
                <w:sz w:val="22"/>
              </w:rPr>
              <w:t>是</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color w:val="000000"/>
                <w:kern w:val="0"/>
                <w:sz w:val="22"/>
              </w:rPr>
              <w:t>1</w:t>
            </w:r>
            <w:r>
              <w:rPr>
                <w:rFonts w:ascii="Times New Roman" w:eastAsia="等线" w:hAnsi="Times New Roman" w:hint="eastAsia"/>
                <w:color w:val="000000"/>
                <w:kern w:val="0"/>
                <w:sz w:val="22"/>
              </w:rPr>
              <w:t>4.00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93.33%</w:t>
            </w:r>
          </w:p>
        </w:tc>
      </w:tr>
      <w:tr>
        <w:tblPrEx>
          <w:tblW w:w="8838" w:type="dxa"/>
          <w:tblInd w:w="-136" w:type="dxa"/>
          <w:tblLayout w:type="fixed"/>
        </w:tblPrEx>
        <w:trPr>
          <w:trHeight w:val="20"/>
        </w:trPr>
        <w:tc>
          <w:tcPr>
            <w:tcW w:w="3933" w:type="dxa"/>
            <w:gridSpan w:val="3"/>
            <w:tcBorders>
              <w:top w:val="single" w:sz="4" w:space="0" w:color="auto"/>
              <w:left w:val="single" w:sz="4" w:space="0" w:color="auto"/>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总分</w:t>
            </w:r>
          </w:p>
        </w:tc>
        <w:tc>
          <w:tcPr>
            <w:tcW w:w="732"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100</w:t>
            </w:r>
          </w:p>
        </w:tc>
        <w:tc>
          <w:tcPr>
            <w:tcW w:w="1020"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w:t>
            </w:r>
          </w:p>
        </w:tc>
        <w:tc>
          <w:tcPr>
            <w:tcW w:w="975" w:type="dxa"/>
            <w:tcBorders>
              <w:top w:val="nil"/>
              <w:left w:val="nil"/>
              <w:bottom w:val="single" w:sz="4" w:space="0" w:color="auto"/>
              <w:right w:val="single" w:sz="4" w:space="0" w:color="auto"/>
            </w:tcBorders>
            <w:vAlign w:val="center"/>
          </w:tcPr>
          <w:p>
            <w:pPr>
              <w:widowControl/>
              <w:jc w:val="center"/>
              <w:rPr>
                <w:rFonts w:ascii="Times New Roman" w:eastAsia="仿宋_GB2312" w:hAnsi="Times New Roman"/>
                <w:b/>
                <w:bCs/>
                <w:kern w:val="0"/>
                <w:sz w:val="22"/>
              </w:rPr>
            </w:pPr>
            <w:r>
              <w:rPr>
                <w:rFonts w:ascii="Times New Roman" w:eastAsia="仿宋_GB2312" w:hAnsi="Times New Roman"/>
                <w:b/>
                <w:bCs/>
                <w:kern w:val="0"/>
                <w:sz w:val="22"/>
              </w:rPr>
              <w:t>-</w:t>
            </w:r>
          </w:p>
        </w:tc>
        <w:tc>
          <w:tcPr>
            <w:tcW w:w="1148" w:type="dxa"/>
            <w:tcBorders>
              <w:top w:val="single" w:sz="4" w:space="0" w:color="auto"/>
              <w:left w:val="nil"/>
              <w:bottom w:val="single" w:sz="4" w:space="0" w:color="auto"/>
              <w:right w:val="single" w:sz="4" w:space="0" w:color="auto"/>
            </w:tcBorders>
            <w:vAlign w:val="center"/>
          </w:tcPr>
          <w:p>
            <w:pPr>
              <w:widowControl/>
              <w:jc w:val="center"/>
              <w:rPr>
                <w:rFonts w:ascii="Times New Roman" w:eastAsia="等线" w:hAnsi="Times New Roman"/>
                <w:b/>
                <w:bCs/>
                <w:color w:val="000000"/>
                <w:kern w:val="0"/>
                <w:sz w:val="22"/>
              </w:rPr>
            </w:pPr>
            <w:r>
              <w:rPr>
                <w:rFonts w:ascii="Times New Roman" w:eastAsia="等线" w:hAnsi="Times New Roman" w:hint="eastAsia"/>
                <w:b/>
                <w:bCs/>
                <w:color w:val="000000"/>
                <w:kern w:val="0"/>
                <w:sz w:val="22"/>
              </w:rPr>
              <w:t>97</w:t>
            </w:r>
            <w:r>
              <w:rPr>
                <w:rFonts w:ascii="Times New Roman" w:eastAsia="等线" w:hAnsi="Times New Roman"/>
                <w:b/>
                <w:bCs/>
                <w:color w:val="000000"/>
                <w:kern w:val="0"/>
                <w:sz w:val="22"/>
              </w:rPr>
              <w:t>.</w:t>
            </w:r>
            <w:r>
              <w:rPr>
                <w:rFonts w:ascii="Times New Roman" w:eastAsia="等线" w:hAnsi="Times New Roman" w:hint="eastAsia"/>
                <w:b/>
                <w:bCs/>
                <w:color w:val="000000"/>
                <w:kern w:val="0"/>
                <w:sz w:val="22"/>
              </w:rPr>
              <w:t>0</w:t>
            </w:r>
            <w:r>
              <w:rPr>
                <w:rFonts w:ascii="Times New Roman" w:eastAsia="等线" w:hAnsi="Times New Roman"/>
                <w:b/>
                <w:bCs/>
                <w:color w:val="000000"/>
                <w:kern w:val="0"/>
                <w:sz w:val="22"/>
              </w:rPr>
              <w:t>0</w:t>
            </w:r>
          </w:p>
        </w:tc>
        <w:tc>
          <w:tcPr>
            <w:tcW w:w="1030"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b/>
                <w:bCs/>
                <w:color w:val="000000"/>
                <w:kern w:val="0"/>
                <w:sz w:val="22"/>
              </w:rPr>
            </w:pPr>
            <w:r>
              <w:rPr>
                <w:rFonts w:ascii="Times New Roman" w:eastAsia="等线" w:hAnsi="Times New Roman" w:hint="eastAsia"/>
                <w:b/>
                <w:bCs/>
                <w:color w:val="000000"/>
                <w:kern w:val="0"/>
                <w:sz w:val="22"/>
              </w:rPr>
              <w:t>97.77%</w:t>
            </w:r>
          </w:p>
        </w:tc>
      </w:tr>
      <w:bookmarkEnd w:id="69"/>
    </w:tbl>
    <w:p>
      <w:pPr>
        <w:pStyle w:val="1"/>
        <w:spacing w:line="560" w:lineRule="atLeast"/>
        <w:ind w:firstLine="640" w:firstLineChars="200"/>
        <w:outlineLvl w:val="0"/>
        <w:rPr>
          <w:rFonts w:ascii="Times New Roman" w:hAnsi="Times New Roman"/>
          <w:b w:val="0"/>
          <w:bCs/>
        </w:rPr>
      </w:pPr>
      <w:bookmarkStart w:id="70" w:name="_Toc111656755"/>
      <w:bookmarkStart w:id="71" w:name="_Toc80707413"/>
      <w:bookmarkStart w:id="72" w:name="_Toc26907"/>
      <w:bookmarkStart w:id="73" w:name="_Toc30163844"/>
      <w:bookmarkStart w:id="74" w:name="_Toc14431"/>
      <w:r>
        <w:rPr>
          <w:rFonts w:ascii="Times New Roman" w:hAnsi="Times New Roman" w:hint="eastAsia"/>
          <w:b w:val="0"/>
          <w:bCs/>
        </w:rPr>
        <w:t>四、绩效评价指标分析</w:t>
      </w:r>
      <w:bookmarkEnd w:id="70"/>
      <w:bookmarkEnd w:id="71"/>
    </w:p>
    <w:bookmarkEnd w:id="72"/>
    <w:bookmarkEnd w:id="73"/>
    <w:bookmarkEnd w:id="74"/>
    <w:p>
      <w:pPr>
        <w:widowControl/>
        <w:overflowPunct w:val="0"/>
        <w:autoSpaceDE w:val="0"/>
        <w:autoSpaceDN w:val="0"/>
        <w:adjustRightInd w:val="0"/>
        <w:spacing w:line="560" w:lineRule="atLeast"/>
        <w:ind w:firstLine="640" w:firstLineChars="200"/>
        <w:textAlignment w:val="baseline"/>
        <w:outlineLvl w:val="1"/>
        <w:rPr>
          <w:rFonts w:ascii="Times New Roman" w:eastAsia="楷体" w:hAnsi="Times New Roman"/>
          <w:b/>
          <w:color w:val="000000" w:themeColor="text1"/>
          <w:kern w:val="0"/>
          <w:sz w:val="32"/>
          <w:szCs w:val="32"/>
          <w14:textFill>
            <w14:solidFill>
              <w14:schemeClr w14:val="tx1"/>
            </w14:solidFill>
          </w14:textFill>
        </w:rPr>
      </w:pPr>
      <w:bookmarkStart w:id="75" w:name="_Toc111656756"/>
      <w:bookmarkStart w:id="76" w:name="_Toc80707414"/>
      <w:r>
        <w:rPr>
          <w:rFonts w:ascii="Times New Roman" w:eastAsia="楷体" w:hAnsi="Times New Roman" w:hint="eastAsia"/>
          <w:b/>
          <w:color w:val="000000" w:themeColor="text1"/>
          <w:kern w:val="0"/>
          <w:sz w:val="32"/>
          <w:szCs w:val="32"/>
          <w14:textFill>
            <w14:solidFill>
              <w14:schemeClr w14:val="tx1"/>
            </w14:solidFill>
          </w14:textFill>
        </w:rPr>
        <w:t>（一）项目决策情况</w:t>
      </w:r>
      <w:bookmarkEnd w:id="75"/>
      <w:bookmarkEnd w:id="76"/>
    </w:p>
    <w:p>
      <w:pPr>
        <w:widowControl/>
        <w:overflowPunct w:val="0"/>
        <w:autoSpaceDE w:val="0"/>
        <w:autoSpaceDN w:val="0"/>
        <w:adjustRightInd w:val="0"/>
        <w:spacing w:line="560" w:lineRule="atLeast"/>
        <w:ind w:firstLine="960" w:firstLineChars="300"/>
        <w:textAlignment w:val="baseline"/>
        <w:outlineLvl w:val="1"/>
        <w:rPr>
          <w:rFonts w:ascii="仿宋_GB2312" w:eastAsia="仿宋_GB2312" w:hAnsi="仿宋_GB2312" w:cs="仿宋_GB2312"/>
          <w:b/>
          <w:color w:val="000000" w:themeColor="text1"/>
          <w:kern w:val="0"/>
          <w:sz w:val="32"/>
          <w:szCs w:val="32"/>
          <w14:textFill>
            <w14:solidFill>
              <w14:schemeClr w14:val="tx1"/>
            </w14:solidFill>
          </w14:textFill>
        </w:rPr>
      </w:pPr>
      <w:r>
        <w:rPr>
          <w:rFonts w:ascii="仿宋_GB2312" w:eastAsia="仿宋_GB2312" w:hAnsi="仿宋_GB2312" w:cs="仿宋_GB2312" w:hint="eastAsia"/>
          <w:b/>
          <w:color w:val="000000" w:themeColor="text1"/>
          <w:kern w:val="0"/>
          <w:sz w:val="32"/>
          <w:szCs w:val="32"/>
          <w14:textFill>
            <w14:solidFill>
              <w14:schemeClr w14:val="tx1"/>
            </w14:solidFill>
          </w14:textFill>
        </w:rPr>
        <w:t>1、项目立项</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立项依据充分性：项目立项符合国家法律法规、国民经济发展规划和相关政策,项目立项符合行业发展规划和政策要求,项目立项与部门职责范围相符，属于部门履职所需,项目属于公共财政支持范围，符合中央、地方事权支出责任划分原则,项目与相关部门同类项目或部门内部相关项目重复。</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（2）立项程序规范性：项目按照规定的程序申请设立,审批文件、材料符合相关要求,事前已经过必要的可行性研究、专家论证、风险评估、绩效评估、集体决策。</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b/>
          <w:bCs/>
          <w:color w:val="000000" w:themeColor="text1"/>
          <w:kern w:val="0"/>
          <w:sz w:val="32"/>
          <w:szCs w:val="32"/>
          <w14:textFill>
            <w14:solidFill>
              <w14:schemeClr w14:val="tx1"/>
            </w14:solidFill>
          </w14:textFill>
        </w:rPr>
      </w:pPr>
      <w:r>
        <w:rPr>
          <w:rFonts w:ascii="仿宋_GB2312" w:eastAsia="仿宋_GB2312" w:hAnsi="仿宋_GB2312" w:cs="仿宋_GB2312" w:hint="eastAsia"/>
          <w:b/>
          <w:bCs/>
          <w:color w:val="000000" w:themeColor="text1"/>
          <w:kern w:val="0"/>
          <w:sz w:val="32"/>
          <w:szCs w:val="32"/>
          <w14:textFill>
            <w14:solidFill>
              <w14:schemeClr w14:val="tx1"/>
            </w14:solidFill>
          </w14:textFill>
        </w:rPr>
        <w:t>2、绩效目标</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（1）绩效目标合理性：项目有绩效目标,项目绩效目标与实际工作内容具有相关性,项目预期产出效益和效果符合正常的业绩水平,与预算确定的项目投资额或资金量相匹配。</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kern w:val="0"/>
          <w:sz w:val="32"/>
          <w:szCs w:val="32"/>
          <w:highlight w:val="yellow"/>
        </w:rPr>
      </w:pPr>
      <w:bookmarkStart w:id="77" w:name="_Toc30392"/>
      <w:bookmarkStart w:id="78" w:name="_Toc111656757"/>
      <w:r>
        <w:rPr>
          <w:rFonts w:ascii="仿宋_GB2312" w:eastAsia="仿宋_GB2312" w:hAnsi="仿宋_GB2312" w:cs="仿宋_GB2312" w:hint="eastAsia"/>
          <w:kern w:val="0"/>
          <w:sz w:val="32"/>
          <w:szCs w:val="32"/>
        </w:rPr>
        <w:t>（2）</w:t>
      </w:r>
      <w:bookmarkEnd w:id="77"/>
      <w:bookmarkEnd w:id="78"/>
      <w:r>
        <w:rPr>
          <w:rFonts w:ascii="仿宋_GB2312" w:eastAsia="仿宋_GB2312" w:hAnsi="仿宋_GB2312" w:cs="仿宋_GB2312" w:hint="eastAsia"/>
          <w:kern w:val="0"/>
          <w:sz w:val="32"/>
          <w:szCs w:val="32"/>
        </w:rPr>
        <w:t>绩效指标明确性:将项目绩效目标细化分解为具体的绩效指标,通过清晰、可衡量的指标值予以体现,与项目目标任务数或计划数相对应。</w:t>
      </w:r>
    </w:p>
    <w:p>
      <w:pPr>
        <w:widowControl/>
        <w:overflowPunct w:val="0"/>
        <w:autoSpaceDE w:val="0"/>
        <w:autoSpaceDN w:val="0"/>
        <w:adjustRightInd w:val="0"/>
        <w:spacing w:line="500" w:lineRule="exact"/>
        <w:jc w:val="center"/>
        <w:textAlignment w:val="baseline"/>
        <w:rPr>
          <w:rFonts w:ascii="Times New Roman" w:eastAsia="仿宋_GB2312" w:hAnsi="Times New Roman"/>
          <w:kern w:val="0"/>
          <w:sz w:val="32"/>
          <w:szCs w:val="32"/>
        </w:rPr>
      </w:pPr>
      <w:r>
        <w:rPr>
          <w:rFonts w:ascii="Times New Roman" w:eastAsia="仿宋_GB2312" w:hAnsi="Times New Roman" w:hint="eastAsia"/>
          <w:b/>
          <w:bCs/>
          <w:kern w:val="0"/>
          <w:sz w:val="22"/>
          <w:szCs w:val="24"/>
        </w:rPr>
        <w:t>表4-1 2022年部分中央财政城镇保障性安居工程补助资金项目年度绩效目标表分析</w:t>
      </w:r>
    </w:p>
    <w:tbl>
      <w:tblPr>
        <w:tblStyle w:val="TableNormal"/>
        <w:tblW w:w="833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0" w:type="dxa"/>
          <w:bottom w:w="0" w:type="dxa"/>
          <w:right w:w="0" w:type="dxa"/>
        </w:tblCellMar>
      </w:tblPr>
      <w:tblGrid>
        <w:gridCol w:w="1005"/>
        <w:gridCol w:w="1134"/>
        <w:gridCol w:w="2598"/>
        <w:gridCol w:w="1911"/>
        <w:gridCol w:w="1682"/>
      </w:tblGrid>
      <w:tr>
        <w:tblPrEx>
          <w:tblW w:w="8330" w:type="dxa"/>
          <w:jc w:val="center"/>
          <w:tblInd w:w="0" w:type="dxa"/>
          <w:tblLayout w:type="fixed"/>
        </w:tblPrEx>
        <w:trPr>
          <w:trHeight w:val="936"/>
          <w:tblHeader/>
          <w:jc w:val="center"/>
        </w:trPr>
        <w:tc>
          <w:tcPr>
            <w:tcW w:w="1005"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一级指标</w:t>
            </w:r>
          </w:p>
        </w:tc>
        <w:tc>
          <w:tcPr>
            <w:tcW w:w="1134"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二级指标</w:t>
            </w:r>
          </w:p>
        </w:tc>
        <w:tc>
          <w:tcPr>
            <w:tcW w:w="2598"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三级指标</w:t>
            </w:r>
          </w:p>
        </w:tc>
        <w:tc>
          <w:tcPr>
            <w:tcW w:w="1911"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szCs w:val="21"/>
              </w:rPr>
            </w:pPr>
            <w:r>
              <w:rPr>
                <w:rFonts w:ascii="Times New Roman" w:eastAsia="仿宋_GB2312" w:hAnsi="Times New Roman" w:cs="仿宋" w:hint="eastAsia"/>
                <w:b/>
                <w:color w:val="000000"/>
                <w:kern w:val="0"/>
                <w:szCs w:val="21"/>
                <w:lang w:bidi="ar"/>
              </w:rPr>
              <w:t>指标值</w:t>
            </w:r>
          </w:p>
        </w:tc>
        <w:tc>
          <w:tcPr>
            <w:tcW w:w="1682" w:type="dxa"/>
            <w:shd w:val="clear" w:color="auto" w:fill="BEBEBE"/>
            <w:tcMar>
              <w:top w:w="12" w:type="dxa"/>
              <w:left w:w="12" w:type="dxa"/>
              <w:right w:w="12" w:type="dxa"/>
            </w:tcMar>
            <w:vAlign w:val="center"/>
          </w:tcPr>
          <w:p>
            <w:pPr>
              <w:widowControl/>
              <w:jc w:val="center"/>
              <w:textAlignment w:val="center"/>
              <w:rPr>
                <w:rFonts w:ascii="Times New Roman" w:eastAsia="仿宋_GB2312" w:hAnsi="Times New Roman" w:cs="仿宋"/>
                <w:b/>
                <w:color w:val="000000"/>
                <w:kern w:val="0"/>
                <w:szCs w:val="21"/>
                <w:lang w:bidi="ar"/>
              </w:rPr>
            </w:pPr>
            <w:r>
              <w:rPr>
                <w:rFonts w:ascii="Times New Roman" w:eastAsia="仿宋_GB2312" w:hAnsi="Times New Roman" w:cs="仿宋" w:hint="eastAsia"/>
                <w:b/>
                <w:color w:val="000000"/>
                <w:kern w:val="0"/>
                <w:szCs w:val="21"/>
                <w:lang w:bidi="ar"/>
              </w:rPr>
              <w:t>问题分析</w:t>
            </w:r>
          </w:p>
        </w:tc>
      </w:tr>
      <w:tr>
        <w:tblPrEx>
          <w:tblW w:w="8330" w:type="dxa"/>
          <w:jc w:val="center"/>
          <w:tblInd w:w="0" w:type="dxa"/>
          <w:tblLayout w:type="fixed"/>
        </w:tblPrEx>
        <w:trPr>
          <w:trHeight w:val="542"/>
          <w:jc w:val="center"/>
        </w:trPr>
        <w:tc>
          <w:tcPr>
            <w:tcW w:w="1005"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产</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出</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标</w:t>
            </w: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数量指标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olor w:val="000000"/>
                <w:szCs w:val="21"/>
              </w:rPr>
            </w:pPr>
            <w:r>
              <w:rPr>
                <w:rFonts w:ascii="Times New Roman" w:eastAsia="仿宋_GB2312" w:hAnsi="Times New Roman" w:cs="仿宋" w:hint="eastAsia"/>
                <w:color w:val="000000"/>
                <w:kern w:val="0"/>
                <w:sz w:val="22"/>
                <w:lang w:bidi="ar"/>
              </w:rPr>
              <w:t xml:space="preserve">棚户区改造 </w:t>
            </w:r>
            <w:r>
              <w:rPr>
                <w:rFonts w:ascii="Times New Roman" w:eastAsia="仿宋_GB2312" w:hAnsi="Times New Roman" w:cs="仿宋"/>
                <w:color w:val="000000"/>
                <w:kern w:val="0"/>
                <w:sz w:val="22"/>
                <w:lang w:bidi="ar"/>
              </w:rPr>
              <w:t xml:space="preserve">     </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olor w:val="000000"/>
                <w:szCs w:val="21"/>
                <w:highlight w:val="yellow"/>
              </w:rPr>
            </w:pPr>
            <w:r>
              <w:rPr>
                <w:rFonts w:ascii="Times New Roman" w:eastAsia="仿宋_GB2312" w:hAnsi="Times New Roman" w:cs="仿宋" w:hint="eastAsia"/>
                <w:color w:val="000000"/>
                <w:kern w:val="0"/>
                <w:sz w:val="22"/>
                <w:lang w:bidi="ar"/>
              </w:rPr>
              <w:t>=2100户</w:t>
            </w:r>
          </w:p>
        </w:tc>
        <w:tc>
          <w:tcPr>
            <w:tcW w:w="1682"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质量指标因写为该项目的建设项目完成后的验收情况（例：验收合格率）</w:t>
            </w:r>
          </w:p>
          <w:p>
            <w:pPr>
              <w:widowControl/>
              <w:jc w:val="center"/>
              <w:textAlignment w:val="center"/>
              <w:rPr>
                <w:rFonts w:ascii="Times New Roman" w:eastAsia="仿宋_GB2312" w:hAnsi="Times New Roman"/>
                <w:color w:val="000000"/>
                <w:kern w:val="0"/>
                <w:szCs w:val="21"/>
                <w:highlight w:val="yellow"/>
                <w:lang w:bidi="ar"/>
              </w:rPr>
            </w:pPr>
          </w:p>
        </w:tc>
      </w:tr>
      <w:tr>
        <w:tblPrEx>
          <w:tblW w:w="8330" w:type="dxa"/>
          <w:jc w:val="center"/>
          <w:tblInd w:w="0" w:type="dxa"/>
          <w:tblLayout w:type="fixed"/>
        </w:tblPrEx>
        <w:trPr>
          <w:trHeight w:val="386"/>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质量指标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年度计划投资完成率</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&gt;=80%</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p>
        </w:tc>
      </w:tr>
      <w:tr>
        <w:tblPrEx>
          <w:tblW w:w="8330" w:type="dxa"/>
          <w:jc w:val="center"/>
          <w:tblInd w:w="0" w:type="dxa"/>
          <w:tblLayout w:type="fixed"/>
        </w:tblPrEx>
        <w:trPr>
          <w:trHeight w:val="90"/>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vMerge w:val="restart"/>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时效指标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项目计划开工时间</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r>
              <w:rPr>
                <w:rFonts w:ascii="Times New Roman" w:eastAsia="仿宋_GB2312" w:hAnsi="Times New Roman" w:cs="仿宋" w:hint="eastAsia"/>
                <w:color w:val="000000"/>
                <w:kern w:val="0"/>
                <w:sz w:val="22"/>
                <w:lang w:bidi="ar"/>
              </w:rPr>
              <w:t>=2022年6月</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kern w:val="0"/>
                <w:szCs w:val="21"/>
                <w:lang w:bidi="ar"/>
              </w:rPr>
            </w:pPr>
          </w:p>
        </w:tc>
      </w:tr>
      <w:tr>
        <w:tblPrEx>
          <w:tblW w:w="8330" w:type="dxa"/>
          <w:jc w:val="center"/>
          <w:tblInd w:w="0" w:type="dxa"/>
          <w:tblLayout w:type="fixed"/>
        </w:tblPrEx>
        <w:trPr>
          <w:trHeight w:val="1004"/>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项目计划完工时间</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=2023年11月</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r>
      <w:tr>
        <w:tblPrEx>
          <w:tblW w:w="8330" w:type="dxa"/>
          <w:jc w:val="center"/>
          <w:tblInd w:w="0" w:type="dxa"/>
          <w:tblLayout w:type="fixed"/>
        </w:tblPrEx>
        <w:trPr>
          <w:trHeight w:val="218"/>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成本指标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项目总支出费用</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&lt;=2280万元</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_GB2312"/>
                <w:sz w:val="22"/>
              </w:rPr>
            </w:pPr>
          </w:p>
        </w:tc>
      </w:tr>
      <w:tr>
        <w:tblPrEx>
          <w:tblW w:w="8330" w:type="dxa"/>
          <w:jc w:val="center"/>
          <w:tblInd w:w="0" w:type="dxa"/>
          <w:tblLayout w:type="fixed"/>
        </w:tblPrEx>
        <w:trPr>
          <w:trHeight w:val="90"/>
          <w:jc w:val="center"/>
        </w:trPr>
        <w:tc>
          <w:tcPr>
            <w:tcW w:w="1005"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效</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益</w:t>
            </w:r>
          </w:p>
          <w:p>
            <w:pPr>
              <w:widowControl/>
              <w:jc w:val="center"/>
              <w:textAlignment w:val="center"/>
              <w:rPr>
                <w:rFonts w:ascii="Times New Roman" w:eastAsia="仿宋_GB2312" w:hAnsi="Times New Roman" w:cs="仿宋"/>
                <w:color w:val="000000"/>
                <w:kern w:val="0"/>
                <w:sz w:val="22"/>
                <w:lang w:bidi="ar"/>
              </w:rPr>
            </w:pPr>
            <w:r>
              <w:rPr>
                <w:rFonts w:ascii="Times New Roman" w:eastAsia="仿宋_GB2312" w:hAnsi="Times New Roman" w:cs="仿宋" w:hint="eastAsia"/>
                <w:color w:val="000000"/>
                <w:kern w:val="0"/>
                <w:sz w:val="22"/>
                <w:lang w:bidi="ar"/>
              </w:rPr>
              <w:t>指</w:t>
            </w:r>
          </w:p>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标</w:t>
            </w: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社会效益指标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改善群众生活居住条件</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有效改善</w:t>
            </w:r>
          </w:p>
        </w:tc>
        <w:tc>
          <w:tcPr>
            <w:tcW w:w="1682" w:type="dxa"/>
            <w:vMerge w:val="restart"/>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p>
        </w:tc>
      </w:tr>
      <w:tr>
        <w:tblPrEx>
          <w:tblW w:w="8330" w:type="dxa"/>
          <w:jc w:val="center"/>
          <w:tblInd w:w="0" w:type="dxa"/>
          <w:tblLayout w:type="fixed"/>
        </w:tblPrEx>
        <w:trPr>
          <w:trHeight w:val="936"/>
          <w:jc w:val="center"/>
        </w:trPr>
        <w:tc>
          <w:tcPr>
            <w:tcW w:w="1005"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c>
          <w:tcPr>
            <w:tcW w:w="1134"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可持续影响指标</w:t>
            </w:r>
          </w:p>
        </w:tc>
        <w:tc>
          <w:tcPr>
            <w:tcW w:w="2598"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改造后保障基础设施使用年限</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有效保障</w:t>
            </w:r>
          </w:p>
        </w:tc>
        <w:tc>
          <w:tcPr>
            <w:tcW w:w="1682" w:type="dxa"/>
            <w:vMerge/>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p>
        </w:tc>
      </w:tr>
      <w:tr>
        <w:tblPrEx>
          <w:tblW w:w="8330" w:type="dxa"/>
          <w:jc w:val="center"/>
          <w:tblInd w:w="0" w:type="dxa"/>
          <w:tblLayout w:type="fixed"/>
        </w:tblPrEx>
        <w:trPr>
          <w:trHeight w:val="936"/>
          <w:jc w:val="center"/>
        </w:trPr>
        <w:tc>
          <w:tcPr>
            <w:tcW w:w="1005"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满意度指标</w:t>
            </w:r>
          </w:p>
        </w:tc>
        <w:tc>
          <w:tcPr>
            <w:tcW w:w="1134"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满意度指标</w:t>
            </w:r>
          </w:p>
        </w:tc>
        <w:tc>
          <w:tcPr>
            <w:tcW w:w="2598"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s="仿宋"/>
                <w:color w:val="000000"/>
                <w:szCs w:val="21"/>
              </w:rPr>
            </w:pPr>
            <w:r>
              <w:rPr>
                <w:rFonts w:ascii="Times New Roman" w:eastAsia="仿宋_GB2312" w:hAnsi="Times New Roman" w:cs="仿宋" w:hint="eastAsia"/>
                <w:color w:val="000000"/>
                <w:kern w:val="0"/>
                <w:sz w:val="22"/>
                <w:lang w:bidi="ar"/>
              </w:rPr>
              <w:t>改造后居民满意率</w:t>
            </w:r>
          </w:p>
        </w:tc>
        <w:tc>
          <w:tcPr>
            <w:tcW w:w="1911" w:type="dxa"/>
            <w:shd w:val="clear" w:color="auto" w:fill="auto"/>
            <w:tcMar>
              <w:top w:w="12" w:type="dxa"/>
              <w:left w:w="12" w:type="dxa"/>
              <w:right w:w="12" w:type="dxa"/>
            </w:tcMar>
            <w:vAlign w:val="center"/>
          </w:tcPr>
          <w:p>
            <w:pPr>
              <w:widowControl/>
              <w:spacing w:line="560" w:lineRule="exact"/>
              <w:jc w:val="center"/>
              <w:textAlignment w:val="center"/>
              <w:rPr>
                <w:rFonts w:ascii="Times New Roman" w:eastAsia="仿宋_GB2312" w:hAnsi="Times New Roman"/>
                <w:color w:val="000000"/>
                <w:kern w:val="0"/>
                <w:szCs w:val="21"/>
                <w:lang w:bidi="ar"/>
              </w:rPr>
            </w:pPr>
            <w:r>
              <w:rPr>
                <w:rFonts w:ascii="Times New Roman" w:eastAsia="仿宋_GB2312" w:hAnsi="Times New Roman" w:cs="仿宋" w:hint="eastAsia"/>
                <w:color w:val="000000"/>
                <w:kern w:val="0"/>
                <w:sz w:val="22"/>
                <w:lang w:bidi="ar"/>
              </w:rPr>
              <w:t>&gt;=96%</w:t>
            </w:r>
          </w:p>
        </w:tc>
        <w:tc>
          <w:tcPr>
            <w:tcW w:w="1682" w:type="dxa"/>
            <w:shd w:val="clear" w:color="auto" w:fill="auto"/>
            <w:tcMar>
              <w:top w:w="12" w:type="dxa"/>
              <w:left w:w="12" w:type="dxa"/>
              <w:right w:w="12" w:type="dxa"/>
            </w:tcMar>
            <w:vAlign w:val="center"/>
          </w:tcPr>
          <w:p>
            <w:pPr>
              <w:widowControl/>
              <w:jc w:val="center"/>
              <w:textAlignment w:val="center"/>
              <w:rPr>
                <w:rFonts w:ascii="Times New Roman" w:eastAsia="仿宋_GB2312" w:hAnsi="Times New Roman"/>
                <w:color w:val="000000"/>
                <w:kern w:val="0"/>
                <w:szCs w:val="21"/>
                <w:lang w:bidi="ar"/>
              </w:rPr>
            </w:pPr>
          </w:p>
        </w:tc>
      </w:tr>
    </w:tbl>
    <w:p>
      <w:pPr>
        <w:widowControl/>
        <w:numPr>
          <w:ilvl w:val="0"/>
          <w:numId w:val="0"/>
        </w:numPr>
        <w:overflowPunct w:val="0"/>
        <w:autoSpaceDE w:val="0"/>
        <w:autoSpaceDN w:val="0"/>
        <w:adjustRightInd w:val="0"/>
        <w:spacing w:line="560" w:lineRule="exact"/>
        <w:ind w:firstLine="640" w:firstLineChars="200"/>
        <w:textAlignment w:val="baseline"/>
        <w:outlineLvl w:val="1"/>
        <w:rPr>
          <w:rFonts w:ascii="楷体" w:eastAsia="楷体" w:hAnsi="楷体"/>
          <w:b/>
          <w:kern w:val="0"/>
          <w:sz w:val="32"/>
          <w:szCs w:val="32"/>
        </w:rPr>
      </w:pPr>
      <w:bookmarkStart w:id="79" w:name="_Toc30772"/>
      <w:bookmarkStart w:id="80" w:name="_Toc111656758"/>
      <w:r>
        <w:rPr>
          <w:rFonts w:ascii="楷体" w:eastAsia="楷体" w:hAnsi="楷体" w:cs="Times New Roman" w:hint="eastAsia"/>
          <w:b/>
          <w:kern w:val="0"/>
          <w:sz w:val="32"/>
          <w:szCs w:val="32"/>
          <w:lang w:val="en-US" w:eastAsia="zh-CN" w:bidi="ar-SA"/>
        </w:rPr>
        <w:t>（二）</w:t>
      </w:r>
      <w:r>
        <w:rPr>
          <w:rFonts w:ascii="楷体" w:eastAsia="楷体" w:hAnsi="楷体" w:hint="eastAsia"/>
          <w:b/>
          <w:kern w:val="0"/>
          <w:sz w:val="32"/>
          <w:szCs w:val="32"/>
        </w:rPr>
        <w:t>项目</w:t>
      </w:r>
      <w:bookmarkEnd w:id="79"/>
      <w:r>
        <w:rPr>
          <w:rFonts w:ascii="楷体" w:eastAsia="楷体" w:hAnsi="楷体" w:hint="eastAsia"/>
          <w:b/>
          <w:kern w:val="0"/>
          <w:sz w:val="32"/>
          <w:szCs w:val="32"/>
        </w:rPr>
        <w:t>过程情况</w:t>
      </w:r>
      <w:bookmarkEnd w:id="80"/>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hint="eastAsia"/>
          <w:b/>
          <w:kern w:val="0"/>
          <w:sz w:val="32"/>
          <w:szCs w:val="32"/>
        </w:rPr>
      </w:pPr>
      <w:r>
        <w:rPr>
          <w:rFonts w:ascii="仿宋_GB2312" w:eastAsia="仿宋_GB2312" w:hAnsi="仿宋_GB2312" w:cs="仿宋_GB2312" w:hint="eastAsia"/>
          <w:b/>
          <w:kern w:val="0"/>
          <w:sz w:val="32"/>
          <w:szCs w:val="32"/>
        </w:rPr>
        <w:t>1、预算编制科学性</w:t>
      </w:r>
    </w:p>
    <w:p>
      <w:pPr>
        <w:widowControl/>
        <w:overflowPunct w:val="0"/>
        <w:autoSpaceDE w:val="0"/>
        <w:autoSpaceDN w:val="0"/>
        <w:adjustRightInd w:val="0"/>
        <w:spacing w:line="560" w:lineRule="atLeast"/>
        <w:ind w:firstLine="640" w:firstLineChars="200"/>
        <w:textAlignment w:val="baseline"/>
        <w:outlineLvl w:val="1"/>
        <w:rPr>
          <w:rFonts w:ascii="仿宋_GB2312" w:eastAsia="仿宋_GB2312" w:hAnsi="仿宋_GB2312" w:cs="仿宋_GB2312" w:hint="eastAsia"/>
          <w:b/>
          <w:bCs/>
          <w:kern w:val="0"/>
          <w:sz w:val="32"/>
          <w:szCs w:val="32"/>
        </w:rPr>
      </w:pPr>
      <w:r>
        <w:rPr>
          <w:rFonts w:ascii="仿宋_GB2312" w:eastAsia="仿宋_GB2312" w:hAnsi="仿宋_GB2312" w:cs="仿宋_GB2312" w:hint="eastAsia"/>
          <w:sz w:val="32"/>
          <w:szCs w:val="32"/>
        </w:rPr>
        <w:t xml:space="preserve"> 预算编制经过科学论证,预算内容与项目内容匹配,预算额度测算依据充分，按照标准编制,预算确定的项目投资额或资金量与工作任务相匹配。</w:t>
      </w:r>
    </w:p>
    <w:p>
      <w:pPr>
        <w:numPr>
          <w:ilvl w:val="0"/>
          <w:numId w:val="0"/>
        </w:numPr>
        <w:spacing w:line="560" w:lineRule="exact"/>
        <w:ind w:firstLine="640" w:firstLineChars="200"/>
        <w:rPr>
          <w:rFonts w:ascii="仿宋_GB2312" w:eastAsia="仿宋_GB2312" w:hAnsi="仿宋_GB2312" w:cs="仿宋_GB2312" w:hint="eastAsia"/>
          <w:b/>
          <w:bCs/>
          <w:kern w:val="0"/>
          <w:sz w:val="32"/>
          <w:szCs w:val="32"/>
        </w:rPr>
      </w:pPr>
      <w:r>
        <w:rPr>
          <w:rFonts w:ascii="仿宋_GB2312" w:eastAsia="仿宋_GB2312" w:hAnsi="仿宋_GB2312" w:cs="仿宋_GB2312" w:hint="eastAsia"/>
          <w:b/>
          <w:bCs/>
          <w:kern w:val="0"/>
          <w:sz w:val="32"/>
          <w:szCs w:val="32"/>
          <w:lang w:val="en-US" w:eastAsia="zh-CN" w:bidi="ar-SA"/>
        </w:rPr>
        <w:t>2、</w:t>
      </w:r>
      <w:r>
        <w:rPr>
          <w:rFonts w:ascii="仿宋_GB2312" w:eastAsia="仿宋_GB2312" w:hAnsi="仿宋_GB2312" w:cs="仿宋_GB2312" w:hint="eastAsia"/>
          <w:b/>
          <w:bCs/>
          <w:kern w:val="0"/>
          <w:sz w:val="32"/>
          <w:szCs w:val="32"/>
        </w:rPr>
        <w:t>管理制度健全性</w:t>
      </w:r>
    </w:p>
    <w:p>
      <w:pPr>
        <w:spacing w:line="560" w:lineRule="exact"/>
        <w:ind w:firstLine="640" w:firstLineChars="20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乌苏市住房和城乡建设局已制定相应的财务和业务管理制度，且制度合法、合规、完整，为项目顺利实施提供重要保障。</w:t>
      </w:r>
    </w:p>
    <w:p>
      <w:pPr>
        <w:pStyle w:val="Heading3"/>
        <w:ind w:left="420" w:firstLine="320" w:leftChars="200" w:firstLineChars="100"/>
        <w:rPr>
          <w:rFonts w:ascii="仿宋_GB2312" w:eastAsia="仿宋_GB2312" w:hAnsi="仿宋_GB2312" w:cs="仿宋_GB2312" w:hint="eastAsia"/>
          <w:bCs/>
          <w:kern w:val="0"/>
          <w:sz w:val="32"/>
          <w:szCs w:val="32"/>
          <w:lang w:bidi="ar"/>
        </w:rPr>
      </w:pPr>
      <w:r>
        <w:rPr>
          <w:rFonts w:ascii="仿宋_GB2312" w:eastAsia="仿宋_GB2312" w:hAnsi="仿宋_GB2312" w:cs="仿宋_GB2312" w:hint="eastAsia"/>
          <w:bCs/>
          <w:kern w:val="0"/>
          <w:sz w:val="32"/>
          <w:szCs w:val="32"/>
          <w:lang w:bidi="ar"/>
        </w:rPr>
        <w:t>3、制度执行有效性</w:t>
      </w:r>
    </w:p>
    <w:p>
      <w:pPr>
        <w:spacing w:line="560" w:lineRule="exact"/>
        <w:ind w:firstLine="640" w:firstLineChars="200"/>
        <w:rPr>
          <w:rFonts w:ascii="仿宋_GB2312" w:eastAsia="仿宋_GB2312" w:hAnsi="仿宋_GB2312" w:cs="仿宋_GB2312"/>
          <w:b/>
          <w:bCs/>
          <w:kern w:val="0"/>
          <w:sz w:val="32"/>
          <w:szCs w:val="32"/>
          <w:lang w:bidi="ar"/>
        </w:rPr>
      </w:pPr>
      <w:r>
        <w:rPr>
          <w:rFonts w:ascii="仿宋_GB2312" w:eastAsia="仿宋_GB2312" w:hAnsi="仿宋_GB2312" w:cs="仿宋_GB2312" w:hint="eastAsia"/>
          <w:sz w:val="32"/>
          <w:szCs w:val="32"/>
        </w:rPr>
        <w:t>制度执行有效性：根据现场调研和资料抽查情况，已制严格遵守相关法律法规和相关管理规定，项目调整及支出调整手续完备，整体管理合理有序，项目完成后，及时将会计凭证、固定资产入库单等相关资料分类归档，制度执行有效。</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b/>
          <w:bCs/>
          <w:kern w:val="0"/>
          <w:sz w:val="32"/>
          <w:szCs w:val="32"/>
          <w:lang w:bidi="ar"/>
        </w:rPr>
      </w:pPr>
      <w:r>
        <w:rPr>
          <w:rFonts w:ascii="仿宋_GB2312" w:eastAsia="仿宋_GB2312" w:hAnsi="仿宋_GB2312" w:cs="仿宋_GB2312" w:hint="eastAsia"/>
          <w:b/>
          <w:bCs/>
          <w:kern w:val="0"/>
          <w:sz w:val="32"/>
          <w:szCs w:val="32"/>
          <w:lang w:bidi="ar"/>
        </w:rPr>
        <w:t>4、资金管理</w:t>
      </w:r>
    </w:p>
    <w:p>
      <w:pPr>
        <w:spacing w:line="560" w:lineRule="exact"/>
        <w:ind w:firstLine="640" w:firstLineChars="200"/>
        <w:rPr>
          <w:rFonts w:ascii="仿宋" w:eastAsia="仿宋" w:hAnsi="仿宋" w:cs="仿宋"/>
          <w:sz w:val="32"/>
          <w:szCs w:val="32"/>
        </w:rPr>
      </w:pPr>
      <w:r>
        <w:rPr>
          <w:rFonts w:ascii="仿宋_GB2312" w:eastAsia="仿宋_GB2312" w:hAnsi="仿宋_GB2312" w:cs="仿宋_GB2312" w:hint="eastAsia"/>
          <w:b/>
          <w:bCs/>
          <w:kern w:val="0"/>
          <w:sz w:val="32"/>
          <w:szCs w:val="32"/>
          <w:lang w:bidi="ar"/>
        </w:rPr>
        <w:t>（1）</w:t>
      </w:r>
      <w:r>
        <w:rPr>
          <w:rFonts w:ascii="Times New Roman" w:eastAsia="仿宋_GB2312" w:hAnsi="Times New Roman" w:hint="eastAsia"/>
          <w:b/>
          <w:bCs/>
          <w:kern w:val="0"/>
          <w:sz w:val="32"/>
          <w:szCs w:val="32"/>
        </w:rPr>
        <w:t>资金到位率：</w:t>
      </w:r>
      <w:r>
        <w:rPr>
          <w:rFonts w:ascii="仿宋_GB2312" w:eastAsia="仿宋_GB2312" w:hAnsi="仿宋_GB2312" w:cs="仿宋_GB2312" w:hint="eastAsia"/>
          <w:sz w:val="32"/>
          <w:szCs w:val="32"/>
        </w:rPr>
        <w:t>实际到位资金2280万元，预算资金2280万元，资金到位率100%</w:t>
      </w:r>
      <w:r>
        <w:rPr>
          <w:rFonts w:ascii="仿宋" w:eastAsia="仿宋" w:hAnsi="仿宋" w:cs="仿宋" w:hint="eastAsia"/>
          <w:sz w:val="32"/>
          <w:szCs w:val="32"/>
        </w:rPr>
        <w:t>。</w:t>
      </w:r>
    </w:p>
    <w:p>
      <w:p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b/>
          <w:bCs/>
          <w:kern w:val="0"/>
          <w:sz w:val="32"/>
          <w:szCs w:val="32"/>
          <w:lang w:bidi="ar"/>
        </w:rPr>
        <w:t>（2）预算执行率：</w:t>
      </w:r>
      <w:r>
        <w:rPr>
          <w:rFonts w:ascii="仿宋_GB2312" w:eastAsia="仿宋_GB2312" w:hAnsi="仿宋_GB2312" w:cs="仿宋_GB2312" w:hint="eastAsia"/>
          <w:sz w:val="32"/>
          <w:szCs w:val="32"/>
        </w:rPr>
        <w:t>年初预算数2280万元，全年预算数2280万元，全年执行数2280万元，预算执行率为100%。</w:t>
      </w:r>
    </w:p>
    <w:p>
      <w:pPr>
        <w:widowControl/>
        <w:overflowPunct w:val="0"/>
        <w:autoSpaceDE w:val="0"/>
        <w:autoSpaceDN w:val="0"/>
        <w:adjustRightInd w:val="0"/>
        <w:spacing w:line="560" w:lineRule="exact"/>
        <w:ind w:firstLine="640" w:firstLineChars="200"/>
        <w:textAlignment w:val="baseline"/>
        <w:outlineLvl w:val="1"/>
        <w:rPr>
          <w:rFonts w:ascii="楷体" w:eastAsia="楷体" w:hAnsi="楷体" w:cs="楷体"/>
          <w:b/>
          <w:color w:val="000000" w:themeColor="text1"/>
          <w:kern w:val="0"/>
          <w:sz w:val="32"/>
          <w:szCs w:val="32"/>
          <w:highlight w:val="yellow"/>
          <w14:textFill>
            <w14:solidFill>
              <w14:schemeClr w14:val="tx1"/>
            </w14:solidFill>
          </w14:textFill>
        </w:rPr>
      </w:pPr>
      <w:bookmarkStart w:id="81" w:name="_Toc111656759"/>
      <w:bookmarkStart w:id="82" w:name="_Toc80707416"/>
      <w:bookmarkStart w:id="83" w:name="_Toc15900"/>
      <w:bookmarkStart w:id="84" w:name="_Toc30163846"/>
      <w:bookmarkStart w:id="85" w:name="_Toc21208"/>
      <w:r>
        <w:rPr>
          <w:rFonts w:ascii="楷体" w:eastAsia="楷体" w:hAnsi="楷体" w:cs="楷体" w:hint="eastAsia"/>
          <w:b/>
          <w:color w:val="000000" w:themeColor="text1"/>
          <w:kern w:val="0"/>
          <w:sz w:val="32"/>
          <w:szCs w:val="32"/>
          <w14:textFill>
            <w14:solidFill>
              <w14:schemeClr w14:val="tx1"/>
            </w14:solidFill>
          </w14:textFill>
        </w:rPr>
        <w:t>（三）项目产出情况</w:t>
      </w:r>
      <w:bookmarkEnd w:id="81"/>
      <w:bookmarkEnd w:id="82"/>
    </w:p>
    <w:p>
      <w:pPr>
        <w:spacing w:line="560" w:lineRule="exact"/>
        <w:ind w:firstLine="640" w:firstLineChars="200"/>
        <w:rPr>
          <w:rFonts w:ascii="仿宋_GB2312" w:eastAsia="仿宋_GB2312" w:hAnsi="仿宋_GB2312" w:cs="仿宋_GB2312"/>
          <w:sz w:val="32"/>
          <w:szCs w:val="32"/>
        </w:rPr>
      </w:pPr>
      <w:r>
        <w:rPr>
          <w:rFonts w:ascii="仿宋_GB2312" w:eastAsia="仿宋_GB2312" w:hAnsi="仿宋_GB2312" w:cs="仿宋_GB2312" w:hint="eastAsia"/>
          <w:sz w:val="32"/>
          <w:szCs w:val="32"/>
        </w:rPr>
        <w:t>项目从产出数量、产出质量、产出时效和产出成本四个方面考察项目产出实现情况。</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1.产出数量</w:t>
      </w:r>
    </w:p>
    <w:p>
      <w:p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数量指标：指标1：棚户区改造，指标值：=2100户，实际完成值 2100户 ，指标完成率100 %，偏差原因： 项目无偏差 。</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2.产出质量</w:t>
      </w:r>
    </w:p>
    <w:p>
      <w:pPr>
        <w:numPr>
          <w:ilvl w:val="0"/>
          <w:numId w:val="0"/>
        </w:num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质量指标：指标1：年度计划投资完成率 ，指标值：=80% ，实际完成值 100% ，指标完成率100 %，偏差原因： 无  。</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3.产出时效</w:t>
      </w:r>
    </w:p>
    <w:p>
      <w:pPr>
        <w:spacing w:line="560" w:lineRule="exact"/>
        <w:ind w:firstLine="640" w:firstLineChars="200"/>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时效指标：指标1：项目计划开工时间，指标值：= 2022年6月，实际完成值 2022年6月，指标2：项目计划完工时间，指标值：= 2023年11月，实际完成值  2023年11月指标完成率100 %，偏差原因：无偏差 。</w:t>
      </w:r>
    </w:p>
    <w:p>
      <w:pPr>
        <w:spacing w:line="560" w:lineRule="exact"/>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4.产出成本</w:t>
      </w:r>
    </w:p>
    <w:p>
      <w:pPr>
        <w:spacing w:line="560" w:lineRule="exact"/>
        <w:ind w:firstLine="640" w:firstLineChars="200"/>
        <w:rPr>
          <w:rFonts w:ascii="仿宋_GB2312" w:eastAsia="仿宋_GB2312" w:hAnsi="仿宋_GB2312" w:cs="仿宋_GB2312"/>
          <w:sz w:val="32"/>
          <w:szCs w:val="32"/>
        </w:rPr>
      </w:pPr>
      <w:r>
        <w:rPr>
          <w:rFonts w:ascii="仿宋_GB2312" w:eastAsia="仿宋_GB2312" w:hAnsi="仿宋_GB2312" w:cs="仿宋_GB2312" w:hint="eastAsia"/>
          <w:kern w:val="0"/>
          <w:sz w:val="32"/>
          <w:szCs w:val="32"/>
          <w:lang w:bidi="ar"/>
        </w:rPr>
        <w:t xml:space="preserve">成本指标：指标1：项目总支出费用，指标值：= 2280万元 ，实际完成值  2280万元，指标完成率 100%，偏差原因： 无 </w:t>
      </w:r>
    </w:p>
    <w:bookmarkEnd w:id="83"/>
    <w:bookmarkEnd w:id="84"/>
    <w:bookmarkEnd w:id="85"/>
    <w:p>
      <w:pPr>
        <w:widowControl/>
        <w:overflowPunct w:val="0"/>
        <w:autoSpaceDE w:val="0"/>
        <w:autoSpaceDN w:val="0"/>
        <w:adjustRightInd w:val="0"/>
        <w:spacing w:line="560" w:lineRule="exact"/>
        <w:ind w:firstLine="640" w:firstLineChars="200"/>
        <w:textAlignment w:val="baseline"/>
        <w:outlineLvl w:val="1"/>
        <w:rPr>
          <w:rFonts w:ascii="楷体" w:eastAsia="楷体" w:hAnsi="楷体" w:cs="楷体"/>
          <w:b/>
          <w:color w:val="000000" w:themeColor="text1"/>
          <w:kern w:val="0"/>
          <w:sz w:val="32"/>
          <w:szCs w:val="32"/>
          <w14:textFill>
            <w14:solidFill>
              <w14:schemeClr w14:val="tx1"/>
            </w14:solidFill>
          </w14:textFill>
        </w:rPr>
      </w:pPr>
      <w:bookmarkStart w:id="86" w:name="_Toc111656760"/>
      <w:bookmarkStart w:id="87" w:name="_Toc80707417"/>
      <w:r>
        <w:rPr>
          <w:rFonts w:ascii="楷体" w:eastAsia="楷体" w:hAnsi="楷体" w:cs="楷体" w:hint="eastAsia"/>
          <w:b/>
          <w:color w:val="000000" w:themeColor="text1"/>
          <w:kern w:val="0"/>
          <w:sz w:val="32"/>
          <w:szCs w:val="32"/>
          <w14:textFill>
            <w14:solidFill>
              <w14:schemeClr w14:val="tx1"/>
            </w14:solidFill>
          </w14:textFill>
        </w:rPr>
        <w:t>(四)项目效益情况</w:t>
      </w:r>
      <w:bookmarkEnd w:id="86"/>
      <w:bookmarkEnd w:id="87"/>
    </w:p>
    <w:p>
      <w:pPr>
        <w:widowControl/>
        <w:overflowPunct w:val="0"/>
        <w:autoSpaceDE w:val="0"/>
        <w:autoSpaceDN w:val="0"/>
        <w:adjustRightInd w:val="0"/>
        <w:spacing w:line="560" w:lineRule="exact"/>
        <w:ind w:firstLine="640" w:firstLineChars="200"/>
        <w:textAlignment w:val="baseline"/>
        <w:outlineLvl w:val="1"/>
        <w:rPr>
          <w:rFonts w:ascii="仿宋_GB2312" w:eastAsia="仿宋_GB2312" w:hAnsi="仿宋_GB2312" w:cs="仿宋_GB2312"/>
          <w:kern w:val="0"/>
          <w:sz w:val="32"/>
          <w:szCs w:val="32"/>
          <w:lang w:bidi="ar"/>
        </w:rPr>
      </w:pPr>
      <w:r>
        <w:rPr>
          <w:rFonts w:ascii="仿宋_GB2312" w:eastAsia="仿宋_GB2312" w:hAnsi="仿宋_GB2312" w:cs="仿宋_GB2312" w:hint="eastAsia"/>
          <w:kern w:val="0"/>
          <w:sz w:val="32"/>
          <w:szCs w:val="32"/>
          <w:lang w:bidi="ar"/>
        </w:rPr>
        <w:t>项目效益指标从社会效益、可持影响和服务对象满意度三个方面考察项目实施后达到的效果。</w:t>
      </w:r>
    </w:p>
    <w:p>
      <w:pPr>
        <w:numPr>
          <w:ilvl w:val="0"/>
          <w:numId w:val="0"/>
        </w:num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kern w:val="0"/>
          <w:sz w:val="32"/>
          <w:szCs w:val="32"/>
          <w:lang w:val="en-US" w:eastAsia="zh-CN" w:bidi="ar-SA"/>
        </w:rPr>
        <w:t>1、</w:t>
      </w:r>
      <w:r>
        <w:rPr>
          <w:rFonts w:ascii="仿宋_GB2312" w:eastAsia="仿宋_GB2312" w:hAnsi="仿宋_GB2312" w:cs="仿宋_GB2312" w:hint="eastAsia"/>
          <w:kern w:val="0"/>
          <w:sz w:val="32"/>
          <w:szCs w:val="32"/>
        </w:rPr>
        <w:t>社会效益</w:t>
      </w:r>
    </w:p>
    <w:p>
      <w:p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社会效益指标：评价指标“改善群众生活居住条件”，指标值：有限改善，实际完成值：达成年度指标。有效保障困难群众住房需求，在城镇低保、低收入住房困难群众应保的基础上，将符合条件的等各类人员纳入住房保障范围。</w:t>
      </w:r>
    </w:p>
    <w:p>
      <w:p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可持续影响指标：评价指标“改善后保障基础设施使用年限”，指标值：有限保障，实际完成值：达成年度指标。该项目的建成，有效提高乌苏市经济发展，带动产业发展，提高居民幸福指数。</w:t>
      </w:r>
    </w:p>
    <w:p>
      <w:pPr>
        <w:pStyle w:val="GB"/>
        <w:numPr>
          <w:ilvl w:val="0"/>
          <w:numId w:val="0"/>
        </w:numPr>
        <w:spacing w:line="560" w:lineRule="exact"/>
        <w:ind w:firstLine="640" w:firstLineChars="200"/>
        <w:rPr>
          <w:rFonts w:hAnsi="仿宋_GB2312" w:cs="仿宋_GB2312"/>
        </w:rPr>
      </w:pPr>
      <w:r>
        <w:rPr>
          <w:rFonts w:ascii="仿宋_GB2312" w:eastAsia="仿宋_GB2312" w:hAnsi="仿宋_GB2312" w:cs="仿宋_GB2312"/>
          <w:color w:val="000000"/>
          <w:spacing w:val="6"/>
          <w:kern w:val="2"/>
          <w:sz w:val="32"/>
          <w:szCs w:val="32"/>
          <w:lang w:val="en-US" w:eastAsia="zh-CN" w:bidi="ar-SA"/>
        </w:rPr>
        <w:t>2、</w:t>
      </w:r>
      <w:r>
        <w:rPr>
          <w:rFonts w:hAnsi="仿宋_GB2312" w:cs="仿宋_GB2312" w:hint="eastAsia"/>
        </w:rPr>
        <w:t>满意度指标</w:t>
      </w:r>
    </w:p>
    <w:p>
      <w:pPr>
        <w:pStyle w:val="1"/>
        <w:ind w:firstLine="640" w:firstLineChars="200"/>
        <w:outlineLvl w:val="0"/>
        <w:rPr>
          <w:rFonts w:ascii="仿宋_GB2312" w:eastAsia="仿宋_GB2312" w:hAnsi="Times New Roman"/>
          <w:b w:val="0"/>
          <w:color w:val="000000"/>
          <w:spacing w:val="6"/>
          <w:kern w:val="2"/>
          <w:szCs w:val="32"/>
        </w:rPr>
      </w:pPr>
      <w:bookmarkStart w:id="88" w:name="_Toc111656761"/>
      <w:bookmarkStart w:id="89" w:name="_Toc80707418"/>
      <w:bookmarkStart w:id="90" w:name="_Toc14366"/>
      <w:bookmarkStart w:id="91" w:name="_Toc3360"/>
      <w:bookmarkStart w:id="92" w:name="_Toc30163849"/>
      <w:r>
        <w:rPr>
          <w:rFonts w:ascii="仿宋_GB2312" w:eastAsia="仿宋_GB2312" w:hAnsi="仿宋_GB2312" w:cs="仿宋_GB2312" w:hint="eastAsia"/>
          <w:b w:val="0"/>
          <w:color w:val="000000"/>
          <w:spacing w:val="6"/>
          <w:kern w:val="2"/>
          <w:szCs w:val="32"/>
        </w:rPr>
        <w:t>服务对象满意度指标：评价指标“改善后居民满意率”，指标值：≥96%，实际完成值：100%。</w:t>
      </w:r>
    </w:p>
    <w:p>
      <w:pPr>
        <w:pStyle w:val="1"/>
        <w:ind w:firstLine="640" w:firstLineChars="200"/>
        <w:outlineLvl w:val="0"/>
        <w:rPr>
          <w:rFonts w:ascii="仿宋_GB2312" w:eastAsia="仿宋_GB2312" w:hAnsi="Times New Roman"/>
          <w:b w:val="0"/>
          <w:color w:val="000000"/>
          <w:spacing w:val="6"/>
          <w:kern w:val="2"/>
          <w:szCs w:val="32"/>
        </w:rPr>
      </w:pPr>
      <w:r>
        <w:rPr>
          <w:rFonts w:ascii="Times New Roman" w:hAnsi="Times New Roman" w:hint="eastAsia"/>
        </w:rPr>
        <w:t>五、主要经验及做法、存在的问题及原因分析</w:t>
      </w:r>
      <w:bookmarkEnd w:id="88"/>
      <w:bookmarkEnd w:id="89"/>
    </w:p>
    <w:p>
      <w:pPr>
        <w:widowControl/>
        <w:overflowPunct w:val="0"/>
        <w:autoSpaceDE w:val="0"/>
        <w:autoSpaceDN w:val="0"/>
        <w:adjustRightInd w:val="0"/>
        <w:spacing w:line="560" w:lineRule="exact"/>
        <w:ind w:firstLine="642"/>
        <w:textAlignment w:val="baseline"/>
        <w:outlineLvl w:val="1"/>
        <w:rPr>
          <w:rFonts w:ascii="楷体" w:eastAsia="楷体" w:hAnsi="楷体" w:cs="楷体"/>
          <w:b/>
          <w:kern w:val="0"/>
          <w:sz w:val="32"/>
          <w:szCs w:val="32"/>
          <w:highlight w:val="yellow"/>
        </w:rPr>
      </w:pPr>
      <w:bookmarkStart w:id="93" w:name="_Toc111656762"/>
      <w:r>
        <w:rPr>
          <w:rFonts w:ascii="楷体" w:eastAsia="楷体" w:hAnsi="楷体" w:cs="楷体" w:hint="eastAsia"/>
          <w:b/>
          <w:kern w:val="0"/>
          <w:sz w:val="32"/>
          <w:szCs w:val="32"/>
        </w:rPr>
        <w:t>（一）主要经验及做法</w:t>
      </w:r>
      <w:bookmarkEnd w:id="93"/>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该项目周期长，涉及面广，容易产生项目推进缓慢，责任不清，进度滞后等问题，为此，采取切实措施，强化重点项目的督察推进，把重点项目建设始终抓紧抓好，为重点项目建设顺利进行保驾护航。坚持问题导向，紧盯未落实的事和未落实的人，对项目推进的科室负责人进行约谈，加强项目管理，切实按照项目“事前、事中、事后”跟踪开展，责任落实到人，实行项目责任追究终身制。</w:t>
      </w:r>
    </w:p>
    <w:p>
      <w:pPr>
        <w:widowControl/>
        <w:overflowPunct w:val="0"/>
        <w:autoSpaceDE w:val="0"/>
        <w:autoSpaceDN w:val="0"/>
        <w:adjustRightInd w:val="0"/>
        <w:spacing w:line="560" w:lineRule="exact"/>
        <w:ind w:firstLine="640" w:firstLineChars="200"/>
        <w:textAlignment w:val="baseline"/>
        <w:rPr>
          <w:rFonts w:ascii="Times New Roman" w:eastAsia="仿宋_GB2312" w:hAnsi="Times New Roman"/>
          <w:bCs/>
          <w:kern w:val="0"/>
          <w:sz w:val="32"/>
          <w:szCs w:val="32"/>
        </w:rPr>
      </w:pPr>
      <w:bookmarkStart w:id="94" w:name="_Toc111656764"/>
      <w:r>
        <w:rPr>
          <w:rFonts w:ascii="楷体" w:eastAsia="楷体" w:hAnsi="楷体" w:cs="楷体" w:hint="eastAsia"/>
          <w:b/>
          <w:bCs/>
          <w:sz w:val="32"/>
          <w:szCs w:val="32"/>
        </w:rPr>
        <w:t>（二）存在的问题及原因分析：</w:t>
      </w:r>
      <w:bookmarkEnd w:id="94"/>
      <w:r>
        <w:rPr>
          <w:rFonts w:ascii="Times New Roman" w:eastAsia="仿宋_GB2312" w:hAnsi="Times New Roman" w:hint="eastAsia"/>
          <w:bCs/>
          <w:kern w:val="0"/>
          <w:sz w:val="32"/>
          <w:szCs w:val="32"/>
        </w:rPr>
        <w:t>绩效目标设置</w:t>
      </w:r>
      <w:r>
        <w:rPr>
          <w:rFonts w:ascii="仿宋_GB2312" w:eastAsia="仿宋_GB2312" w:hAnsi="仿宋_GB2312" w:cs="仿宋_GB2312" w:hint="eastAsia"/>
          <w:kern w:val="0"/>
          <w:sz w:val="32"/>
          <w:szCs w:val="32"/>
        </w:rPr>
        <w:t>根据项目绩效目标申报表发现，绩效目标设置存在以下不合理之处：</w:t>
      </w:r>
      <w:r>
        <w:rPr>
          <w:rFonts w:ascii="Times New Roman" w:eastAsia="仿宋_GB2312" w:hAnsi="Times New Roman" w:hint="eastAsia"/>
          <w:kern w:val="0"/>
          <w:sz w:val="32"/>
          <w:szCs w:val="32"/>
        </w:rPr>
        <w:t>部分绩效目标不够明确。</w:t>
      </w:r>
      <w:r>
        <w:rPr>
          <w:rFonts w:ascii="仿宋_GB2312" w:eastAsia="仿宋_GB2312" w:hAnsi="仿宋_GB2312" w:cs="仿宋_GB2312" w:hint="eastAsia"/>
          <w:color w:val="000000" w:themeColor="text1"/>
          <w:sz w:val="32"/>
          <w:szCs w:val="32"/>
          <w14:textFill>
            <w14:solidFill>
              <w14:schemeClr w14:val="tx1"/>
            </w14:solidFill>
          </w14:textFill>
        </w:rPr>
        <w:t>本项目设置了</w:t>
      </w:r>
      <w:r>
        <w:rPr>
          <w:rFonts w:ascii="仿宋_GB2312" w:eastAsia="仿宋_GB2312" w:hAnsi="仿宋_GB2312" w:cs="仿宋_GB2312" w:hint="eastAsia"/>
          <w:color w:val="000000" w:themeColor="text1"/>
          <w:kern w:val="0"/>
          <w:sz w:val="32"/>
          <w:szCs w:val="32"/>
          <w14:textFill>
            <w14:solidFill>
              <w14:schemeClr w14:val="tx1"/>
            </w14:solidFill>
          </w14:textFill>
        </w:rPr>
        <w:t>产出</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（含数量、质</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量、</w:t>
      </w:r>
      <w:r>
        <w:rPr>
          <w:rFonts w:ascii="仿宋_GB2312" w:eastAsia="仿宋_GB2312" w:hAnsi="仿宋_GB2312" w:cs="仿宋_GB2312" w:hint="eastAsia"/>
          <w:color w:val="000000" w:themeColor="text1"/>
          <w:kern w:val="0"/>
          <w:sz w:val="32"/>
          <w:szCs w:val="32"/>
          <w14:textFill>
            <w14:solidFill>
              <w14:schemeClr w14:val="tx1"/>
            </w14:solidFill>
          </w14:textFill>
        </w:rPr>
        <w:t>时效、成本</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w:t>
      </w:r>
      <w:r>
        <w:rPr>
          <w:rFonts w:ascii="仿宋_GB2312" w:eastAsia="仿宋_GB2312" w:hAnsi="仿宋_GB2312" w:cs="仿宋_GB2312" w:hint="eastAsia"/>
          <w:color w:val="000000" w:themeColor="text1"/>
          <w:kern w:val="0"/>
          <w:sz w:val="32"/>
          <w:szCs w:val="32"/>
          <w14:textFill>
            <w14:solidFill>
              <w14:schemeClr w14:val="tx1"/>
            </w14:solidFill>
          </w14:textFill>
        </w:rPr>
        <w:t>生态</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效益目标、</w:t>
      </w:r>
      <w:r>
        <w:rPr>
          <w:rFonts w:ascii="仿宋_GB2312" w:eastAsia="仿宋_GB2312" w:hAnsi="仿宋_GB2312" w:cs="仿宋_GB2312" w:hint="eastAsia"/>
          <w:color w:val="000000" w:themeColor="text1"/>
          <w:kern w:val="0"/>
          <w:sz w:val="32"/>
          <w:szCs w:val="32"/>
          <w14:textFill>
            <w14:solidFill>
              <w14:schemeClr w14:val="tx1"/>
            </w14:solidFill>
          </w14:textFill>
        </w:rPr>
        <w:t>社会效益</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、可持续影响</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、满意度</w:t>
      </w:r>
      <w:r>
        <w:rPr>
          <w:rFonts w:ascii="仿宋_GB2312" w:eastAsia="仿宋_GB2312" w:hAnsi="仿宋_GB2312" w:cs="仿宋_GB2312" w:hint="eastAsia"/>
          <w:color w:val="000000" w:themeColor="text1"/>
          <w:kern w:val="0"/>
          <w:sz w:val="32"/>
          <w:szCs w:val="32"/>
          <w:lang w:eastAsia="zh-Hans"/>
          <w14:textFill>
            <w14:solidFill>
              <w14:schemeClr w14:val="tx1"/>
            </w14:solidFill>
          </w14:textFill>
        </w:rPr>
        <w:t>目标</w:t>
      </w:r>
      <w:r>
        <w:rPr>
          <w:rFonts w:ascii="仿宋_GB2312" w:eastAsia="仿宋_GB2312" w:hAnsi="仿宋_GB2312" w:cs="仿宋_GB2312" w:hint="eastAsia"/>
          <w:color w:val="000000" w:themeColor="text1"/>
          <w:kern w:val="0"/>
          <w:sz w:val="32"/>
          <w:szCs w:val="32"/>
          <w14:textFill>
            <w14:solidFill>
              <w14:schemeClr w14:val="tx1"/>
            </w14:solidFill>
          </w14:textFill>
        </w:rPr>
        <w:t>。部分绩效目标设置不合理，如质量指标和本项目建设后期成果验收方面没有写清楚，应写项目验收合格率等。</w:t>
      </w:r>
      <w:r>
        <w:rPr>
          <w:rFonts w:ascii="仿宋_GB2312" w:eastAsia="仿宋_GB2312" w:hAnsi="仿宋_GB2312" w:cs="仿宋_GB2312" w:hint="eastAsia"/>
          <w:color w:val="000000" w:themeColor="text1"/>
          <w:kern w:val="0"/>
          <w:sz w:val="32"/>
          <w:szCs w:val="32"/>
          <w14:textFill>
            <w14:solidFill>
              <w14:schemeClr w14:val="tx1"/>
            </w14:solidFill>
          </w14:textFill>
        </w:rPr>
        <w:tab/>
      </w:r>
    </w:p>
    <w:bookmarkEnd w:id="90"/>
    <w:bookmarkEnd w:id="91"/>
    <w:bookmarkEnd w:id="92"/>
    <w:p>
      <w:pPr>
        <w:pStyle w:val="1"/>
        <w:numPr>
          <w:ilvl w:val="0"/>
          <w:numId w:val="0"/>
        </w:numPr>
        <w:ind w:firstLine="640" w:firstLineChars="200"/>
        <w:outlineLvl w:val="0"/>
        <w:rPr>
          <w:rFonts w:ascii="Times New Roman" w:hAnsi="Times New Roman"/>
        </w:rPr>
      </w:pPr>
      <w:bookmarkStart w:id="95" w:name="_Toc111656767"/>
      <w:bookmarkStart w:id="96" w:name="_Toc80707420"/>
      <w:bookmarkStart w:id="97" w:name="_Toc958"/>
      <w:bookmarkStart w:id="98" w:name="_Toc3994"/>
      <w:bookmarkStart w:id="99" w:name="_Toc30163854"/>
      <w:r>
        <w:rPr>
          <w:rFonts w:ascii="Times New Roman" w:eastAsia="黑体" w:hAnsi="Times New Roman" w:cs="Times New Roman" w:hint="eastAsia"/>
          <w:b/>
          <w:kern w:val="0"/>
          <w:sz w:val="32"/>
          <w:szCs w:val="28"/>
          <w:lang w:val="en-US" w:eastAsia="zh-CN" w:bidi="ar-SA"/>
        </w:rPr>
        <w:t>六、</w:t>
      </w:r>
      <w:r>
        <w:rPr>
          <w:rFonts w:ascii="Times New Roman" w:hAnsi="Times New Roman" w:hint="eastAsia"/>
        </w:rPr>
        <w:t>有关建议</w:t>
      </w:r>
      <w:bookmarkEnd w:id="95"/>
      <w:bookmarkEnd w:id="96"/>
    </w:p>
    <w:p>
      <w:pPr>
        <w:widowControl/>
        <w:overflowPunct w:val="0"/>
        <w:autoSpaceDE w:val="0"/>
        <w:autoSpaceDN w:val="0"/>
        <w:adjustRightInd w:val="0"/>
        <w:spacing w:line="560" w:lineRule="exact"/>
        <w:ind w:firstLine="640" w:firstLineChars="200"/>
        <w:textAlignment w:val="baseline"/>
        <w:rPr>
          <w:rFonts w:ascii="Times New Roman" w:eastAsia="仿宋_GB2312" w:hAnsi="Times New Roman"/>
          <w:kern w:val="0"/>
          <w:sz w:val="32"/>
          <w:szCs w:val="32"/>
        </w:rPr>
      </w:pPr>
      <w:r>
        <w:rPr>
          <w:rFonts w:ascii="Times New Roman" w:eastAsia="仿宋_GB2312" w:hAnsi="Times New Roman" w:hint="eastAsia"/>
          <w:bCs/>
          <w:kern w:val="0"/>
          <w:sz w:val="32"/>
          <w:szCs w:val="32"/>
        </w:rPr>
        <w:t>针对绩效目标合理性不足的问题，建议</w:t>
      </w:r>
      <w:r>
        <w:rPr>
          <w:rFonts w:ascii="Times New Roman" w:eastAsia="仿宋_GB2312" w:hAnsi="Times New Roman" w:hint="eastAsia"/>
          <w:kern w:val="0"/>
          <w:sz w:val="32"/>
          <w:szCs w:val="32"/>
        </w:rPr>
        <w:t>乌苏</w:t>
      </w:r>
      <w:r>
        <w:rPr>
          <w:rFonts w:ascii="Times New Roman" w:eastAsia="仿宋_GB2312" w:hAnsi="Times New Roman"/>
          <w:kern w:val="0"/>
          <w:sz w:val="32"/>
          <w:szCs w:val="32"/>
        </w:rPr>
        <w:t>市</w:t>
      </w:r>
      <w:r>
        <w:rPr>
          <w:rFonts w:ascii="Times New Roman" w:eastAsia="仿宋_GB2312" w:hAnsi="Times New Roman" w:hint="eastAsia"/>
          <w:kern w:val="0"/>
          <w:sz w:val="32"/>
          <w:szCs w:val="32"/>
        </w:rPr>
        <w:t>民政局</w:t>
      </w:r>
      <w:r>
        <w:rPr>
          <w:rFonts w:ascii="Times New Roman" w:eastAsia="仿宋_GB2312" w:hAnsi="Times New Roman" w:hint="eastAsia"/>
          <w:bCs/>
          <w:kern w:val="0"/>
          <w:sz w:val="32"/>
          <w:szCs w:val="32"/>
        </w:rPr>
        <w:t>加强项目目标研究，提升目标申报水平。首先，在项目绩效目标申报阶段，应认真研究项目特点，从明确性、可衡量性、可实现性、相关性和时限性等方面着手，设置与项目匹配的指标，更好地凸显项目绩效。建议乌苏市加大绩效管理知识的培训力度，提升各单位对绩效理念的认知，加强绩效目标审核，对绩效目标编制质量进行严格把关，设置不合理、不科学的绩效目标应退回预算单位，并要求进行进一步修改，以确保绩效目标编制的完整性、科学性。</w:t>
      </w:r>
    </w:p>
    <w:p>
      <w:pPr>
        <w:widowControl/>
        <w:overflowPunct w:val="0"/>
        <w:autoSpaceDE w:val="0"/>
        <w:autoSpaceDN w:val="0"/>
        <w:adjustRightInd w:val="0"/>
        <w:spacing w:line="560" w:lineRule="exact"/>
        <w:textAlignment w:val="baseline"/>
        <w:rPr>
          <w:rFonts w:ascii="Times New Roman" w:eastAsia="仿宋_GB2312" w:hAnsi="Times New Roman"/>
          <w:kern w:val="0"/>
          <w:sz w:val="32"/>
          <w:szCs w:val="32"/>
        </w:rPr>
        <w:sectPr>
          <w:footerReference w:type="default" r:id="rId7"/>
          <w:pgSz w:w="11906" w:h="16838"/>
          <w:pgMar w:top="1440" w:right="1800" w:bottom="1440" w:left="1800" w:header="851" w:footer="992" w:gutter="0"/>
          <w:pgNumType w:start="1"/>
          <w:cols w:num="1" w:space="425"/>
          <w:docGrid w:type="lines" w:linePitch="312" w:charSpace="0"/>
        </w:sectPr>
      </w:pPr>
    </w:p>
    <w:bookmarkEnd w:id="97"/>
    <w:bookmarkEnd w:id="98"/>
    <w:bookmarkEnd w:id="99"/>
    <w:p>
      <w:pPr>
        <w:spacing w:line="500" w:lineRule="exact"/>
        <w:outlineLvl w:val="0"/>
        <w:rPr>
          <w:rFonts w:ascii="黑体" w:eastAsia="黑体" w:hAnsi="黑体" w:cs="黑体"/>
          <w:b/>
          <w:sz w:val="32"/>
          <w:szCs w:val="32"/>
        </w:rPr>
      </w:pPr>
      <w:bookmarkStart w:id="100" w:name="_Toc111656771"/>
      <w:bookmarkStart w:id="101" w:name="_Toc32235"/>
      <w:r>
        <w:rPr>
          <w:rFonts w:ascii="黑体" w:eastAsia="黑体" w:hAnsi="黑体" w:cs="黑体" w:hint="eastAsia"/>
          <w:b/>
          <w:sz w:val="32"/>
          <w:szCs w:val="32"/>
        </w:rPr>
        <w:t>附件一 综合评分表</w:t>
      </w:r>
      <w:bookmarkEnd w:id="100"/>
      <w:bookmarkEnd w:id="101"/>
    </w:p>
    <w:tbl>
      <w:tblPr>
        <w:tblStyle w:val="TableNormal"/>
        <w:tblW w:w="14174" w:type="dxa"/>
        <w:tblInd w:w="0" w:type="dxa"/>
        <w:tblLayout w:type="fixed"/>
        <w:tblCellMar>
          <w:top w:w="0" w:type="dxa"/>
          <w:left w:w="108" w:type="dxa"/>
          <w:bottom w:w="0" w:type="dxa"/>
          <w:right w:w="108" w:type="dxa"/>
        </w:tblCellMar>
      </w:tblPr>
      <w:tblGrid>
        <w:gridCol w:w="676"/>
        <w:gridCol w:w="709"/>
        <w:gridCol w:w="1004"/>
        <w:gridCol w:w="558"/>
        <w:gridCol w:w="1984"/>
        <w:gridCol w:w="848"/>
        <w:gridCol w:w="848"/>
        <w:gridCol w:w="2126"/>
        <w:gridCol w:w="3552"/>
        <w:gridCol w:w="848"/>
        <w:gridCol w:w="1021"/>
      </w:tblGrid>
      <w:tr>
        <w:tblPrEx>
          <w:tblW w:w="14174" w:type="dxa"/>
          <w:tblInd w:w="0" w:type="dxa"/>
          <w:tblLayout w:type="fixed"/>
        </w:tblPrEx>
        <w:trPr>
          <w:trHeight w:val="20"/>
          <w:tblHeader/>
        </w:trPr>
        <w:tc>
          <w:tcPr>
            <w:tcW w:w="676" w:type="dxa"/>
            <w:tcBorders>
              <w:top w:val="single" w:sz="4" w:space="0" w:color="auto"/>
              <w:left w:val="single" w:sz="4" w:space="0" w:color="auto"/>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一级指标</w:t>
            </w:r>
          </w:p>
        </w:tc>
        <w:tc>
          <w:tcPr>
            <w:tcW w:w="709"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二级指标</w:t>
            </w:r>
          </w:p>
        </w:tc>
        <w:tc>
          <w:tcPr>
            <w:tcW w:w="1004"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仿宋_GB2312" w:eastAsia="仿宋_GB2312" w:hAnsi="Times New Roman"/>
                <w:b/>
                <w:bCs/>
                <w:color w:val="000000"/>
                <w:kern w:val="0"/>
                <w:sz w:val="22"/>
              </w:rPr>
            </w:pPr>
            <w:r>
              <w:rPr>
                <w:rFonts w:ascii="仿宋_GB2312" w:eastAsia="仿宋_GB2312" w:hAnsi="Times New Roman" w:hint="eastAsia"/>
                <w:b/>
                <w:bCs/>
                <w:color w:val="000000"/>
                <w:kern w:val="0"/>
                <w:sz w:val="22"/>
              </w:rPr>
              <w:t>三级</w:t>
            </w:r>
          </w:p>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指标</w:t>
            </w:r>
          </w:p>
        </w:tc>
        <w:tc>
          <w:tcPr>
            <w:tcW w:w="55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权重</w:t>
            </w:r>
          </w:p>
        </w:tc>
        <w:tc>
          <w:tcPr>
            <w:tcW w:w="1984"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指标解释</w:t>
            </w:r>
          </w:p>
        </w:tc>
        <w:tc>
          <w:tcPr>
            <w:tcW w:w="8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标杆值</w:t>
            </w:r>
          </w:p>
        </w:tc>
        <w:tc>
          <w:tcPr>
            <w:tcW w:w="8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评分依据</w:t>
            </w:r>
          </w:p>
        </w:tc>
        <w:tc>
          <w:tcPr>
            <w:tcW w:w="2126"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评价标准</w:t>
            </w:r>
          </w:p>
        </w:tc>
        <w:tc>
          <w:tcPr>
            <w:tcW w:w="3552"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评分过程</w:t>
            </w:r>
          </w:p>
        </w:tc>
        <w:tc>
          <w:tcPr>
            <w:tcW w:w="848"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得分</w:t>
            </w:r>
          </w:p>
        </w:tc>
        <w:tc>
          <w:tcPr>
            <w:tcW w:w="1021" w:type="dxa"/>
            <w:tcBorders>
              <w:top w:val="single" w:sz="4" w:space="0" w:color="auto"/>
              <w:left w:val="nil"/>
              <w:bottom w:val="single" w:sz="4" w:space="0" w:color="auto"/>
              <w:right w:val="single" w:sz="4" w:space="0" w:color="auto"/>
            </w:tcBorders>
            <w:shd w:val="clear" w:color="000000" w:fill="BEBEBE"/>
            <w:vAlign w:val="center"/>
          </w:tcPr>
          <w:p>
            <w:pPr>
              <w:widowControl/>
              <w:jc w:val="center"/>
              <w:rPr>
                <w:rFonts w:ascii="Times New Roman" w:eastAsia="等线" w:hAnsi="Times New Roman"/>
                <w:b/>
                <w:bCs/>
                <w:color w:val="000000"/>
                <w:kern w:val="0"/>
                <w:sz w:val="22"/>
              </w:rPr>
            </w:pPr>
            <w:r>
              <w:rPr>
                <w:rFonts w:ascii="仿宋_GB2312" w:eastAsia="仿宋_GB2312" w:hAnsi="Times New Roman" w:hint="eastAsia"/>
                <w:b/>
                <w:bCs/>
                <w:color w:val="000000"/>
                <w:kern w:val="0"/>
                <w:sz w:val="22"/>
              </w:rPr>
              <w:t>得分率</w:t>
            </w:r>
          </w:p>
        </w:tc>
      </w:tr>
      <w:tr>
        <w:tblPrEx>
          <w:tblW w:w="14174" w:type="dxa"/>
          <w:tblInd w:w="0" w:type="dxa"/>
          <w:tblLayout w:type="fixed"/>
        </w:tblPrEx>
        <w:trPr>
          <w:trHeight w:val="20"/>
        </w:trPr>
        <w:tc>
          <w:tcPr>
            <w:tcW w:w="676"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A项目决策（</w:t>
            </w:r>
            <w:r>
              <w:rPr>
                <w:rFonts w:ascii="Times New Roman" w:eastAsia="仿宋_GB2312" w:hAnsi="Times New Roman" w:hint="eastAsia"/>
                <w:kern w:val="0"/>
                <w:sz w:val="22"/>
              </w:rPr>
              <w:t>60</w:t>
            </w:r>
            <w:r>
              <w:rPr>
                <w:rFonts w:ascii="Times New Roman" w:eastAsia="仿宋_GB2312" w:hAnsi="Times New Roman"/>
                <w:kern w:val="0"/>
                <w:sz w:val="22"/>
              </w:rPr>
              <w:t>）</w:t>
            </w:r>
          </w:p>
        </w:tc>
        <w:tc>
          <w:tcPr>
            <w:tcW w:w="709"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A1</w:t>
            </w:r>
            <w:r>
              <w:rPr>
                <w:rFonts w:ascii="Times New Roman" w:eastAsia="仿宋_GB2312" w:hAnsi="Times New Roman" w:hint="eastAsia"/>
                <w:kern w:val="0"/>
                <w:sz w:val="22"/>
              </w:rPr>
              <w:t>决策依据</w:t>
            </w:r>
            <w:r>
              <w:rPr>
                <w:rFonts w:ascii="Times New Roman" w:eastAsia="仿宋_GB2312" w:hAnsi="Times New Roman"/>
                <w:kern w:val="0"/>
                <w:sz w:val="22"/>
              </w:rPr>
              <w:t>（</w:t>
            </w:r>
            <w:r>
              <w:rPr>
                <w:rFonts w:ascii="Times New Roman" w:eastAsia="仿宋_GB2312" w:hAnsi="Times New Roman" w:hint="eastAsia"/>
                <w:kern w:val="0"/>
                <w:sz w:val="22"/>
              </w:rPr>
              <w:t>50</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A101 </w:t>
            </w:r>
            <w:r>
              <w:rPr>
                <w:rFonts w:ascii="Times New Roman" w:eastAsia="仿宋_GB2312" w:hAnsi="Times New Roman" w:hint="eastAsia"/>
                <w:kern w:val="0"/>
                <w:sz w:val="22"/>
              </w:rPr>
              <w:t>合规性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是否符合相关法律法规制度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合规</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符合法律制度(5分)依据充分合规(5分)符合政策申报原则(5分)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仿宋_GB2312" w:eastAsia="仿宋_GB2312" w:hAnsi="Times New Roman" w:hint="eastAsia"/>
                <w:color w:val="000000" w:themeColor="text1"/>
                <w:kern w:val="0"/>
                <w:sz w:val="22"/>
                <w14:textFill>
                  <w14:solidFill>
                    <w14:schemeClr w14:val="tx1"/>
                  </w14:solidFill>
                </w14:textFill>
              </w:rPr>
              <w:t>该项目按照规定程序设立，立项程序合规。事前经过对新疆维吾尔自治区乌苏市相关政策进行研究、集体决策等，有《</w:t>
            </w:r>
            <w:r>
              <w:rPr>
                <w:rFonts w:ascii="仿宋_GB2312" w:eastAsia="仿宋_GB2312" w:hAnsi="Times New Roman" w:hint="eastAsia"/>
                <w:bCs/>
                <w:color w:val="000000"/>
                <w:kern w:val="0"/>
                <w:sz w:val="22"/>
              </w:rPr>
              <w:t>乌苏市2022年棚户区改造项目</w:t>
            </w:r>
            <w:r>
              <w:rPr>
                <w:rFonts w:ascii="仿宋_GB2312" w:eastAsia="仿宋_GB2312" w:hAnsi="Times New Roman" w:hint="eastAsia"/>
                <w:color w:val="000000"/>
                <w:kern w:val="0"/>
                <w:sz w:val="22"/>
              </w:rPr>
              <w:t>可行性研究报告</w:t>
            </w:r>
            <w:r>
              <w:rPr>
                <w:rFonts w:ascii="仿宋_GB2312" w:eastAsia="仿宋_GB2312" w:hAnsi="Times New Roman" w:hint="eastAsia"/>
                <w:color w:val="000000" w:themeColor="text1"/>
                <w:kern w:val="0"/>
                <w:sz w:val="22"/>
                <w14:textFill>
                  <w14:solidFill>
                    <w14:schemeClr w14:val="tx1"/>
                  </w14:solidFill>
                </w14:textFill>
              </w:rPr>
              <w:t>》，项目立项符合规定程序，立项文件和审批文件完整，综上，该项得分15分。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vMerge/>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A102 </w:t>
            </w:r>
            <w:r>
              <w:rPr>
                <w:rFonts w:ascii="Times New Roman" w:eastAsia="仿宋_GB2312" w:hAnsi="Times New Roman" w:hint="eastAsia"/>
                <w:kern w:val="0"/>
                <w:sz w:val="22"/>
              </w:rPr>
              <w:t>科学性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是否符合绩效优先、民生优先</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科学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kern w:val="0"/>
                <w:sz w:val="22"/>
              </w:rPr>
            </w:pPr>
            <w:r>
              <w:rPr>
                <w:rFonts w:ascii="Times New Roman" w:eastAsia="仿宋_GB2312" w:hAnsi="Times New Roman" w:hint="eastAsia"/>
                <w:kern w:val="0"/>
                <w:sz w:val="22"/>
              </w:rPr>
              <w:t>符合自治区本级总体规划(5分)符合大事优先、民生优先(5分)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仿宋_GB2312" w:eastAsia="仿宋_GB2312" w:hAnsi="Times New Roman"/>
                <w:color w:val="000000" w:themeColor="text1"/>
                <w:kern w:val="0"/>
                <w:sz w:val="22"/>
                <w14:textFill>
                  <w14:solidFill>
                    <w14:schemeClr w14:val="tx1"/>
                  </w14:solidFill>
                </w14:textFill>
              </w:rPr>
            </w:pPr>
            <w:r>
              <w:rPr>
                <w:rFonts w:ascii="仿宋_GB2312" w:eastAsia="仿宋_GB2312" w:hAnsi="Times New Roman" w:hint="eastAsia"/>
                <w:color w:val="000000" w:themeColor="text1"/>
                <w:kern w:val="0"/>
                <w:sz w:val="22"/>
                <w14:textFill>
                  <w14:solidFill>
                    <w14:schemeClr w14:val="tx1"/>
                  </w14:solidFill>
                </w14:textFill>
              </w:rPr>
              <w:t>根据《乌苏市2022年棚户区改造醒目可行性研究报告》该项目符合自治区总级本体规划，符合大事优先、民生优先，故得10分。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PrEx>
        <w:trPr>
          <w:trHeight w:val="20"/>
        </w:trPr>
        <w:tc>
          <w:tcPr>
            <w:tcW w:w="676" w:type="dxa"/>
            <w:vMerge/>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p>
        </w:tc>
        <w:tc>
          <w:tcPr>
            <w:tcW w:w="709" w:type="dxa"/>
            <w:vMerge/>
            <w:tcBorders>
              <w:top w:val="nil"/>
              <w:left w:val="single" w:sz="4" w:space="0" w:color="auto"/>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A103 可行性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阐述理由的合理性，政策实施的可行性</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可行</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hint="eastAsia"/>
                <w:kern w:val="0"/>
                <w:sz w:val="22"/>
              </w:rPr>
              <w:t>经过调研论证(5分)政策有详细概算且概算合理(5分)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hAnsi="Times New Roman"/>
                <w:kern w:val="0"/>
                <w:sz w:val="22"/>
              </w:rPr>
            </w:pPr>
            <w:r>
              <w:rPr>
                <w:rFonts w:ascii="仿宋_GB2312" w:eastAsia="仿宋_GB2312" w:hAnsi="Times New Roman" w:hint="eastAsia"/>
                <w:color w:val="000000" w:themeColor="text1"/>
                <w:kern w:val="0"/>
                <w:sz w:val="22"/>
                <w14:textFill>
                  <w14:solidFill>
                    <w14:schemeClr w14:val="tx1"/>
                  </w14:solidFill>
                </w14:textFill>
              </w:rPr>
              <w:t>根据《乌苏市2022年棚户区改造醒目可行性研究报告》，《关于对乌苏市2022年棚户区改造项目可行性研究报告(代项目建议书)的批复》(乌发改[2021]205号)等资料，该项目经过调研论证，有详细概算，故得10分。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A104 必要性</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是否履行单位职能所必须的，是否无法替代</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 xml:space="preserve">必要 </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hint="eastAsia"/>
                <w:kern w:val="0"/>
                <w:sz w:val="22"/>
              </w:rPr>
              <w:t>是否履行单位职能所必须的(10分)，具有不可替代性(5分)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仿宋_GB2312" w:eastAsia="仿宋_GB2312" w:hAnsi="Times New Roman" w:hint="eastAsia"/>
                <w:color w:val="000000" w:themeColor="text1"/>
                <w:kern w:val="0"/>
                <w:sz w:val="22"/>
                <w14:textFill>
                  <w14:solidFill>
                    <w14:schemeClr w14:val="tx1"/>
                  </w14:solidFill>
                </w14:textFill>
              </w:rPr>
              <w:t>根据《乌苏市2022年棚户区改造醒目可行性研究报告》中项目建设必要性及不可替代性，该项得15分。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PrEx>
        <w:trPr>
          <w:trHeight w:val="9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tcBorders>
              <w:top w:val="nil"/>
              <w:left w:val="single" w:sz="4" w:space="0" w:color="auto"/>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A2 </w:t>
            </w:r>
            <w:r>
              <w:rPr>
                <w:rFonts w:ascii="Times New Roman" w:eastAsia="仿宋_GB2312" w:hAnsi="Times New Roman" w:hint="eastAsia"/>
                <w:kern w:val="0"/>
                <w:sz w:val="22"/>
              </w:rPr>
              <w:t>申报材料</w:t>
            </w:r>
            <w:r>
              <w:rPr>
                <w:rFonts w:ascii="Times New Roman" w:eastAsia="仿宋_GB2312" w:hAnsi="Times New Roman"/>
                <w:kern w:val="0"/>
                <w:sz w:val="22"/>
              </w:rPr>
              <w:t>（</w:t>
            </w:r>
            <w:r>
              <w:rPr>
                <w:rFonts w:ascii="Times New Roman" w:eastAsia="仿宋_GB2312" w:hAnsi="Times New Roman" w:hint="eastAsia"/>
                <w:kern w:val="0"/>
                <w:sz w:val="22"/>
              </w:rPr>
              <w:t>10</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A201 </w:t>
            </w:r>
            <w:r>
              <w:rPr>
                <w:rFonts w:ascii="Times New Roman" w:eastAsia="仿宋_GB2312" w:hAnsi="Times New Roman" w:hint="eastAsia"/>
                <w:kern w:val="0"/>
                <w:sz w:val="22"/>
              </w:rPr>
              <w:t>材料质量</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10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材料真实、规范、完整</w:t>
            </w:r>
            <w:r>
              <w:rPr>
                <w:rFonts w:ascii="Times New Roman" w:eastAsia="仿宋_GB2312" w:hAnsi="Times New Roman" w:hint="eastAsia"/>
                <w:kern w:val="0"/>
                <w:sz w:val="22"/>
              </w:rPr>
              <w:t>及</w:t>
            </w:r>
            <w:r>
              <w:rPr>
                <w:rFonts w:ascii="Times New Roman" w:eastAsia="仿宋_GB2312" w:hAnsi="Times New Roman" w:hint="eastAsia"/>
                <w:kern w:val="0"/>
                <w:sz w:val="22"/>
              </w:rPr>
              <w:t>时</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真实、规范、完整</w:t>
            </w:r>
            <w:r>
              <w:rPr>
                <w:rFonts w:ascii="Times New Roman" w:eastAsia="仿宋_GB2312" w:hAnsi="Times New Roman" w:hint="eastAsia"/>
                <w:kern w:val="0"/>
                <w:sz w:val="22"/>
              </w:rPr>
              <w:t>及</w:t>
            </w:r>
            <w:r>
              <w:rPr>
                <w:rFonts w:ascii="Times New Roman" w:eastAsia="仿宋_GB2312" w:hAnsi="Times New Roman" w:hint="eastAsia"/>
                <w:kern w:val="0"/>
                <w:sz w:val="22"/>
              </w:rPr>
              <w:t>时</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材料真实、完整(5分）材料送审及时(5分)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《乌苏市住房和城乡建设局真实性承诺函》承诺提供得材料真实、规范、完整，并且送审及时，故得10分。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10</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PrEx>
        <w:trPr>
          <w:trHeight w:val="20"/>
        </w:trPr>
        <w:tc>
          <w:tcPr>
            <w:tcW w:w="676"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B 项目管理（1</w:t>
            </w:r>
            <w:r>
              <w:rPr>
                <w:rFonts w:ascii="Times New Roman" w:eastAsia="仿宋_GB2312" w:hAnsi="Times New Roman" w:hint="eastAsia"/>
                <w:kern w:val="0"/>
                <w:sz w:val="22"/>
              </w:rPr>
              <w:t>0</w:t>
            </w:r>
            <w:r>
              <w:rPr>
                <w:rFonts w:ascii="Times New Roman" w:eastAsia="仿宋_GB2312" w:hAnsi="Times New Roman"/>
                <w:kern w:val="0"/>
                <w:sz w:val="22"/>
              </w:rPr>
              <w:t>）</w:t>
            </w:r>
          </w:p>
        </w:tc>
        <w:tc>
          <w:tcPr>
            <w:tcW w:w="709"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B1 </w:t>
            </w:r>
            <w:r>
              <w:rPr>
                <w:rFonts w:ascii="Times New Roman" w:eastAsia="仿宋_GB2312" w:hAnsi="Times New Roman" w:hint="eastAsia"/>
                <w:kern w:val="0"/>
                <w:sz w:val="22"/>
              </w:rPr>
              <w:t>资金管理</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B101 </w:t>
            </w:r>
            <w:r>
              <w:rPr>
                <w:rFonts w:ascii="Times New Roman" w:eastAsia="仿宋_GB2312" w:hAnsi="Times New Roman" w:hint="eastAsia"/>
                <w:kern w:val="0"/>
                <w:sz w:val="22"/>
              </w:rPr>
              <w:t>财务管理</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财务制度是否规范、健全</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健全</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财务制度健全(5分)</w:t>
            </w:r>
          </w:p>
        </w:tc>
        <w:tc>
          <w:tcPr>
            <w:tcW w:w="3552"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仿宋_GB2312" w:hAnsi="Times New Roman"/>
                <w:color w:val="000000"/>
                <w:kern w:val="0"/>
                <w:sz w:val="22"/>
              </w:rPr>
            </w:pPr>
            <w:r>
              <w:rPr>
                <w:rFonts w:ascii="仿宋_GB2312" w:eastAsia="仿宋_GB2312" w:hAnsi="Times New Roman" w:hint="eastAsia"/>
                <w:kern w:val="0"/>
                <w:sz w:val="22"/>
              </w:rPr>
              <w:t>该项目已制定相应的项目资金管理办法；相关办法中关于资金支出范围、标准、资金下拨审核明确。故得5分。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tcBorders>
              <w:top w:val="nil"/>
              <w:left w:val="single" w:sz="4" w:space="0" w:color="auto"/>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B2 </w:t>
            </w:r>
            <w:r>
              <w:rPr>
                <w:rFonts w:ascii="Times New Roman" w:eastAsia="仿宋_GB2312" w:hAnsi="Times New Roman" w:hint="eastAsia"/>
                <w:kern w:val="0"/>
                <w:sz w:val="22"/>
              </w:rPr>
              <w:t>组织实施</w:t>
            </w:r>
            <w:r>
              <w:rPr>
                <w:rFonts w:ascii="Times New Roman" w:eastAsia="仿宋_GB2312" w:hAnsi="Times New Roman"/>
                <w:kern w:val="0"/>
                <w:sz w:val="22"/>
              </w:rPr>
              <w:t>（</w:t>
            </w:r>
            <w:r>
              <w:rPr>
                <w:rFonts w:ascii="Times New Roman" w:eastAsia="仿宋_GB2312" w:hAnsi="Times New Roman" w:hint="eastAsia"/>
                <w:kern w:val="0"/>
                <w:sz w:val="22"/>
              </w:rPr>
              <w:t>5</w:t>
            </w:r>
            <w:r>
              <w:rPr>
                <w:rFonts w:ascii="Times New Roman" w:eastAsia="仿宋_GB2312" w:hAnsi="Times New Roman"/>
                <w:kern w:val="0"/>
                <w:sz w:val="22"/>
              </w:rPr>
              <w:t>）</w:t>
            </w:r>
          </w:p>
        </w:tc>
        <w:tc>
          <w:tcPr>
            <w:tcW w:w="1004"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仿宋_GB2312" w:hAnsi="Times New Roman"/>
                <w:kern w:val="0"/>
                <w:sz w:val="22"/>
              </w:rPr>
              <w:t xml:space="preserve">B201 </w:t>
            </w:r>
            <w:r>
              <w:rPr>
                <w:rFonts w:ascii="Times New Roman" w:eastAsia="仿宋_GB2312" w:hAnsi="Times New Roman" w:hint="eastAsia"/>
                <w:kern w:val="0"/>
                <w:sz w:val="22"/>
              </w:rPr>
              <w:t>制度建设</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是否建立管理制度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是</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建立健全管理制度(5分)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仿宋_GB2312" w:hAnsi="Times New Roman"/>
                <w:color w:val="000000"/>
                <w:kern w:val="0"/>
                <w:sz w:val="22"/>
              </w:rPr>
            </w:pPr>
            <w:r>
              <w:rPr>
                <w:rFonts w:ascii="Times New Roman" w:eastAsia="仿宋_GB2312" w:hAnsi="Times New Roman"/>
                <w:color w:val="000000" w:themeColor="text1"/>
                <w:kern w:val="0"/>
                <w:sz w:val="22"/>
                <w14:textFill>
                  <w14:solidFill>
                    <w14:schemeClr w14:val="tx1"/>
                  </w14:solidFill>
                </w14:textFill>
              </w:rPr>
              <w:t>根据</w:t>
            </w:r>
            <w:r>
              <w:rPr>
                <w:rFonts w:ascii="Times New Roman" w:eastAsia="仿宋_GB2312" w:hAnsi="Times New Roman" w:hint="eastAsia"/>
                <w:color w:val="000000" w:themeColor="text1"/>
                <w:kern w:val="0"/>
                <w:sz w:val="22"/>
                <w14:textFill>
                  <w14:solidFill>
                    <w14:schemeClr w14:val="tx1"/>
                  </w14:solidFill>
                </w14:textFill>
              </w:rPr>
              <w:t>《</w:t>
            </w:r>
            <w:r>
              <w:rPr>
                <w:rFonts w:ascii="仿宋_GB2312" w:eastAsia="仿宋_GB2312" w:hAnsi="Times New Roman" w:hint="eastAsia"/>
                <w:bCs/>
                <w:color w:val="000000"/>
                <w:kern w:val="0"/>
                <w:sz w:val="22"/>
              </w:rPr>
              <w:t>乌苏市2022年棚户区改造</w:t>
            </w:r>
            <w:r>
              <w:rPr>
                <w:rFonts w:ascii="仿宋_GB2312" w:eastAsia="仿宋_GB2312" w:hAnsi="Times New Roman"/>
                <w:bCs/>
                <w:color w:val="000000"/>
                <w:kern w:val="0"/>
                <w:sz w:val="22"/>
              </w:rPr>
              <w:t>项目</w:t>
            </w:r>
            <w:r>
              <w:rPr>
                <w:rFonts w:ascii="Times New Roman" w:eastAsia="仿宋_GB2312" w:hAnsi="Times New Roman" w:hint="eastAsia"/>
                <w:color w:val="000000" w:themeColor="text1"/>
                <w:kern w:val="0"/>
                <w:sz w:val="22"/>
                <w14:textFill>
                  <w14:solidFill>
                    <w14:schemeClr w14:val="tx1"/>
                  </w14:solidFill>
                </w14:textFill>
              </w:rPr>
              <w:t>可行性研究报告》，该项目已经制定了完整的管理制度且制度完善，故得5分。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5</w:t>
            </w:r>
          </w:p>
        </w:tc>
        <w:tc>
          <w:tcPr>
            <w:tcW w:w="1021"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等线" w:hAnsi="Times New Roman"/>
                <w:color w:val="000000"/>
                <w:kern w:val="0"/>
                <w:sz w:val="22"/>
              </w:rPr>
            </w:pPr>
            <w:r>
              <w:rPr>
                <w:rFonts w:ascii="Times New Roman" w:eastAsia="等线" w:hAnsi="Times New Roman" w:hint="eastAsia"/>
                <w:color w:val="000000"/>
                <w:kern w:val="0"/>
                <w:sz w:val="22"/>
              </w:rPr>
              <w:t>100.00%</w:t>
            </w:r>
          </w:p>
        </w:tc>
      </w:tr>
      <w:tr>
        <w:tblPrEx>
          <w:tblW w:w="14174" w:type="dxa"/>
          <w:tblInd w:w="0" w:type="dxa"/>
          <w:tblLayout w:type="fixed"/>
        </w:tblPrEx>
        <w:trPr>
          <w:trHeight w:val="20"/>
        </w:trPr>
        <w:tc>
          <w:tcPr>
            <w:tcW w:w="676" w:type="dxa"/>
            <w:vMerge w:val="restart"/>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C项目绩</w:t>
            </w:r>
            <w:r>
              <w:rPr>
                <w:rFonts w:ascii="Times New Roman" w:eastAsia="仿宋_GB2312" w:hAnsi="Times New Roman" w:hint="eastAsia"/>
                <w:kern w:val="0"/>
                <w:sz w:val="22"/>
              </w:rPr>
              <w:t>效</w:t>
            </w:r>
            <w:r>
              <w:rPr>
                <w:rFonts w:ascii="Times New Roman" w:eastAsia="仿宋_GB2312" w:hAnsi="Times New Roman"/>
                <w:kern w:val="0"/>
                <w:sz w:val="22"/>
              </w:rPr>
              <w:t>（</w:t>
            </w:r>
            <w:r>
              <w:rPr>
                <w:rFonts w:ascii="Times New Roman" w:eastAsia="仿宋_GB2312" w:hAnsi="Times New Roman" w:hint="eastAsia"/>
                <w:kern w:val="0"/>
                <w:sz w:val="22"/>
              </w:rPr>
              <w:t>3</w:t>
            </w:r>
            <w:r>
              <w:rPr>
                <w:rFonts w:ascii="Times New Roman" w:eastAsia="仿宋_GB2312" w:hAnsi="Times New Roman"/>
                <w:kern w:val="0"/>
                <w:sz w:val="22"/>
              </w:rPr>
              <w:t>0）</w:t>
            </w:r>
          </w:p>
        </w:tc>
        <w:tc>
          <w:tcPr>
            <w:tcW w:w="709" w:type="dxa"/>
            <w:tcBorders>
              <w:top w:val="nil"/>
              <w:left w:val="single" w:sz="4" w:space="0" w:color="auto"/>
              <w:bottom w:val="single" w:sz="4" w:space="0" w:color="auto"/>
              <w:right w:val="single" w:sz="4" w:space="0" w:color="auto"/>
            </w:tcBorders>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 xml:space="preserve">C1 </w:t>
            </w:r>
            <w:r>
              <w:rPr>
                <w:rFonts w:ascii="Times New Roman" w:eastAsia="仿宋_GB2312" w:hAnsi="Times New Roman" w:hint="eastAsia"/>
                <w:kern w:val="0"/>
                <w:sz w:val="22"/>
              </w:rPr>
              <w:t>绩效目标</w:t>
            </w:r>
            <w:r>
              <w:rPr>
                <w:rFonts w:ascii="Times New Roman" w:eastAsia="仿宋_GB2312" w:hAnsi="Times New Roman"/>
                <w:kern w:val="0"/>
                <w:sz w:val="22"/>
              </w:rPr>
              <w:t>（</w:t>
            </w:r>
            <w:r>
              <w:rPr>
                <w:rFonts w:ascii="Times New Roman" w:eastAsia="仿宋_GB2312" w:hAnsi="Times New Roman" w:hint="eastAsia"/>
                <w:kern w:val="0"/>
                <w:sz w:val="22"/>
              </w:rPr>
              <w:t>1</w:t>
            </w:r>
            <w:r>
              <w:rPr>
                <w:rFonts w:ascii="Times New Roman" w:eastAsia="仿宋_GB2312" w:hAnsi="Times New Roman"/>
                <w:kern w:val="0"/>
                <w:sz w:val="22"/>
              </w:rPr>
              <w:t>5）</w:t>
            </w:r>
          </w:p>
        </w:tc>
        <w:tc>
          <w:tcPr>
            <w:tcW w:w="1004"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kern w:val="0"/>
                <w:sz w:val="22"/>
              </w:rPr>
              <w:t>C101</w:t>
            </w:r>
            <w:r>
              <w:rPr>
                <w:rFonts w:ascii="Times New Roman" w:eastAsia="仿宋_GB2312" w:hAnsi="Times New Roman" w:hint="eastAsia"/>
                <w:color w:val="000000"/>
                <w:kern w:val="0"/>
                <w:szCs w:val="21"/>
                <w:lang w:bidi="ar"/>
              </w:rPr>
              <w:t>目标质量效益</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color w:val="000000"/>
                <w:kern w:val="0"/>
                <w:szCs w:val="21"/>
                <w:lang w:bidi="ar"/>
              </w:rPr>
              <w:t>各阶段目标明确、科学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color w:val="000000"/>
                <w:kern w:val="0"/>
                <w:szCs w:val="21"/>
                <w:lang w:bidi="ar"/>
              </w:rPr>
              <w:t>各阶段目标明确、科学</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hint="eastAsia"/>
                <w:color w:val="000000"/>
                <w:kern w:val="0"/>
                <w:szCs w:val="21"/>
                <w:lang w:bidi="ar"/>
              </w:rPr>
              <w:t>目标明确(10分)目标效益(5</w:t>
            </w:r>
            <w:r>
              <w:rPr>
                <w:rFonts w:ascii="Times New Roman" w:eastAsia="等线" w:hAnsi="Times New Roman" w:hint="eastAsia"/>
                <w:color w:val="000000"/>
                <w:kern w:val="0"/>
                <w:sz w:val="22"/>
              </w:rPr>
              <w:t>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Times New Roman" w:eastAsia="仿宋_GB2312" w:hAnsi="Times New Roman"/>
                <w:kern w:val="0"/>
                <w:sz w:val="22"/>
              </w:rPr>
            </w:pPr>
            <w:r>
              <w:rPr>
                <w:rFonts w:ascii="仿宋_GB2312" w:eastAsia="仿宋_GB2312" w:hAnsi="Times New Roman" w:hint="eastAsia"/>
                <w:kern w:val="0"/>
                <w:sz w:val="22"/>
              </w:rPr>
              <w:t>根据《乌苏市2022年棚户区改造项目事前绩效评估报告》等相关材料，该项目设立了总目标和年度目标；</w:t>
            </w:r>
            <w:r>
              <w:rPr>
                <w:rFonts w:ascii="Times New Roman" w:eastAsia="仿宋_GB2312" w:hAnsi="Times New Roman"/>
                <w:kern w:val="0"/>
                <w:sz w:val="22"/>
              </w:rPr>
              <w:t>年度绩效目标总体完整、可实现</w:t>
            </w:r>
            <w:r>
              <w:rPr>
                <w:rFonts w:ascii="Times New Roman" w:eastAsia="仿宋_GB2312" w:hAnsi="Times New Roman" w:hint="eastAsia"/>
                <w:kern w:val="0"/>
                <w:sz w:val="22"/>
              </w:rPr>
              <w:t>，有时间限制，与战略目标和总目标相关。目标明确且产生效益，故得15分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13</w:t>
            </w:r>
          </w:p>
        </w:tc>
        <w:tc>
          <w:tcPr>
            <w:tcW w:w="1021"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等线" w:hAnsi="Times New Roman" w:hint="eastAsia"/>
                <w:color w:val="000000"/>
                <w:kern w:val="0"/>
                <w:sz w:val="22"/>
              </w:rPr>
              <w:t>86.66%</w:t>
            </w:r>
          </w:p>
        </w:tc>
      </w:tr>
      <w:tr>
        <w:tblPrEx>
          <w:tblW w:w="14174" w:type="dxa"/>
          <w:tblInd w:w="0" w:type="dxa"/>
          <w:tblLayout w:type="fixed"/>
        </w:tblPrEx>
        <w:trPr>
          <w:trHeight w:val="20"/>
        </w:trPr>
        <w:tc>
          <w:tcPr>
            <w:tcW w:w="676" w:type="dxa"/>
            <w:vMerge/>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p>
        </w:tc>
        <w:tc>
          <w:tcPr>
            <w:tcW w:w="709" w:type="dxa"/>
            <w:tcBorders>
              <w:top w:val="nil"/>
              <w:left w:val="single" w:sz="4" w:space="0" w:color="auto"/>
              <w:bottom w:val="single" w:sz="4" w:space="0" w:color="auto"/>
              <w:right w:val="single" w:sz="4" w:space="0" w:color="auto"/>
            </w:tcBorders>
            <w:vAlign w:val="center"/>
          </w:tcPr>
          <w:p>
            <w:pPr>
              <w:widowControl/>
              <w:jc w:val="left"/>
              <w:rPr>
                <w:rFonts w:ascii="Times New Roman" w:eastAsia="等线" w:hAnsi="Times New Roman"/>
                <w:color w:val="000000"/>
                <w:kern w:val="0"/>
                <w:sz w:val="22"/>
              </w:rPr>
            </w:pPr>
            <w:r>
              <w:rPr>
                <w:rFonts w:ascii="Times New Roman" w:eastAsia="仿宋_GB2312" w:hAnsi="Times New Roman" w:hint="eastAsia"/>
                <w:kern w:val="0"/>
                <w:sz w:val="22"/>
              </w:rPr>
              <w:t>C2 预期绩效结果(15)</w:t>
            </w:r>
          </w:p>
        </w:tc>
        <w:tc>
          <w:tcPr>
            <w:tcW w:w="1004"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仿宋_GB2312" w:hAnsi="Times New Roman"/>
                <w:kern w:val="0"/>
                <w:sz w:val="22"/>
              </w:rPr>
              <w:t>C2</w:t>
            </w:r>
            <w:r>
              <w:rPr>
                <w:rFonts w:ascii="Times New Roman" w:eastAsia="仿宋_GB2312" w:hAnsi="Times New Roman" w:hint="eastAsia"/>
                <w:kern w:val="0"/>
                <w:sz w:val="22"/>
              </w:rPr>
              <w:t xml:space="preserve">01 </w:t>
            </w:r>
            <w:r>
              <w:rPr>
                <w:rFonts w:ascii="Times New Roman" w:eastAsia="仿宋_GB2312" w:hAnsi="Times New Roman" w:cs="仿宋" w:hint="eastAsia"/>
                <w:color w:val="000000"/>
                <w:szCs w:val="21"/>
              </w:rPr>
              <w:t>效益类产出</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kern w:val="0"/>
                <w:sz w:val="22"/>
              </w:rPr>
              <w:t>1</w:t>
            </w:r>
            <w:r>
              <w:rPr>
                <w:rFonts w:ascii="Times New Roman" w:eastAsia="仿宋_GB2312" w:hAnsi="Times New Roman" w:hint="eastAsia"/>
                <w:kern w:val="0"/>
                <w:sz w:val="22"/>
              </w:rPr>
              <w:t>5</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color w:val="000000"/>
                <w:kern w:val="0"/>
                <w:szCs w:val="21"/>
                <w:lang w:bidi="ar"/>
              </w:rPr>
              <w:t>实施是否带来社会、经济、文化、环境等效益</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kern w:val="0"/>
                <w:sz w:val="22"/>
              </w:rPr>
              <w:t>是</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kern w:val="0"/>
                <w:sz w:val="22"/>
              </w:rPr>
              <w:t>通用标准</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hint="eastAsia"/>
                <w:color w:val="000000"/>
                <w:kern w:val="0"/>
                <w:szCs w:val="21"/>
                <w:lang w:bidi="ar"/>
              </w:rPr>
              <w:t>预计可以带来社会、经济、文化、环境等效益，达到预期目标(15分)</w:t>
            </w:r>
          </w:p>
        </w:tc>
        <w:tc>
          <w:tcPr>
            <w:tcW w:w="3552" w:type="dxa"/>
            <w:tcBorders>
              <w:top w:val="nil"/>
              <w:left w:val="nil"/>
              <w:bottom w:val="single" w:sz="4" w:space="0" w:color="auto"/>
              <w:right w:val="single" w:sz="4" w:space="0" w:color="auto"/>
            </w:tcBorders>
            <w:shd w:val="clear" w:color="auto" w:fill="auto"/>
            <w:vAlign w:val="center"/>
          </w:tcPr>
          <w:p>
            <w:pPr>
              <w:widowControl/>
              <w:jc w:val="left"/>
              <w:rPr>
                <w:rFonts w:ascii="仿宋_GB2312" w:eastAsia="仿宋_GB2312" w:hAnsi="Times New Roman"/>
                <w:color w:val="000000"/>
                <w:kern w:val="0"/>
                <w:sz w:val="22"/>
              </w:rPr>
            </w:pPr>
            <w:r>
              <w:rPr>
                <w:rFonts w:ascii="仿宋_GB2312" w:eastAsia="仿宋_GB2312" w:hAnsi="Times New Roman" w:hint="eastAsia"/>
                <w:color w:val="000000"/>
                <w:kern w:val="0"/>
                <w:sz w:val="22"/>
              </w:rPr>
              <w:t>根据</w:t>
            </w:r>
            <w:r>
              <w:rPr>
                <w:rFonts w:ascii="Times New Roman" w:eastAsia="仿宋_GB2312" w:hAnsi="Times New Roman" w:hint="eastAsia"/>
                <w:color w:val="000000" w:themeColor="text1"/>
                <w:kern w:val="0"/>
                <w:sz w:val="22"/>
                <w14:textFill>
                  <w14:solidFill>
                    <w14:schemeClr w14:val="tx1"/>
                  </w14:solidFill>
                </w14:textFill>
              </w:rPr>
              <w:t>《</w:t>
            </w:r>
            <w:r>
              <w:rPr>
                <w:rFonts w:ascii="仿宋_GB2312" w:eastAsia="仿宋_GB2312" w:hAnsi="Times New Roman" w:hint="eastAsia"/>
                <w:bCs/>
                <w:color w:val="000000"/>
                <w:kern w:val="0"/>
                <w:sz w:val="22"/>
              </w:rPr>
              <w:t>乌苏市2022年棚户区改造</w:t>
            </w:r>
            <w:r>
              <w:rPr>
                <w:rFonts w:ascii="仿宋_GB2312" w:eastAsia="仿宋_GB2312" w:hAnsi="Times New Roman"/>
                <w:bCs/>
                <w:color w:val="000000"/>
                <w:kern w:val="0"/>
                <w:sz w:val="22"/>
              </w:rPr>
              <w:t>项目</w:t>
            </w:r>
            <w:r>
              <w:rPr>
                <w:rFonts w:ascii="Times New Roman" w:eastAsia="仿宋_GB2312" w:hAnsi="Times New Roman" w:hint="eastAsia"/>
                <w:color w:val="000000" w:themeColor="text1"/>
                <w:kern w:val="0"/>
                <w:sz w:val="22"/>
                <w14:textFill>
                  <w14:solidFill>
                    <w14:schemeClr w14:val="tx1"/>
                  </w14:solidFill>
                </w14:textFill>
              </w:rPr>
              <w:t>可行性研究报告》中关于效益的分析，该项目能够产出较好的效益，故得14分。</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14</w:t>
            </w:r>
          </w:p>
        </w:tc>
        <w:tc>
          <w:tcPr>
            <w:tcW w:w="1021" w:type="dxa"/>
            <w:tcBorders>
              <w:top w:val="nil"/>
              <w:left w:val="nil"/>
              <w:bottom w:val="single" w:sz="4" w:space="0" w:color="auto"/>
              <w:right w:val="single" w:sz="4" w:space="0" w:color="auto"/>
            </w:tcBorders>
            <w:shd w:val="clear" w:color="auto" w:fill="auto"/>
            <w:vAlign w:val="center"/>
          </w:tcPr>
          <w:p>
            <w:pPr>
              <w:widowControl/>
              <w:rPr>
                <w:rFonts w:ascii="Times New Roman" w:eastAsia="等线" w:hAnsi="Times New Roman"/>
                <w:color w:val="000000"/>
                <w:kern w:val="0"/>
                <w:sz w:val="22"/>
              </w:rPr>
            </w:pPr>
            <w:r>
              <w:rPr>
                <w:rFonts w:ascii="Times New Roman" w:eastAsia="等线" w:hAnsi="Times New Roman" w:hint="eastAsia"/>
                <w:color w:val="000000"/>
                <w:kern w:val="0"/>
                <w:sz w:val="22"/>
              </w:rPr>
              <w:t>98.89%</w:t>
            </w:r>
          </w:p>
        </w:tc>
      </w:tr>
      <w:tr>
        <w:tblPrEx>
          <w:tblW w:w="14174" w:type="dxa"/>
          <w:tblInd w:w="0" w:type="dxa"/>
          <w:tblLayout w:type="fixed"/>
        </w:tblPrEx>
        <w:trPr>
          <w:trHeight w:val="20"/>
        </w:trPr>
        <w:tc>
          <w:tcPr>
            <w:tcW w:w="2389" w:type="dxa"/>
            <w:gridSpan w:val="3"/>
            <w:tcBorders>
              <w:top w:val="nil"/>
              <w:left w:val="single" w:sz="4" w:space="0" w:color="auto"/>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总分</w:t>
            </w:r>
          </w:p>
        </w:tc>
        <w:tc>
          <w:tcPr>
            <w:tcW w:w="55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100</w:t>
            </w:r>
          </w:p>
        </w:tc>
        <w:tc>
          <w:tcPr>
            <w:tcW w:w="1984"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b/>
                <w:bCs/>
                <w:kern w:val="0"/>
                <w:sz w:val="22"/>
              </w:rPr>
              <w:t>-</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仿宋_GB2312" w:hAnsi="Times New Roman"/>
                <w:kern w:val="0"/>
                <w:sz w:val="22"/>
              </w:rPr>
            </w:pPr>
            <w:r>
              <w:rPr>
                <w:rFonts w:ascii="Times New Roman" w:eastAsia="仿宋_GB2312" w:hAnsi="Times New Roman"/>
                <w:b/>
                <w:bCs/>
                <w:kern w:val="0"/>
                <w:sz w:val="22"/>
              </w:rPr>
              <w:t>-</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w:t>
            </w:r>
          </w:p>
        </w:tc>
        <w:tc>
          <w:tcPr>
            <w:tcW w:w="2126" w:type="dxa"/>
            <w:tcBorders>
              <w:top w:val="nil"/>
              <w:left w:val="nil"/>
              <w:bottom w:val="single" w:sz="4" w:space="0" w:color="auto"/>
              <w:right w:val="single" w:sz="4" w:space="0" w:color="auto"/>
            </w:tcBorders>
            <w:shd w:val="clear" w:color="auto" w:fill="auto"/>
            <w:vAlign w:val="center"/>
          </w:tcPr>
          <w:p>
            <w:pPr>
              <w:widowControl/>
              <w:jc w:val="center"/>
              <w:rPr>
                <w:rFonts w:ascii="仿宋_GB2312" w:eastAsia="仿宋_GB2312" w:hAnsi="Times New Roman"/>
                <w:color w:val="000000"/>
                <w:kern w:val="0"/>
                <w:sz w:val="22"/>
              </w:rPr>
            </w:pPr>
            <w:r>
              <w:rPr>
                <w:rFonts w:ascii="Times New Roman" w:eastAsia="仿宋_GB2312" w:hAnsi="Times New Roman"/>
                <w:b/>
                <w:bCs/>
                <w:kern w:val="0"/>
                <w:sz w:val="22"/>
              </w:rPr>
              <w:t>-</w:t>
            </w:r>
          </w:p>
        </w:tc>
        <w:tc>
          <w:tcPr>
            <w:tcW w:w="3552"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仿宋_GB2312" w:hAnsi="Times New Roman"/>
                <w:b/>
                <w:bCs/>
                <w:kern w:val="0"/>
                <w:sz w:val="22"/>
              </w:rPr>
              <w:t>-</w:t>
            </w:r>
          </w:p>
        </w:tc>
        <w:tc>
          <w:tcPr>
            <w:tcW w:w="848"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97.00</w:t>
            </w:r>
          </w:p>
        </w:tc>
        <w:tc>
          <w:tcPr>
            <w:tcW w:w="1021" w:type="dxa"/>
            <w:tcBorders>
              <w:top w:val="nil"/>
              <w:left w:val="nil"/>
              <w:bottom w:val="single" w:sz="4" w:space="0" w:color="auto"/>
              <w:right w:val="single" w:sz="4" w:space="0" w:color="auto"/>
            </w:tcBorders>
            <w:shd w:val="clear" w:color="auto" w:fill="auto"/>
            <w:vAlign w:val="center"/>
          </w:tcPr>
          <w:p>
            <w:pPr>
              <w:widowControl/>
              <w:jc w:val="center"/>
              <w:rPr>
                <w:rFonts w:ascii="Times New Roman" w:eastAsia="等线" w:hAnsi="Times New Roman"/>
                <w:color w:val="000000"/>
                <w:kern w:val="0"/>
                <w:sz w:val="22"/>
              </w:rPr>
            </w:pPr>
            <w:r>
              <w:rPr>
                <w:rFonts w:ascii="Times New Roman" w:eastAsia="等线" w:hAnsi="Times New Roman" w:hint="eastAsia"/>
                <w:color w:val="000000"/>
                <w:kern w:val="0"/>
                <w:sz w:val="22"/>
              </w:rPr>
              <w:t>98.39%</w:t>
            </w:r>
          </w:p>
        </w:tc>
      </w:tr>
    </w:tbl>
    <w:p>
      <w:pPr>
        <w:widowControl/>
        <w:overflowPunct w:val="0"/>
        <w:autoSpaceDE w:val="0"/>
        <w:autoSpaceDN w:val="0"/>
        <w:adjustRightInd w:val="0"/>
        <w:spacing w:line="580" w:lineRule="exact"/>
        <w:ind w:firstLine="640" w:firstLineChars="200"/>
        <w:textAlignment w:val="baseline"/>
        <w:rPr>
          <w:rFonts w:ascii="Times New Roman" w:eastAsia="仿宋_GB2312" w:hAnsi="Times New Roman"/>
          <w:kern w:val="0"/>
          <w:sz w:val="32"/>
          <w:szCs w:val="32"/>
        </w:rPr>
      </w:pPr>
    </w:p>
    <w:p>
      <w:pPr>
        <w:widowControl/>
        <w:overflowPunct w:val="0"/>
        <w:autoSpaceDE w:val="0"/>
        <w:autoSpaceDN w:val="0"/>
        <w:adjustRightInd w:val="0"/>
        <w:spacing w:line="580" w:lineRule="exact"/>
        <w:ind w:firstLine="640" w:firstLineChars="200"/>
        <w:textAlignment w:val="baseline"/>
        <w:rPr>
          <w:rFonts w:ascii="Times New Roman" w:eastAsia="仿宋_GB2312" w:hAnsi="Times New Roman"/>
          <w:kern w:val="0"/>
          <w:sz w:val="32"/>
          <w:szCs w:val="32"/>
        </w:rPr>
      </w:pPr>
    </w:p>
    <w:p>
      <w:pPr>
        <w:widowControl/>
        <w:overflowPunct w:val="0"/>
        <w:autoSpaceDE w:val="0"/>
        <w:autoSpaceDN w:val="0"/>
        <w:adjustRightInd w:val="0"/>
        <w:spacing w:line="580" w:lineRule="exact"/>
        <w:ind w:firstLine="640" w:firstLineChars="200"/>
        <w:textAlignment w:val="baseline"/>
        <w:rPr>
          <w:rFonts w:ascii="Times New Roman" w:eastAsia="仿宋_GB2312" w:hAnsi="Times New Roman"/>
          <w:kern w:val="0"/>
          <w:sz w:val="32"/>
          <w:szCs w:val="32"/>
        </w:rPr>
        <w:sectPr>
          <w:footerReference w:type="default" r:id="rId8"/>
          <w:pgSz w:w="16838" w:h="11906" w:orient="landscape"/>
          <w:pgMar w:top="1800" w:right="1440" w:bottom="1800" w:left="1440" w:header="851" w:footer="992" w:gutter="0"/>
          <w:cols w:num="1" w:space="425"/>
          <w:docGrid w:type="lines" w:linePitch="312" w:charSpace="0"/>
        </w:sectPr>
      </w:pPr>
    </w:p>
    <w:p>
      <w:pPr>
        <w:spacing w:line="500" w:lineRule="exact"/>
        <w:outlineLvl w:val="0"/>
        <w:rPr>
          <w:rFonts w:ascii="黑体" w:eastAsia="黑体" w:hAnsi="黑体" w:cs="黑体"/>
          <w:b/>
          <w:sz w:val="32"/>
          <w:szCs w:val="32"/>
        </w:rPr>
      </w:pPr>
      <w:bookmarkStart w:id="102" w:name="_Toc111656772"/>
      <w:bookmarkStart w:id="103" w:name="_Toc13697"/>
      <w:r>
        <w:rPr>
          <w:rFonts w:ascii="黑体" w:eastAsia="黑体" w:hAnsi="黑体" w:cs="黑体" w:hint="eastAsia"/>
          <w:b/>
          <w:sz w:val="32"/>
          <w:szCs w:val="32"/>
        </w:rPr>
        <w:t>附件二 基础表</w:t>
      </w:r>
      <w:bookmarkEnd w:id="102"/>
      <w:bookmarkEnd w:id="103"/>
    </w:p>
    <w:p>
      <w:pPr>
        <w:jc w:val="left"/>
        <w:rPr>
          <w:rFonts w:ascii="Times New Roman" w:eastAsia="仿宋_GB2312" w:hAnsi="Times New Roman" w:cs="仿宋"/>
          <w:sz w:val="32"/>
          <w:szCs w:val="32"/>
        </w:rPr>
      </w:pPr>
    </w:p>
    <w:tbl>
      <w:tblPr>
        <w:tblStyle w:val="TableGrid"/>
        <w:tblW w:w="14174"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959"/>
        <w:gridCol w:w="1756"/>
        <w:gridCol w:w="3359"/>
        <w:gridCol w:w="841"/>
        <w:gridCol w:w="3209"/>
        <w:gridCol w:w="2442"/>
        <w:gridCol w:w="1608"/>
      </w:tblGrid>
      <w:tr>
        <w:tblPrEx>
          <w:tblW w:w="14174" w:type="dxa"/>
          <w:tblInd w:w="0" w:type="dxa"/>
          <w:tblLayout w:type="fixed"/>
        </w:tblPrEx>
        <w:tc>
          <w:tcPr>
            <w:tcW w:w="959"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序号</w:t>
            </w:r>
          </w:p>
        </w:tc>
        <w:tc>
          <w:tcPr>
            <w:tcW w:w="1756"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三级指标</w:t>
            </w:r>
          </w:p>
        </w:tc>
        <w:tc>
          <w:tcPr>
            <w:tcW w:w="3359"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政策文件</w:t>
            </w:r>
          </w:p>
        </w:tc>
        <w:tc>
          <w:tcPr>
            <w:tcW w:w="841"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有/无</w:t>
            </w:r>
          </w:p>
        </w:tc>
        <w:tc>
          <w:tcPr>
            <w:tcW w:w="3209"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政策文件名</w:t>
            </w:r>
          </w:p>
        </w:tc>
        <w:tc>
          <w:tcPr>
            <w:tcW w:w="2442"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文号</w:t>
            </w:r>
          </w:p>
        </w:tc>
        <w:tc>
          <w:tcPr>
            <w:tcW w:w="1608" w:type="dxa"/>
          </w:tcPr>
          <w:p>
            <w:pPr>
              <w:spacing w:line="500" w:lineRule="exact"/>
              <w:jc w:val="center"/>
              <w:outlineLvl w:val="0"/>
              <w:rPr>
                <w:rFonts w:ascii="黑体" w:eastAsia="黑体" w:hAnsi="黑体" w:cs="黑体"/>
                <w:b/>
                <w:sz w:val="32"/>
                <w:szCs w:val="32"/>
              </w:rPr>
            </w:pPr>
            <w:r>
              <w:rPr>
                <w:rFonts w:ascii="Times New Roman" w:eastAsia="仿宋_GB2312" w:hAnsi="Times New Roman" w:hint="eastAsia"/>
                <w:color w:val="000000"/>
                <w:kern w:val="0"/>
                <w:sz w:val="22"/>
              </w:rPr>
              <w:t>备注</w:t>
            </w: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w:t>
            </w:r>
          </w:p>
        </w:tc>
        <w:tc>
          <w:tcPr>
            <w:tcW w:w="1756" w:type="dxa"/>
          </w:tcPr>
          <w:p>
            <w:pPr>
              <w:widowControl/>
              <w:jc w:val="center"/>
              <w:rPr>
                <w:rFonts w:ascii="Times New Roman" w:eastAsia="仿宋_GB2312" w:hAnsi="Times New Roman"/>
                <w:color w:val="000000"/>
                <w:kern w:val="0"/>
                <w:sz w:val="22"/>
              </w:rPr>
            </w:pPr>
            <w:r>
              <w:rPr>
                <w:rFonts w:ascii="仿宋_GB2312" w:eastAsia="仿宋_GB2312" w:hAnsi="Times New Roman" w:hint="eastAsia"/>
                <w:color w:val="000000"/>
                <w:kern w:val="0"/>
                <w:sz w:val="22"/>
              </w:rPr>
              <w:t>立项依据充分性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相关政策文件(国家、省部级或市级政策依据国家和地区的战略目标、发展规划、工作计划</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仿宋_GB2312" w:eastAsia="仿宋_GB2312" w:hAnsi="Times New Roman" w:hint="eastAsia"/>
                <w:color w:val="000000"/>
                <w:kern w:val="0"/>
                <w:sz w:val="22"/>
              </w:rPr>
              <w:t>《关于对乌苏市2022年棚户区改造项目可行性研究报告(代项目建议书)的批复》</w:t>
            </w:r>
          </w:p>
        </w:tc>
        <w:tc>
          <w:tcPr>
            <w:tcW w:w="2442"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(乌发改[2021]205号)</w:t>
            </w: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w:t>
            </w:r>
          </w:p>
        </w:tc>
        <w:tc>
          <w:tcPr>
            <w:tcW w:w="1756" w:type="dxa"/>
          </w:tcPr>
          <w:p>
            <w:pPr>
              <w:widowControl/>
              <w:rPr>
                <w:rFonts w:ascii="Times New Roman" w:eastAsia="仿宋_GB2312" w:hAnsi="Times New Roman"/>
                <w:color w:val="000000"/>
                <w:kern w:val="0"/>
                <w:sz w:val="22"/>
              </w:rPr>
            </w:pPr>
            <w:r>
              <w:rPr>
                <w:rFonts w:ascii="仿宋_GB2312" w:eastAsia="仿宋_GB2312" w:hAnsi="Times New Roman" w:hint="eastAsia"/>
                <w:color w:val="000000"/>
                <w:kern w:val="0"/>
                <w:sz w:val="22"/>
              </w:rPr>
              <w:t>立项程序规范性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资金立项程序性文件(可行性研究、专家论证、会议纪要等材料)</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仿宋_GB2312" w:eastAsia="仿宋_GB2312" w:hAnsi="Times New Roman" w:hint="eastAsia"/>
                <w:color w:val="000000"/>
                <w:kern w:val="0"/>
                <w:sz w:val="22"/>
              </w:rPr>
              <w:t>《关于对 2022年棚户区改造项目可行性研究报告(代项日建议书)批复的申请》；《关于对乌苏市2022年棚户区改造项目可行性研究报告(代项目建议书)的批复》；</w:t>
            </w:r>
          </w:p>
        </w:tc>
        <w:tc>
          <w:tcPr>
            <w:tcW w:w="2442"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(乌住建字[2021]159号)；(乌发改[2021]205号)；</w:t>
            </w: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3</w:t>
            </w:r>
          </w:p>
        </w:tc>
        <w:tc>
          <w:tcPr>
            <w:tcW w:w="1756" w:type="dxa"/>
          </w:tcPr>
          <w:p>
            <w:pPr>
              <w:widowControl/>
              <w:rPr>
                <w:rFonts w:ascii="Times New Roman" w:eastAsia="仿宋_GB2312" w:hAnsi="Times New Roman"/>
                <w:color w:val="000000"/>
                <w:kern w:val="0"/>
                <w:sz w:val="22"/>
              </w:rPr>
            </w:pPr>
            <w:r>
              <w:rPr>
                <w:rFonts w:ascii="仿宋_GB2312" w:eastAsia="仿宋_GB2312" w:hAnsi="Times New Roman" w:hint="eastAsia"/>
                <w:kern w:val="0"/>
                <w:sz w:val="22"/>
              </w:rPr>
              <w:t>绩效目标合理性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2022年本资金的绩效目标</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建设项目计划绩效目标表</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4</w:t>
            </w:r>
          </w:p>
        </w:tc>
        <w:tc>
          <w:tcPr>
            <w:tcW w:w="1756" w:type="dxa"/>
          </w:tcPr>
          <w:p>
            <w:pPr>
              <w:widowControl/>
              <w:rPr>
                <w:rFonts w:ascii="Times New Roman" w:eastAsia="仿宋_GB2312" w:hAnsi="Times New Roman"/>
                <w:color w:val="000000"/>
                <w:kern w:val="0"/>
                <w:sz w:val="22"/>
              </w:rPr>
            </w:pPr>
            <w:r>
              <w:rPr>
                <w:rFonts w:ascii="Times New Roman" w:eastAsia="仿宋_GB2312" w:hAnsi="Times New Roman" w:cs="仿宋" w:hint="eastAsia"/>
                <w:color w:val="000000"/>
                <w:szCs w:val="21"/>
              </w:rPr>
              <w:t>预算编制科学性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顶算明细表</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spacing w:line="500" w:lineRule="exact"/>
              <w:jc w:val="center"/>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5</w:t>
            </w:r>
          </w:p>
        </w:tc>
        <w:tc>
          <w:tcPr>
            <w:tcW w:w="1756" w:type="dxa"/>
          </w:tcPr>
          <w:p>
            <w:pPr>
              <w:widowControl/>
              <w:rPr>
                <w:rFonts w:ascii="仿宋_GB2312" w:eastAsia="仿宋_GB2312" w:hAnsi="Times New Roman"/>
                <w:kern w:val="0"/>
                <w:sz w:val="22"/>
              </w:rPr>
            </w:pPr>
            <w:r>
              <w:rPr>
                <w:rFonts w:ascii="仿宋_GB2312" w:eastAsia="仿宋_GB2312" w:hAnsi="Times New Roman" w:hint="eastAsia"/>
                <w:kern w:val="0"/>
                <w:sz w:val="22"/>
              </w:rPr>
              <w:t>财务管理制度</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预算资金申请、批复相关文件</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国库集中支付凭证；资金真实性承诺</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6</w:t>
            </w:r>
          </w:p>
        </w:tc>
        <w:tc>
          <w:tcPr>
            <w:tcW w:w="1756" w:type="dxa"/>
          </w:tcPr>
          <w:p>
            <w:pPr>
              <w:widowControl/>
              <w:rPr>
                <w:rFonts w:ascii="仿宋_GB2312" w:eastAsia="仿宋_GB2312" w:hAnsi="Times New Roman"/>
                <w:kern w:val="0"/>
                <w:sz w:val="22"/>
              </w:rPr>
            </w:pPr>
            <w:r>
              <w:rPr>
                <w:rFonts w:ascii="仿宋_GB2312" w:eastAsia="仿宋_GB2312" w:hAnsi="Times New Roman" w:hint="eastAsia"/>
                <w:kern w:val="0"/>
                <w:sz w:val="22"/>
              </w:rPr>
              <w:t>资金使用情况</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资金管理办法、其他针对资金的财务管理制度</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7</w:t>
            </w:r>
          </w:p>
        </w:tc>
        <w:tc>
          <w:tcPr>
            <w:tcW w:w="1756" w:type="dxa"/>
          </w:tcPr>
          <w:p>
            <w:pPr>
              <w:widowControl/>
              <w:rPr>
                <w:rFonts w:ascii="仿宋_GB2312" w:eastAsia="仿宋_GB2312" w:hAnsi="Times New Roman"/>
                <w:kern w:val="0"/>
                <w:sz w:val="22"/>
              </w:rPr>
            </w:pPr>
            <w:r>
              <w:rPr>
                <w:rFonts w:ascii="仿宋_GB2312" w:eastAsia="仿宋_GB2312" w:hAnsi="Times New Roman" w:hint="eastAsia"/>
                <w:kern w:val="0"/>
                <w:sz w:val="22"/>
              </w:rPr>
              <w:t>财务监控有效性</w:t>
            </w: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资金下拨文件、资金拨付明细</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rPr>
          <w:trHeight w:val="90"/>
        </w:trPr>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8</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针对资金的财务检查、定期跟踪报告、财务审计等相关材料</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spacing w:line="500" w:lineRule="exact"/>
              <w:jc w:val="center"/>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9</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招标文件、中标通知书、项目合同</w:t>
            </w:r>
          </w:p>
          <w:p>
            <w:pPr>
              <w:spacing w:line="500" w:lineRule="exact"/>
              <w:jc w:val="center"/>
              <w:outlineLvl w:val="0"/>
              <w:rPr>
                <w:rFonts w:ascii="Times New Roman" w:eastAsia="仿宋_GB2312" w:hAnsi="Times New Roman"/>
                <w:color w:val="000000"/>
                <w:kern w:val="0"/>
                <w:sz w:val="22"/>
              </w:rPr>
            </w:pP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jc w:val="left"/>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10</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项目实施方案、跟踪管理制度、验收制度等相关管理制度</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《乌苏市 2022 年棚户区改造项目实施方案》</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rPr>
          <w:trHeight w:val="454"/>
        </w:trPr>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11</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项目跟踪检查报告、验收报告</w:t>
            </w:r>
          </w:p>
          <w:p>
            <w:pPr>
              <w:spacing w:line="500" w:lineRule="exact"/>
              <w:jc w:val="center"/>
              <w:outlineLvl w:val="0"/>
              <w:rPr>
                <w:rFonts w:ascii="Times New Roman" w:eastAsia="仿宋_GB2312" w:hAnsi="Times New Roman"/>
                <w:color w:val="000000"/>
                <w:kern w:val="0"/>
                <w:sz w:val="22"/>
              </w:rPr>
            </w:pP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jc w:val="left"/>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12</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2022年度本项目监控表、自评价报告、总结材料等</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《乌苏市2022年棚户区改造项目事前绩效评估报告》</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13</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2022年度本项目财务支付明细账</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有</w:t>
            </w:r>
          </w:p>
        </w:tc>
        <w:tc>
          <w:tcPr>
            <w:tcW w:w="320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国库集中支付凭证</w:t>
            </w: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r>
        <w:tblPrEx>
          <w:tblW w:w="14174" w:type="dxa"/>
          <w:tblInd w:w="0" w:type="dxa"/>
          <w:tblLayout w:type="fixed"/>
        </w:tblPrEx>
        <w:tc>
          <w:tcPr>
            <w:tcW w:w="959"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14</w:t>
            </w:r>
          </w:p>
        </w:tc>
        <w:tc>
          <w:tcPr>
            <w:tcW w:w="1756" w:type="dxa"/>
          </w:tcPr>
          <w:p>
            <w:pPr>
              <w:widowControl/>
              <w:rPr>
                <w:rFonts w:ascii="仿宋_GB2312" w:eastAsia="仿宋_GB2312" w:hAnsi="Times New Roman"/>
                <w:kern w:val="0"/>
                <w:sz w:val="22"/>
              </w:rPr>
            </w:pPr>
          </w:p>
        </w:tc>
        <w:tc>
          <w:tcPr>
            <w:tcW w:w="3359" w:type="dxa"/>
          </w:tcPr>
          <w:p>
            <w:pPr>
              <w:jc w:val="left"/>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实施单位的职能或三定方案</w:t>
            </w:r>
          </w:p>
        </w:tc>
        <w:tc>
          <w:tcPr>
            <w:tcW w:w="841" w:type="dxa"/>
          </w:tcPr>
          <w:p>
            <w:pPr>
              <w:spacing w:line="500" w:lineRule="exact"/>
              <w:jc w:val="center"/>
              <w:outlineLvl w:val="0"/>
              <w:rPr>
                <w:rFonts w:ascii="Times New Roman" w:eastAsia="仿宋_GB2312" w:hAnsi="Times New Roman"/>
                <w:color w:val="000000"/>
                <w:kern w:val="0"/>
                <w:sz w:val="22"/>
              </w:rPr>
            </w:pPr>
            <w:r>
              <w:rPr>
                <w:rFonts w:ascii="Times New Roman" w:eastAsia="仿宋_GB2312" w:hAnsi="Times New Roman" w:hint="eastAsia"/>
                <w:color w:val="000000"/>
                <w:kern w:val="0"/>
                <w:sz w:val="22"/>
              </w:rPr>
              <w:t>无</w:t>
            </w:r>
          </w:p>
        </w:tc>
        <w:tc>
          <w:tcPr>
            <w:tcW w:w="3209" w:type="dxa"/>
          </w:tcPr>
          <w:p>
            <w:pPr>
              <w:spacing w:line="500" w:lineRule="exact"/>
              <w:jc w:val="center"/>
              <w:outlineLvl w:val="0"/>
              <w:rPr>
                <w:rFonts w:ascii="Times New Roman" w:eastAsia="仿宋_GB2312" w:hAnsi="Times New Roman"/>
                <w:color w:val="000000"/>
                <w:kern w:val="0"/>
                <w:sz w:val="22"/>
              </w:rPr>
            </w:pPr>
          </w:p>
        </w:tc>
        <w:tc>
          <w:tcPr>
            <w:tcW w:w="2442" w:type="dxa"/>
          </w:tcPr>
          <w:p>
            <w:pPr>
              <w:spacing w:line="500" w:lineRule="exact"/>
              <w:jc w:val="center"/>
              <w:outlineLvl w:val="0"/>
              <w:rPr>
                <w:rFonts w:ascii="Times New Roman" w:eastAsia="仿宋_GB2312" w:hAnsi="Times New Roman"/>
                <w:color w:val="000000"/>
                <w:kern w:val="0"/>
                <w:sz w:val="22"/>
              </w:rPr>
            </w:pPr>
          </w:p>
        </w:tc>
        <w:tc>
          <w:tcPr>
            <w:tcW w:w="1608" w:type="dxa"/>
          </w:tcPr>
          <w:p>
            <w:pPr>
              <w:spacing w:line="500" w:lineRule="exact"/>
              <w:jc w:val="center"/>
              <w:outlineLvl w:val="0"/>
              <w:rPr>
                <w:rFonts w:ascii="Times New Roman" w:eastAsia="仿宋_GB2312" w:hAnsi="Times New Roman"/>
                <w:color w:val="000000"/>
                <w:kern w:val="0"/>
                <w:sz w:val="22"/>
              </w:rPr>
            </w:pPr>
          </w:p>
        </w:tc>
      </w:tr>
    </w:tbl>
    <w:p>
      <w:pPr>
        <w:pStyle w:val="Heading5"/>
        <w:sectPr>
          <w:pgSz w:w="16838" w:h="11906" w:orient="landscape"/>
          <w:pgMar w:top="1800" w:right="1440" w:bottom="1800" w:left="1440" w:header="851" w:footer="992" w:gutter="0"/>
          <w:cols w:num="1" w:space="425"/>
          <w:docGrid w:type="lines" w:linePitch="312" w:charSpace="0"/>
        </w:sectPr>
      </w:pPr>
    </w:p>
    <w:p>
      <w:pPr>
        <w:spacing w:line="560" w:lineRule="exact"/>
        <w:outlineLvl w:val="0"/>
      </w:pPr>
      <w:bookmarkStart w:id="104" w:name="_Toc111656773"/>
      <w:bookmarkStart w:id="105" w:name="_Toc32295"/>
      <w:r>
        <w:rPr>
          <w:rFonts w:ascii="黑体" w:eastAsia="黑体" w:hAnsi="黑体" w:cs="黑体" w:hint="eastAsia"/>
          <w:b/>
          <w:sz w:val="32"/>
          <w:szCs w:val="32"/>
        </w:rPr>
        <w:t>附件三 满意度调查问卷报告</w:t>
      </w:r>
      <w:bookmarkEnd w:id="104"/>
      <w:bookmarkEnd w:id="105"/>
    </w:p>
    <w:p>
      <w:pPr>
        <w:pStyle w:val="Heading5"/>
      </w:pPr>
      <w:r>
        <w:drawing>
          <wp:inline distT="0" distB="0" distL="114300" distR="114300">
            <wp:extent cx="4343400" cy="5646420"/>
            <wp:effectExtent l="0" t="0" r="0" b="762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xmlns:r="http://schemas.openxmlformats.org/officeDocument/2006/relationships" r:embed="rId9"/>
                    <a:stretch>
                      <a:fillRect/>
                    </a:stretch>
                  </pic:blipFill>
                  <pic:spPr>
                    <a:xfrm>
                      <a:off x="0" y="0"/>
                      <a:ext cx="4343400" cy="5646420"/>
                    </a:xfrm>
                    <a:prstGeom prst="rect">
                      <a:avLst/>
                    </a:prstGeom>
                    <a:noFill/>
                    <a:ln>
                      <a:noFill/>
                    </a:ln>
                  </pic:spPr>
                </pic:pic>
              </a:graphicData>
            </a:graphic>
          </wp:inline>
        </w:drawing>
      </w:r>
    </w:p>
    <w:p>
      <w:pPr>
        <w:spacing w:line="560" w:lineRule="exact"/>
        <w:ind w:firstLine="640" w:firstLineChars="200"/>
        <w:rPr>
          <w:rFonts w:ascii="Times New Roman" w:eastAsia="仿宋_GB2312" w:hAnsi="Times New Roman"/>
          <w:kern w:val="0"/>
          <w:sz w:val="32"/>
          <w:szCs w:val="32"/>
        </w:rPr>
      </w:pPr>
      <w:bookmarkStart w:id="106" w:name="_Toc111656781"/>
      <w:bookmarkStart w:id="107" w:name="_Toc17405"/>
    </w:p>
    <w:p>
      <w:pPr>
        <w:spacing w:line="560" w:lineRule="atLeas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p>
    <w:p>
      <w:pPr>
        <w:spacing w:line="560" w:lineRule="exact"/>
        <w:outlineLvl w:val="0"/>
        <w:rPr>
          <w:rFonts w:ascii="黑体" w:eastAsia="黑体" w:hAnsi="黑体" w:cs="黑体"/>
          <w:b/>
          <w:sz w:val="32"/>
          <w:szCs w:val="32"/>
        </w:rPr>
      </w:pPr>
      <w:r>
        <w:rPr>
          <w:rFonts w:ascii="黑体" w:eastAsia="黑体" w:hAnsi="黑体" w:cs="黑体" w:hint="eastAsia"/>
          <w:b/>
          <w:sz w:val="32"/>
          <w:szCs w:val="32"/>
        </w:rPr>
        <w:t>附件四 访谈报告</w:t>
      </w:r>
      <w:bookmarkEnd w:id="106"/>
      <w:bookmarkEnd w:id="107"/>
    </w:p>
    <w:p>
      <w:pPr>
        <w:spacing w:line="560" w:lineRule="exact"/>
        <w:jc w:val="center"/>
        <w:rPr>
          <w:rFonts w:ascii="Times New Roman" w:eastAsia="黑体" w:hAnsi="Times New Roman"/>
          <w:b/>
          <w:sz w:val="32"/>
          <w:szCs w:val="32"/>
        </w:rPr>
      </w:pPr>
      <w:r>
        <w:rPr>
          <w:rFonts w:ascii="Times New Roman" w:eastAsia="黑体" w:hAnsi="Times New Roman" w:hint="eastAsia"/>
          <w:b/>
          <w:sz w:val="32"/>
          <w:szCs w:val="32"/>
        </w:rPr>
        <w:t>2022年部分中央财政城镇保障性安居工程补助资金项目绩效评价访谈报告</w:t>
      </w:r>
    </w:p>
    <w:p>
      <w:pPr>
        <w:spacing w:line="560" w:lineRule="exact"/>
        <w:ind w:firstLine="640" w:firstLineChars="200"/>
        <w:rPr>
          <w:rFonts w:ascii="黑体" w:eastAsia="黑体" w:hAnsi="黑体" w:cs="黑体"/>
          <w:bCs/>
          <w:kern w:val="0"/>
          <w:sz w:val="32"/>
          <w:szCs w:val="32"/>
          <w:lang w:bidi="ar"/>
        </w:rPr>
      </w:pPr>
      <w:r>
        <w:rPr>
          <w:rFonts w:ascii="黑体" w:eastAsia="黑体" w:hAnsi="黑体" w:cs="黑体" w:hint="eastAsia"/>
          <w:bCs/>
          <w:kern w:val="0"/>
          <w:sz w:val="32"/>
          <w:szCs w:val="32"/>
          <w:lang w:bidi="ar"/>
        </w:rPr>
        <w:t>一、</w:t>
      </w:r>
      <w:r>
        <w:rPr>
          <w:rFonts w:ascii="黑体" w:eastAsia="黑体" w:hAnsi="黑体" w:cs="黑体" w:hint="eastAsia"/>
          <w:b/>
          <w:kern w:val="0"/>
          <w:sz w:val="32"/>
          <w:szCs w:val="32"/>
          <w:lang w:bidi="ar"/>
        </w:rPr>
        <w:t>访谈目的</w:t>
      </w:r>
    </w:p>
    <w:p>
      <w:pPr>
        <w:spacing w:line="560" w:lineRule="exact"/>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绩效评价旨在通过对资金项目的项目管理单位进行访谈，了解和评估资金使用的效率和效益，发现资金使用和管理中的问题，为提升2022年部分中央财政城镇保障性安居工程补助资金项目建设资金使用的公平性和合理性建言献策。</w:t>
      </w:r>
    </w:p>
    <w:p>
      <w:pPr>
        <w:spacing w:line="560" w:lineRule="exact"/>
        <w:ind w:firstLine="640" w:firstLineChars="200"/>
        <w:rPr>
          <w:rFonts w:ascii="黑体" w:eastAsia="黑体" w:hAnsi="黑体" w:cs="黑体"/>
          <w:bCs/>
          <w:kern w:val="0"/>
          <w:sz w:val="32"/>
          <w:szCs w:val="32"/>
          <w:lang w:bidi="ar"/>
        </w:rPr>
      </w:pPr>
      <w:r>
        <w:rPr>
          <w:rFonts w:ascii="黑体" w:eastAsia="黑体" w:hAnsi="黑体" w:cs="黑体" w:hint="eastAsia"/>
          <w:bCs/>
          <w:kern w:val="0"/>
          <w:sz w:val="32"/>
          <w:szCs w:val="32"/>
          <w:lang w:bidi="ar"/>
        </w:rPr>
        <w:t>二、</w:t>
      </w:r>
      <w:r>
        <w:rPr>
          <w:rFonts w:ascii="黑体" w:eastAsia="黑体" w:hAnsi="黑体" w:cs="黑体" w:hint="eastAsia"/>
          <w:b/>
          <w:kern w:val="0"/>
          <w:sz w:val="32"/>
          <w:szCs w:val="32"/>
          <w:lang w:bidi="ar"/>
        </w:rPr>
        <w:t>访谈对象</w:t>
      </w:r>
    </w:p>
    <w:p>
      <w:pPr>
        <w:spacing w:line="560" w:lineRule="exact"/>
        <w:ind w:firstLine="640" w:firstLineChars="200"/>
        <w:rPr>
          <w:rFonts w:ascii="Times New Roman" w:eastAsia="仿宋_GB2312" w:hAnsi="Times New Roman"/>
          <w:kern w:val="0"/>
          <w:sz w:val="32"/>
          <w:szCs w:val="32"/>
        </w:rPr>
      </w:pPr>
      <w:r>
        <w:rPr>
          <w:rFonts w:ascii="Times New Roman" w:eastAsia="仿宋_GB2312" w:hAnsi="Times New Roman" w:hint="eastAsia"/>
          <w:kern w:val="0"/>
          <w:sz w:val="32"/>
          <w:szCs w:val="32"/>
        </w:rPr>
        <w:t>棚户区改造项目负责人</w:t>
      </w:r>
    </w:p>
    <w:p>
      <w:pPr>
        <w:spacing w:line="560" w:lineRule="exact"/>
        <w:ind w:firstLine="640" w:firstLineChars="200"/>
        <w:rPr>
          <w:rFonts w:ascii="黑体" w:eastAsia="黑体" w:hAnsi="黑体" w:cs="黑体"/>
          <w:b/>
          <w:kern w:val="0"/>
          <w:sz w:val="32"/>
          <w:szCs w:val="32"/>
          <w:lang w:bidi="ar"/>
        </w:rPr>
      </w:pPr>
      <w:r>
        <w:rPr>
          <w:rFonts w:ascii="黑体" w:eastAsia="黑体" w:hAnsi="黑体" w:cs="黑体" w:hint="eastAsia"/>
          <w:bCs/>
          <w:kern w:val="0"/>
          <w:sz w:val="32"/>
          <w:szCs w:val="32"/>
          <w:lang w:bidi="ar"/>
        </w:rPr>
        <w:t>三、</w:t>
      </w:r>
      <w:r>
        <w:rPr>
          <w:rFonts w:ascii="黑体" w:eastAsia="黑体" w:hAnsi="黑体" w:cs="黑体" w:hint="eastAsia"/>
          <w:b/>
          <w:kern w:val="0"/>
          <w:sz w:val="32"/>
          <w:szCs w:val="32"/>
          <w:lang w:bidi="ar"/>
        </w:rPr>
        <w:t>访谈内容</w:t>
      </w:r>
    </w:p>
    <w:p>
      <w:pPr>
        <w:spacing w:line="560" w:lineRule="exact"/>
        <w:ind w:firstLine="640" w:firstLineChars="200"/>
        <w:rPr>
          <w:rFonts w:ascii="仿宋_GB2312" w:eastAsia="仿宋_GB2312" w:hAnsi="仿宋_GB2312" w:cs="仿宋_GB2312"/>
          <w:b/>
          <w:bCs/>
          <w:kern w:val="0"/>
          <w:sz w:val="32"/>
          <w:szCs w:val="28"/>
          <w:lang w:bidi="ar"/>
        </w:rPr>
      </w:pPr>
      <w:r>
        <w:rPr>
          <w:rFonts w:ascii="仿宋_GB2312" w:eastAsia="仿宋_GB2312" w:hAnsi="仿宋_GB2312" w:cs="仿宋_GB2312" w:hint="eastAsia"/>
          <w:sz w:val="32"/>
          <w:szCs w:val="32"/>
        </w:rPr>
        <w:t>对于项目立项背景、项目立项的目标及近两年实施情况；项目取得的成绩与经验做法；项目实施的关键环节；作为项目实施单位，为确保达到资金的合理支出都做了哪些监督和约束工作；</w:t>
      </w:r>
      <w:r>
        <w:rPr>
          <w:rFonts w:ascii="仿宋_GB2312" w:eastAsia="仿宋_GB2312" w:hAnsi="仿宋_GB2312" w:cs="仿宋_GB2312" w:hint="eastAsia"/>
          <w:sz w:val="32"/>
          <w:szCs w:val="32"/>
          <w:lang w:eastAsia="zh-Hans"/>
        </w:rPr>
        <w:t>该项目带来了哪些益处和促进作用</w:t>
      </w:r>
      <w:r>
        <w:rPr>
          <w:rFonts w:ascii="仿宋_GB2312" w:eastAsia="仿宋_GB2312" w:hAnsi="仿宋_GB2312" w:cs="仿宋_GB2312" w:hint="eastAsia"/>
          <w:sz w:val="32"/>
          <w:szCs w:val="32"/>
        </w:rPr>
        <w:t>.</w:t>
      </w:r>
    </w:p>
    <w:p>
      <w:pPr>
        <w:spacing w:line="560" w:lineRule="exact"/>
        <w:ind w:firstLine="640" w:firstLineChars="200"/>
        <w:rPr>
          <w:rFonts w:ascii="黑体" w:eastAsia="黑体" w:hAnsi="黑体" w:cs="黑体"/>
          <w:bCs/>
          <w:kern w:val="0"/>
          <w:sz w:val="32"/>
          <w:szCs w:val="32"/>
          <w:lang w:bidi="ar"/>
        </w:rPr>
      </w:pPr>
      <w:r>
        <w:rPr>
          <w:rFonts w:ascii="黑体" w:eastAsia="黑体" w:hAnsi="黑体" w:cs="黑体" w:hint="eastAsia"/>
          <w:bCs/>
          <w:kern w:val="0"/>
          <w:sz w:val="32"/>
          <w:szCs w:val="32"/>
          <w:lang w:bidi="ar"/>
        </w:rPr>
        <w:t>四、访谈分析</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eastAsia="zh-Hans" w:bidi="ar"/>
        </w:rPr>
        <w:t>1.项目内容与实施情况</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本次棚户区改造位于乌苏市，项目区四至: 北至伊型河路，西至西安路，南至北疆铁路，东至深圳路。</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本次棚户区改造片区占地 3051.63 亩，棚户区改造户数 2100户，征收房屋总建筑面积 315000 平方米，计划建设 2520 套安置房总建筑面积 302400 平方米。</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拟对“一中心四节点”区范围内所有平房进行拆迁。“十三五划定范围内未完成拆迁 729 户数,新增 12 个地块棚改户数 1677 户，合计 2406 户，2022 年计划棚改任务 2100 户，2023 年计划棚改任务306户。</w:t>
      </w:r>
    </w:p>
    <w:p>
      <w:pPr>
        <w:widowControl/>
        <w:overflowPunct w:val="0"/>
        <w:autoSpaceDE w:val="0"/>
        <w:autoSpaceDN w:val="0"/>
        <w:adjustRightInd w:val="0"/>
        <w:spacing w:line="560" w:lineRule="exact"/>
        <w:ind w:firstLine="640" w:firstLineChars="200"/>
        <w:textAlignment w:val="baseline"/>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 年棚户区改造片区占地 3051.63 亩，征收户数 2100 户征收房屋总建筑面积 315000 平方米。</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bidi="ar"/>
        </w:rPr>
        <w:t>2.</w:t>
      </w:r>
      <w:r>
        <w:rPr>
          <w:rFonts w:ascii="Times New Roman" w:eastAsia="仿宋_GB2312" w:hAnsi="Times New Roman"/>
          <w:color w:val="FF0000"/>
          <w:kern w:val="0"/>
          <w:sz w:val="24"/>
          <w:szCs w:val="24"/>
          <w:lang w:bidi="ar"/>
        </w:rPr>
        <w:t xml:space="preserve"> </w:t>
      </w:r>
      <w:r>
        <w:rPr>
          <w:rFonts w:ascii="Times New Roman" w:eastAsia="仿宋_GB2312" w:hAnsi="Times New Roman" w:cs="仿宋_GB2312"/>
          <w:b/>
          <w:bCs/>
          <w:kern w:val="0"/>
          <w:sz w:val="32"/>
          <w:szCs w:val="28"/>
          <w:lang w:eastAsia="zh-Hans" w:bidi="ar"/>
        </w:rPr>
        <w:t>项目实施的关键环节有哪些？针对各环节已制定的管理办法有哪些</w:t>
      </w:r>
    </w:p>
    <w:p>
      <w:pPr>
        <w:spacing w:line="560" w:lineRule="exact"/>
        <w:rPr>
          <w:rFonts w:ascii="Times New Roman" w:eastAsia="仿宋_GB2312" w:hAnsi="Times New Roman"/>
          <w:b/>
          <w:sz w:val="32"/>
          <w:szCs w:val="32"/>
        </w:rPr>
      </w:pPr>
      <w:r>
        <w:rPr>
          <w:rFonts w:ascii="Times New Roman" w:eastAsia="仿宋_GB2312" w:hAnsi="Times New Roman" w:hint="eastAsia"/>
          <w:b/>
          <w:sz w:val="32"/>
          <w:szCs w:val="32"/>
        </w:rPr>
        <w:t xml:space="preserve">    </w:t>
      </w:r>
      <w:r>
        <w:rPr>
          <w:rFonts w:ascii="Times New Roman" w:eastAsia="仿宋_GB2312" w:hAnsi="Times New Roman" w:hint="eastAsia"/>
          <w:sz w:val="32"/>
          <w:szCs w:val="32"/>
        </w:rPr>
        <w:t>项目委托有资质的设计单位设计平面规划画图、效果图，上报住房和城乡建设局，由规委会审批，严格做预算，造价备案，编制招投标方案，上报乌苏市招投标领导小组审核，公开招标，签订合同，委托有资质的监理对该项进行质量监督，项目完工后进行竣工验收。</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bidi="ar"/>
        </w:rPr>
        <w:t>3.</w:t>
      </w:r>
      <w:r>
        <w:rPr>
          <w:rFonts w:ascii="Times New Roman" w:eastAsia="仿宋_GB2312" w:hAnsi="Times New Roman"/>
          <w:color w:val="FF0000"/>
          <w:kern w:val="0"/>
          <w:sz w:val="24"/>
          <w:szCs w:val="24"/>
          <w:lang w:bidi="ar"/>
        </w:rPr>
        <w:t xml:space="preserve"> </w:t>
      </w:r>
      <w:r>
        <w:rPr>
          <w:rFonts w:ascii="Times New Roman" w:eastAsia="仿宋_GB2312" w:hAnsi="Times New Roman" w:cs="仿宋_GB2312"/>
          <w:b/>
          <w:bCs/>
          <w:kern w:val="0"/>
          <w:sz w:val="32"/>
          <w:szCs w:val="28"/>
          <w:lang w:eastAsia="zh-Hans" w:bidi="ar"/>
        </w:rPr>
        <w:t>规范财政经费管理方面做了哪些工作</w:t>
      </w:r>
      <w:r>
        <w:rPr>
          <w:rFonts w:ascii="Times New Roman" w:eastAsia="仿宋_GB2312" w:hAnsi="Times New Roman" w:cs="仿宋_GB2312" w:hint="eastAsia"/>
          <w:b/>
          <w:bCs/>
          <w:kern w:val="0"/>
          <w:sz w:val="32"/>
          <w:szCs w:val="28"/>
          <w:lang w:eastAsia="zh-Hans" w:bidi="ar"/>
        </w:rPr>
        <w:t>。</w:t>
      </w:r>
    </w:p>
    <w:p>
      <w:pPr>
        <w:spacing w:line="560" w:lineRule="exact"/>
        <w:ind w:firstLine="640" w:firstLineChars="200"/>
        <w:rPr>
          <w:rFonts w:ascii="Times New Roman" w:eastAsia="仿宋_GB2312" w:hAnsi="Times New Roman"/>
          <w:sz w:val="32"/>
          <w:szCs w:val="32"/>
        </w:rPr>
      </w:pPr>
      <w:r>
        <w:rPr>
          <w:rFonts w:ascii="Times New Roman" w:eastAsia="仿宋_GB2312" w:hAnsi="Times New Roman" w:hint="eastAsia"/>
          <w:sz w:val="32"/>
          <w:szCs w:val="32"/>
        </w:rPr>
        <w:t>单位制定了工程项目建设管理办法、财务岗位责任制、财务收支流程内控管理制度、政府采购管理内部控制制度；设立绩效目标、绩效监控</w:t>
      </w:r>
      <w:r>
        <w:rPr>
          <w:rFonts w:ascii="Times New Roman" w:eastAsia="仿宋_GB2312" w:hAnsi="Times New Roman" w:hint="eastAsia"/>
          <w:sz w:val="32"/>
          <w:szCs w:val="32"/>
        </w:rPr>
        <w:t>以及</w:t>
      </w:r>
      <w:r>
        <w:rPr>
          <w:rFonts w:ascii="Times New Roman" w:eastAsia="仿宋_GB2312" w:hAnsi="Times New Roman" w:hint="eastAsia"/>
          <w:sz w:val="32"/>
          <w:szCs w:val="32"/>
        </w:rPr>
        <w:t>绩效自评，设立了基建账目，对项目资金实施管理，同时加强资金的监管力度。</w:t>
      </w:r>
    </w:p>
    <w:p>
      <w:pPr>
        <w:spacing w:line="560" w:lineRule="exact"/>
        <w:ind w:firstLine="640" w:firstLineChars="200"/>
        <w:rPr>
          <w:rFonts w:ascii="Times New Roman" w:eastAsia="仿宋_GB2312" w:hAnsi="Times New Roman" w:cs="仿宋_GB2312"/>
          <w:b/>
          <w:bCs/>
          <w:kern w:val="0"/>
          <w:sz w:val="32"/>
          <w:szCs w:val="28"/>
          <w:lang w:eastAsia="zh-Hans" w:bidi="ar"/>
        </w:rPr>
      </w:pPr>
      <w:r>
        <w:rPr>
          <w:rFonts w:ascii="Times New Roman" w:eastAsia="仿宋_GB2312" w:hAnsi="Times New Roman" w:cs="仿宋_GB2312" w:hint="eastAsia"/>
          <w:b/>
          <w:bCs/>
          <w:kern w:val="0"/>
          <w:sz w:val="32"/>
          <w:szCs w:val="28"/>
          <w:lang w:bidi="ar"/>
        </w:rPr>
        <w:t>4.项目</w:t>
      </w:r>
      <w:r>
        <w:rPr>
          <w:rFonts w:ascii="Times New Roman" w:eastAsia="仿宋_GB2312" w:hAnsi="Times New Roman" w:cs="仿宋_GB2312"/>
          <w:b/>
          <w:bCs/>
          <w:kern w:val="0"/>
          <w:sz w:val="32"/>
          <w:szCs w:val="28"/>
          <w:lang w:eastAsia="zh-Hans" w:bidi="ar"/>
        </w:rPr>
        <w:t>的预算申请编报、审批和拨付流程</w:t>
      </w:r>
    </w:p>
    <w:p>
      <w:pPr>
        <w:spacing w:line="560" w:lineRule="exact"/>
        <w:ind w:firstLine="640" w:firstLineChars="200"/>
        <w:rPr>
          <w:rFonts w:ascii="Times New Roman" w:eastAsia="仿宋_GB2312" w:hAnsi="Times New Roman"/>
          <w:sz w:val="32"/>
          <w:szCs w:val="32"/>
        </w:rPr>
      </w:pPr>
      <w:r>
        <w:rPr>
          <w:rFonts w:ascii="Times New Roman" w:eastAsia="仿宋_GB2312" w:hAnsi="Times New Roman" w:hint="eastAsia"/>
          <w:sz w:val="32"/>
          <w:szCs w:val="32"/>
        </w:rPr>
        <w:t>该地债资金项目资金拨付流程严格根据闭环资金管理办法实施，地区财政局、地区住房和城乡建设局、市财政局在支付的过程中，均对项目资金进行监管，拨付流程为：根据监理公司出具的工程进度，市住建局拟闭环资金申请表并上报地区住建局，由地区住建局相关科室审核并上报地区财政局，地区财政局审核通过后，将资金下拨至市财政局，市财政局指定指标，市住建局完成支付工作。</w:t>
      </w:r>
    </w:p>
    <w:p>
      <w:pPr>
        <w:spacing w:line="560" w:lineRule="exact"/>
        <w:ind w:firstLine="640" w:firstLineChars="200"/>
        <w:rPr>
          <w:rFonts w:ascii="仿宋_GB2312" w:eastAsia="仿宋_GB2312" w:hAnsi="仿宋_GB2312" w:cs="仿宋_GB2312" w:hint="eastAsia"/>
          <w:b/>
          <w:bCs/>
          <w:kern w:val="0"/>
          <w:sz w:val="32"/>
          <w:szCs w:val="32"/>
          <w:lang w:eastAsia="zh-Hans" w:bidi="ar"/>
        </w:rPr>
      </w:pPr>
      <w:r>
        <w:rPr>
          <w:rFonts w:ascii="仿宋_GB2312" w:eastAsia="仿宋_GB2312" w:hAnsi="仿宋_GB2312" w:cs="仿宋_GB2312" w:hint="eastAsia"/>
          <w:b/>
          <w:bCs/>
          <w:kern w:val="0"/>
          <w:sz w:val="32"/>
          <w:szCs w:val="32"/>
          <w:lang w:bidi="ar"/>
        </w:rPr>
        <w:t>5.</w:t>
      </w:r>
      <w:r>
        <w:rPr>
          <w:rFonts w:ascii="仿宋_GB2312" w:eastAsia="仿宋_GB2312" w:hAnsi="仿宋_GB2312" w:cs="仿宋_GB2312" w:hint="eastAsia"/>
          <w:kern w:val="0"/>
          <w:sz w:val="32"/>
          <w:szCs w:val="32"/>
          <w:lang w:bidi="ar"/>
        </w:rPr>
        <w:t xml:space="preserve"> </w:t>
      </w:r>
      <w:r>
        <w:rPr>
          <w:rFonts w:ascii="仿宋_GB2312" w:eastAsia="仿宋_GB2312" w:hAnsi="仿宋_GB2312" w:cs="仿宋_GB2312" w:hint="eastAsia"/>
          <w:b/>
          <w:bCs/>
          <w:kern w:val="0"/>
          <w:sz w:val="32"/>
          <w:szCs w:val="32"/>
          <w:lang w:eastAsia="zh-Hans" w:bidi="ar"/>
        </w:rPr>
        <w:t>该项目带来了哪些益处和促进作用</w:t>
      </w:r>
    </w:p>
    <w:p>
      <w:pPr>
        <w:spacing w:line="560" w:lineRule="exact"/>
        <w:ind w:firstLine="640" w:firstLineChars="200"/>
        <w:rPr>
          <w:rFonts w:ascii="仿宋_GB2312" w:eastAsia="仿宋_GB2312" w:hAnsi="仿宋_GB2312" w:cs="仿宋_GB2312"/>
          <w:b/>
          <w:sz w:val="32"/>
          <w:szCs w:val="32"/>
        </w:rPr>
      </w:pPr>
      <w:r>
        <w:rPr>
          <w:rFonts w:ascii="仿宋_GB2312" w:eastAsia="仿宋_GB2312" w:hAnsi="仿宋_GB2312" w:cs="仿宋_GB2312" w:hint="eastAsia"/>
          <w:sz w:val="32"/>
          <w:szCs w:val="32"/>
        </w:rPr>
        <w:t>推进城市棚户区改造，是保障和改善民生的一项重大举措，有利于加快解决低收入居民的住房困难问题。通过棚户区改造，城市中一些脏、乱、差等“城市病”问题能够得到有效治理，能够改善城市人居环境，提高城市居民的生活质量，完善城市功能，提升城市品位。在棚户区改造的同时,能够促进存量土地的有效利用，节约宝贵的土地资源，有利于政府更好地规划、建设城市，为城市的进一步发展打下良好基础。</w:t>
      </w:r>
      <w:bookmarkStart w:id="108" w:name="_Toc26013"/>
      <w:bookmarkStart w:id="109" w:name="_Toc111656782"/>
    </w:p>
    <w:p>
      <w:pPr>
        <w:spacing w:line="500" w:lineRule="exact"/>
        <w:outlineLvl w:val="0"/>
        <w:rPr>
          <w:rFonts w:ascii="黑体" w:eastAsia="黑体" w:hAnsi="黑体" w:cs="黑体"/>
          <w:b/>
          <w:sz w:val="32"/>
          <w:szCs w:val="32"/>
        </w:rPr>
      </w:pPr>
      <w:r>
        <w:rPr>
          <w:rFonts w:ascii="黑体" w:eastAsia="黑体" w:hAnsi="黑体" w:cs="黑体" w:hint="eastAsia"/>
          <w:b/>
          <w:sz w:val="32"/>
          <w:szCs w:val="32"/>
        </w:rPr>
        <w:t>附件五 访谈提纲</w:t>
      </w:r>
      <w:bookmarkEnd w:id="108"/>
      <w:bookmarkEnd w:id="109"/>
    </w:p>
    <w:p>
      <w:pPr>
        <w:spacing w:line="560" w:lineRule="exact"/>
        <w:jc w:val="center"/>
        <w:rPr>
          <w:rFonts w:ascii="楷体" w:eastAsia="楷体" w:hAnsi="楷体" w:cs="楷体"/>
          <w:b/>
          <w:sz w:val="32"/>
          <w:szCs w:val="32"/>
        </w:rPr>
      </w:pPr>
      <w:r>
        <w:rPr>
          <w:rFonts w:ascii="楷体" w:eastAsia="楷体" w:hAnsi="楷体" w:cs="楷体" w:hint="eastAsia"/>
          <w:b/>
          <w:sz w:val="32"/>
          <w:szCs w:val="32"/>
        </w:rPr>
        <w:t>附录 3-1 相关负责人访谈提纲</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2022年部分中央财政城镇保障性安居工程补助资金项目相关负责人访谈提纲</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1.请您从以下几点谈谈该项目的概况。</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(1)项目立项背景; (2) 项目立项的目标; (3)该项目取得的成绩与经验做法。</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2.请您简要介绍该经费项目实施的关键环节有哪些?</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3.请您简要说明一下，单位财务管理制度是否健全?对于规范财政经费管理方面做了哪些工作?</w:t>
      </w:r>
    </w:p>
    <w:p>
      <w:pPr>
        <w:ind w:firstLine="640" w:firstLineChars="200"/>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4.请您简要介绍该的预算申请编报、审批和拨付流程</w:t>
      </w:r>
    </w:p>
    <w:p>
      <w:pPr>
        <w:spacing w:line="500" w:lineRule="exact"/>
        <w:outlineLvl w:val="0"/>
        <w:rPr>
          <w:rFonts w:ascii="仿宋_GB2312" w:eastAsia="仿宋_GB2312" w:hAnsi="仿宋_GB2312" w:cs="仿宋_GB2312"/>
          <w:kern w:val="0"/>
          <w:sz w:val="32"/>
          <w:szCs w:val="32"/>
          <w:lang w:eastAsia="zh-Hans"/>
        </w:rPr>
      </w:pPr>
      <w:r>
        <w:rPr>
          <w:rFonts w:ascii="仿宋_GB2312" w:eastAsia="仿宋_GB2312" w:hAnsi="仿宋_GB2312" w:cs="仿宋_GB2312" w:hint="eastAsia"/>
          <w:kern w:val="0"/>
          <w:sz w:val="32"/>
          <w:szCs w:val="32"/>
        </w:rPr>
        <w:t>5.</w:t>
      </w:r>
      <w:r>
        <w:rPr>
          <w:rFonts w:ascii="仿宋_GB2312" w:eastAsia="仿宋_GB2312" w:hAnsi="仿宋_GB2312" w:cs="仿宋_GB2312" w:hint="eastAsia"/>
          <w:kern w:val="0"/>
          <w:sz w:val="32"/>
          <w:szCs w:val="32"/>
          <w:lang w:eastAsia="zh-Hans"/>
        </w:rPr>
        <w:t>项目建设完成带来的益处和促进作用</w:t>
      </w:r>
    </w:p>
    <w:p>
      <w:pPr>
        <w:spacing w:line="500" w:lineRule="exact"/>
        <w:outlineLvl w:val="0"/>
        <w:rPr>
          <w:rFonts w:ascii="仿宋_GB2312" w:eastAsia="仿宋_GB2312" w:hAnsi="仿宋_GB2312" w:cs="仿宋_GB2312"/>
          <w:kern w:val="0"/>
          <w:sz w:val="32"/>
          <w:szCs w:val="32"/>
          <w:lang w:eastAsia="zh-Hans"/>
        </w:rPr>
      </w:pPr>
      <w:r>
        <w:rPr>
          <w:rFonts w:ascii="黑体" w:eastAsia="黑体" w:hAnsi="黑体" w:cs="黑体" w:hint="eastAsia"/>
          <w:b/>
          <w:sz w:val="32"/>
          <w:szCs w:val="32"/>
        </w:rPr>
        <w:t>附件六 项目自评表</w:t>
      </w:r>
    </w:p>
    <w:tbl>
      <w:tblPr>
        <w:tblStyle w:val="TableNormal"/>
        <w:tblpPr w:leftFromText="180" w:rightFromText="180" w:vertAnchor="text" w:horzAnchor="page" w:tblpX="356" w:tblpY="494"/>
        <w:tblOverlap w:val="never"/>
        <w:tblW w:w="10078" w:type="dxa"/>
        <w:tblInd w:w="0" w:type="dxa"/>
        <w:tblLayout w:type="fixed"/>
        <w:tblCellMar>
          <w:top w:w="0" w:type="dxa"/>
          <w:left w:w="108" w:type="dxa"/>
          <w:bottom w:w="0" w:type="dxa"/>
          <w:right w:w="108" w:type="dxa"/>
        </w:tblCellMar>
      </w:tblPr>
      <w:tblGrid>
        <w:gridCol w:w="1163"/>
        <w:gridCol w:w="464"/>
        <w:gridCol w:w="1250"/>
        <w:gridCol w:w="744"/>
        <w:gridCol w:w="1392"/>
        <w:gridCol w:w="702"/>
        <w:gridCol w:w="1506"/>
        <w:gridCol w:w="732"/>
        <w:gridCol w:w="567"/>
        <w:gridCol w:w="937"/>
        <w:gridCol w:w="200"/>
        <w:gridCol w:w="181"/>
        <w:gridCol w:w="240"/>
      </w:tblGrid>
      <w:tr>
        <w:tblPrEx>
          <w:tblW w:w="10078" w:type="dxa"/>
          <w:tblInd w:w="0" w:type="dxa"/>
          <w:tblLayout w:type="fixed"/>
        </w:tblPrEx>
        <w:trPr>
          <w:trHeight w:val="408"/>
        </w:trPr>
        <w:tc>
          <w:tcPr>
            <w:tcW w:w="10078" w:type="dxa"/>
            <w:gridSpan w:val="13"/>
            <w:tcBorders>
              <w:top w:val="nil"/>
              <w:left w:val="nil"/>
              <w:bottom w:val="nil"/>
              <w:right w:val="nil"/>
            </w:tcBorders>
            <w:shd w:val="clear" w:color="auto" w:fill="auto"/>
            <w:vAlign w:val="center"/>
          </w:tcPr>
          <w:p>
            <w:pPr>
              <w:widowControl/>
              <w:jc w:val="center"/>
              <w:textAlignment w:val="center"/>
              <w:rPr>
                <w:rFonts w:ascii="仿宋_GB2312" w:eastAsia="仿宋_GB2312" w:hAnsi="仿宋_GB2312" w:cs="仿宋_GB2312"/>
                <w:b/>
                <w:bCs/>
                <w:color w:val="000000"/>
                <w:sz w:val="22"/>
              </w:rPr>
            </w:pPr>
            <w:bookmarkStart w:id="110" w:name="_Toc111656783"/>
            <w:bookmarkStart w:id="111" w:name="_Toc6514"/>
            <w:r>
              <w:rPr>
                <w:rFonts w:ascii="仿宋_GB2312" w:eastAsia="仿宋_GB2312" w:hAnsi="仿宋_GB2312" w:cs="仿宋_GB2312" w:hint="eastAsia"/>
                <w:b/>
                <w:bCs/>
                <w:color w:val="000000"/>
                <w:kern w:val="0"/>
                <w:sz w:val="22"/>
                <w:lang w:bidi="ar"/>
              </w:rPr>
              <w:t>项目支出绩效自评表</w:t>
            </w:r>
          </w:p>
        </w:tc>
      </w:tr>
      <w:tr>
        <w:tblPrEx>
          <w:tblW w:w="10078" w:type="dxa"/>
          <w:tblInd w:w="0" w:type="dxa"/>
          <w:tblLayout w:type="fixed"/>
        </w:tblPrEx>
        <w:trPr>
          <w:trHeight w:val="288"/>
        </w:trPr>
        <w:tc>
          <w:tcPr>
            <w:tcW w:w="10078" w:type="dxa"/>
            <w:gridSpan w:val="13"/>
            <w:tcBorders>
              <w:top w:val="nil"/>
              <w:left w:val="nil"/>
              <w:bottom w:val="nil"/>
              <w:right w:val="nil"/>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(2022年度)</w:t>
            </w:r>
          </w:p>
        </w:tc>
      </w:tr>
      <w:tr>
        <w:tblPrEx>
          <w:tblW w:w="10078" w:type="dxa"/>
          <w:tblInd w:w="0" w:type="dxa"/>
          <w:tblLayout w:type="fixed"/>
        </w:tblPrEx>
        <w:trPr>
          <w:trHeight w:val="396"/>
        </w:trPr>
        <w:tc>
          <w:tcPr>
            <w:tcW w:w="116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项目名称</w:t>
            </w:r>
          </w:p>
        </w:tc>
        <w:tc>
          <w:tcPr>
            <w:tcW w:w="8915"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2022年部分中央财政城镇保障性安居工程补助资金项目</w:t>
            </w:r>
          </w:p>
        </w:tc>
      </w:tr>
      <w:tr>
        <w:tblPrEx>
          <w:tblW w:w="10078" w:type="dxa"/>
          <w:tblInd w:w="0" w:type="dxa"/>
          <w:tblLayout w:type="fixed"/>
        </w:tblPrEx>
        <w:trPr>
          <w:trHeight w:val="396"/>
        </w:trPr>
        <w:tc>
          <w:tcPr>
            <w:tcW w:w="1163"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主管部门</w:t>
            </w:r>
          </w:p>
        </w:tc>
        <w:tc>
          <w:tcPr>
            <w:tcW w:w="455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乌苏市住房和城乡建设局</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实施单位</w:t>
            </w:r>
          </w:p>
        </w:tc>
        <w:tc>
          <w:tcPr>
            <w:tcW w:w="2125"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乌苏市住房和城乡建设局</w:t>
            </w:r>
          </w:p>
        </w:tc>
      </w:tr>
      <w:tr>
        <w:tblPrEx>
          <w:tblW w:w="10078" w:type="dxa"/>
          <w:tblInd w:w="0" w:type="dxa"/>
          <w:tblLayout w:type="fixed"/>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项目资金</w:t>
            </w:r>
            <w:r>
              <w:rPr>
                <w:rFonts w:ascii="仿宋_GB2312" w:eastAsia="仿宋_GB2312" w:hAnsi="仿宋_GB2312" w:cs="仿宋_GB2312" w:hint="eastAsia"/>
                <w:color w:val="000000"/>
                <w:kern w:val="0"/>
                <w:sz w:val="22"/>
                <w:lang w:bidi="ar"/>
              </w:rPr>
              <w:br/>
            </w:r>
            <w:r>
              <w:rPr>
                <w:rFonts w:ascii="仿宋_GB2312" w:eastAsia="仿宋_GB2312" w:hAnsi="仿宋_GB2312" w:cs="仿宋_GB2312" w:hint="eastAsia"/>
                <w:color w:val="000000"/>
                <w:kern w:val="0"/>
                <w:sz w:val="22"/>
                <w:lang w:bidi="ar"/>
              </w:rPr>
              <w:t>（万元）</w:t>
            </w: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年初预算数</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全年预算数</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全年执行数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分值</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执行率</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得分</w:t>
            </w: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年度资金总额</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2280.00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2280.00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2280.00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100.00%</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10.00分</w:t>
            </w: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其中：当年财政拨款</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 xml:space="preserve">      上年结转资金</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45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 xml:space="preserve">  其他资金</w:t>
            </w:r>
          </w:p>
        </w:tc>
        <w:tc>
          <w:tcPr>
            <w:tcW w:w="139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70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22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11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c>
          <w:tcPr>
            <w:tcW w:w="4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w:t>
            </w:r>
          </w:p>
        </w:tc>
      </w:tr>
      <w:tr>
        <w:tblPrEx>
          <w:tblW w:w="10078" w:type="dxa"/>
          <w:tblInd w:w="0" w:type="dxa"/>
          <w:tblLayout w:type="fixed"/>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年度总体目标</w:t>
            </w:r>
          </w:p>
        </w:tc>
        <w:tc>
          <w:tcPr>
            <w:tcW w:w="455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预期目标</w:t>
            </w:r>
          </w:p>
        </w:tc>
        <w:tc>
          <w:tcPr>
            <w:tcW w:w="436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实际完成情况</w:t>
            </w: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55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1、完成保障性安居工程2100户棚户区改造项目中央补助资金任务；2、预计2022年6月开工，2023年11月完工；3、提高城镇保障性安居工程财政资金使用效益，更好实现城镇保障性安居工程建设目标</w:t>
            </w:r>
          </w:p>
        </w:tc>
        <w:tc>
          <w:tcPr>
            <w:tcW w:w="4363"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部分中央财政城镇保障性安居工程补助资金项目项目预算资金2280万元，截止2022年12月31日，已经支付2280万元，项目按照计划正常实行，已经完成了棚户区改造2100户，达到了改善群众生活居住条件，改造后保障基础设施使用年限的效果，该项目严格按照计划实施，并有效保障了绩效自评工作的顺利开展。</w:t>
            </w:r>
          </w:p>
        </w:tc>
      </w:tr>
      <w:tr>
        <w:tblPrEx>
          <w:tblW w:w="10078" w:type="dxa"/>
          <w:tblInd w:w="0" w:type="dxa"/>
          <w:tblLayout w:type="fixed"/>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一级指标</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二级指标</w:t>
            </w:r>
          </w:p>
        </w:tc>
        <w:tc>
          <w:tcPr>
            <w:tcW w:w="2838"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三级指标</w:t>
            </w:r>
          </w:p>
        </w:tc>
        <w:tc>
          <w:tcPr>
            <w:tcW w:w="1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年度指标值</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实际完成值</w:t>
            </w:r>
          </w:p>
        </w:tc>
        <w:tc>
          <w:tcPr>
            <w:tcW w:w="5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分值</w:t>
            </w:r>
          </w:p>
        </w:tc>
        <w:tc>
          <w:tcPr>
            <w:tcW w:w="9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得分</w:t>
            </w:r>
          </w:p>
        </w:tc>
        <w:tc>
          <w:tcPr>
            <w:tcW w:w="62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偏差原因分析及改进措施</w:t>
            </w: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2838"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5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5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9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621"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年度绩效指标完成情况</w:t>
            </w:r>
          </w:p>
        </w:tc>
        <w:tc>
          <w:tcPr>
            <w:tcW w:w="4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产出指标</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数量指标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棚户区改造</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=2100户</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2100户</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质量指标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年度计划投资完成率</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&gt;=80%</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95%</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时效指标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项目计划开工时间</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=2022年6月</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2022年6月</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时效指标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项目计划完工时间</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=2023年11月</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2023年11月</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成本指标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项目总支出费用</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&lt;=2280万元</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2280万元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效益指标</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经济效益指标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jc w:val="left"/>
              <w:rPr>
                <w:rFonts w:ascii="仿宋_GB2312" w:eastAsia="仿宋_GB2312" w:hAnsi="仿宋_GB2312" w:cs="仿宋_GB2312"/>
                <w:color w:val="000000"/>
                <w:sz w:val="22"/>
              </w:rPr>
            </w:pP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社会效益指标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改善群众生活居住条件</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有效改善</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达成年度指标</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生态效益指标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jc w:val="left"/>
              <w:rPr>
                <w:rFonts w:ascii="仿宋_GB2312" w:eastAsia="仿宋_GB2312" w:hAnsi="仿宋_GB2312" w:cs="仿宋_GB2312"/>
                <w:color w:val="000000"/>
                <w:sz w:val="22"/>
              </w:rPr>
            </w:pP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可持续影响指标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改造后保障基础设施使用年限</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有效保障</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达成年度指标</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15</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c>
          <w:tcPr>
            <w:tcW w:w="464"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满意度指标</w:t>
            </w:r>
          </w:p>
        </w:tc>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满意度指标</w:t>
            </w:r>
          </w:p>
        </w:tc>
        <w:tc>
          <w:tcPr>
            <w:tcW w:w="2838"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改造后居民满意率</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&gt;=96%</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w:t>
            </w:r>
          </w:p>
        </w:tc>
        <w:tc>
          <w:tcPr>
            <w:tcW w:w="6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jc w:val="left"/>
              <w:rPr>
                <w:rFonts w:ascii="仿宋_GB2312" w:eastAsia="仿宋_GB2312" w:hAnsi="仿宋_GB2312" w:cs="仿宋_GB2312"/>
                <w:color w:val="000000"/>
                <w:sz w:val="22"/>
              </w:rPr>
            </w:pPr>
          </w:p>
        </w:tc>
      </w:tr>
      <w:tr>
        <w:tblPrEx>
          <w:tblW w:w="10078" w:type="dxa"/>
          <w:tblInd w:w="0" w:type="dxa"/>
          <w:tblLayout w:type="fixed"/>
        </w:tblPrEx>
        <w:trPr>
          <w:trHeight w:val="396"/>
        </w:trPr>
        <w:tc>
          <w:tcPr>
            <w:tcW w:w="7221"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总分</w:t>
            </w:r>
          </w:p>
        </w:tc>
        <w:tc>
          <w:tcPr>
            <w:tcW w:w="129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w:t>
            </w:r>
          </w:p>
        </w:tc>
        <w:tc>
          <w:tcPr>
            <w:tcW w:w="13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pPr>
              <w:widowControl/>
              <w:jc w:val="center"/>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100.00分</w:t>
            </w:r>
          </w:p>
        </w:tc>
        <w:tc>
          <w:tcPr>
            <w:tcW w:w="240" w:type="dxa"/>
            <w:tcBorders>
              <w:top w:val="single" w:sz="4" w:space="0" w:color="000000"/>
              <w:left w:val="single" w:sz="4" w:space="0" w:color="000000"/>
              <w:bottom w:val="single" w:sz="4" w:space="0" w:color="000000"/>
              <w:right w:val="single" w:sz="4" w:space="0" w:color="000000"/>
            </w:tcBorders>
            <w:shd w:val="clear" w:color="auto" w:fill="auto"/>
            <w:vAlign w:val="center"/>
          </w:tcPr>
          <w:p>
            <w:pPr>
              <w:jc w:val="center"/>
              <w:rPr>
                <w:rFonts w:ascii="仿宋_GB2312" w:eastAsia="仿宋_GB2312" w:hAnsi="仿宋_GB2312" w:cs="仿宋_GB2312"/>
                <w:color w:val="000000"/>
                <w:sz w:val="22"/>
              </w:rPr>
            </w:pPr>
          </w:p>
        </w:tc>
      </w:tr>
      <w:tr>
        <w:tblPrEx>
          <w:tblW w:w="10078" w:type="dxa"/>
          <w:tblInd w:w="0" w:type="dxa"/>
          <w:tblLayout w:type="fixed"/>
        </w:tblPrEx>
        <w:trPr>
          <w:trHeight w:val="396"/>
        </w:trPr>
        <w:tc>
          <w:tcPr>
            <w:tcW w:w="1163" w:type="dxa"/>
            <w:tcBorders>
              <w:top w:val="nil"/>
              <w:left w:val="nil"/>
              <w:bottom w:val="nil"/>
              <w:right w:val="nil"/>
            </w:tcBorders>
            <w:shd w:val="clear" w:color="auto" w:fill="auto"/>
            <w:noWrap/>
            <w:vAlign w:val="center"/>
          </w:tcPr>
          <w:p>
            <w:pPr>
              <w:widowControl/>
              <w:jc w:val="righ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经 办 人：</w:t>
            </w:r>
          </w:p>
        </w:tc>
        <w:tc>
          <w:tcPr>
            <w:tcW w:w="3850" w:type="dxa"/>
            <w:gridSpan w:val="4"/>
            <w:tcBorders>
              <w:top w:val="nil"/>
              <w:left w:val="nil"/>
              <w:bottom w:val="nil"/>
              <w:right w:val="nil"/>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田卫慧</w:t>
            </w:r>
          </w:p>
        </w:tc>
        <w:tc>
          <w:tcPr>
            <w:tcW w:w="2940" w:type="dxa"/>
            <w:gridSpan w:val="3"/>
            <w:tcBorders>
              <w:top w:val="nil"/>
              <w:left w:val="nil"/>
              <w:bottom w:val="nil"/>
              <w:right w:val="nil"/>
            </w:tcBorders>
            <w:shd w:val="clear" w:color="auto" w:fill="auto"/>
            <w:noWrap/>
            <w:vAlign w:val="center"/>
          </w:tcPr>
          <w:p>
            <w:pPr>
              <w:widowControl/>
              <w:jc w:val="righ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联系电话：</w:t>
            </w:r>
          </w:p>
        </w:tc>
        <w:tc>
          <w:tcPr>
            <w:tcW w:w="2125" w:type="dxa"/>
            <w:gridSpan w:val="5"/>
            <w:tcBorders>
              <w:top w:val="nil"/>
              <w:left w:val="nil"/>
              <w:bottom w:val="nil"/>
              <w:right w:val="nil"/>
            </w:tcBorders>
            <w:shd w:val="clear" w:color="auto" w:fill="auto"/>
            <w:noWrap/>
            <w:vAlign w:val="center"/>
          </w:tcPr>
          <w:p>
            <w:pPr>
              <w:widowControl/>
              <w:jc w:val="left"/>
              <w:textAlignment w:val="center"/>
              <w:rPr>
                <w:rFonts w:ascii="仿宋_GB2312" w:eastAsia="仿宋_GB2312" w:hAnsi="仿宋_GB2312" w:cs="仿宋_GB2312"/>
                <w:color w:val="000000"/>
                <w:sz w:val="22"/>
              </w:rPr>
            </w:pPr>
            <w:r>
              <w:rPr>
                <w:rFonts w:ascii="仿宋_GB2312" w:eastAsia="仿宋_GB2312" w:hAnsi="仿宋_GB2312" w:cs="仿宋_GB2312" w:hint="eastAsia"/>
                <w:color w:val="000000"/>
                <w:kern w:val="0"/>
                <w:sz w:val="22"/>
                <w:lang w:bidi="ar"/>
              </w:rPr>
              <w:t>8506208</w:t>
            </w:r>
          </w:p>
        </w:tc>
      </w:tr>
      <w:bookmarkEnd w:id="110"/>
    </w:tbl>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r>
        <w:rPr>
          <w:rFonts w:ascii="黑体" w:eastAsia="黑体" w:hAnsi="黑体" w:cs="黑体" w:hint="eastAsia"/>
          <w:b/>
          <w:sz w:val="32"/>
          <w:szCs w:val="32"/>
        </w:rPr>
        <w:t xml:space="preserve"> </w:t>
      </w:r>
      <w:bookmarkStart w:id="112" w:name="_Toc111656784"/>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rPr>
          <w:rFonts w:ascii="黑体" w:eastAsia="黑体" w:hAnsi="黑体" w:cs="黑体"/>
          <w:b/>
          <w:sz w:val="32"/>
          <w:szCs w:val="32"/>
        </w:rPr>
      </w:pPr>
    </w:p>
    <w:p>
      <w:pPr>
        <w:spacing w:line="500" w:lineRule="exact"/>
        <w:outlineLvl w:val="0"/>
      </w:pPr>
      <w:r>
        <w:rPr>
          <w:rFonts w:ascii="黑体" w:eastAsia="黑体" w:hAnsi="黑体" w:cs="黑体" w:hint="eastAsia"/>
          <w:b/>
          <w:sz w:val="32"/>
          <w:szCs w:val="32"/>
        </w:rPr>
        <w:t>附件七 现场照片</w:t>
      </w:r>
      <w:bookmarkEnd w:id="111"/>
      <w:bookmarkEnd w:id="112"/>
    </w:p>
    <w:p>
      <w:pPr>
        <w:pStyle w:val="Heading5"/>
      </w:pPr>
      <w:r>
        <w:rPr>
          <w:rFonts w:hint="eastAsia"/>
        </w:rPr>
        <w:drawing>
          <wp:inline distT="0" distB="0" distL="114300" distR="114300">
            <wp:extent cx="5264785" cy="3950335"/>
            <wp:effectExtent l="0" t="0" r="8255" b="12065"/>
            <wp:docPr id="2" name="图片 2" descr="22eccfbebb55b07fe47f045380637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2eccfbebb55b07fe47f045380637bd"/>
                    <pic:cNvPicPr>
                      <a:picLocks noChangeAspect="1"/>
                    </pic:cNvPicPr>
                  </pic:nvPicPr>
                  <pic:blipFill>
                    <a:blip xmlns:r="http://schemas.openxmlformats.org/officeDocument/2006/relationships" r:embed="rId10"/>
                    <a:stretch>
                      <a:fillRect/>
                    </a:stretch>
                  </pic:blipFill>
                  <pic:spPr>
                    <a:xfrm>
                      <a:off x="0" y="0"/>
                      <a:ext cx="5264785" cy="3950335"/>
                    </a:xfrm>
                    <a:prstGeom prst="rect">
                      <a:avLst/>
                    </a:prstGeom>
                  </pic:spPr>
                </pic:pic>
              </a:graphicData>
            </a:graphic>
          </wp:inline>
        </w:drawing>
      </w:r>
    </w:p>
    <w:p>
      <w:r>
        <w:rPr>
          <w:rFonts w:hint="eastAsia"/>
        </w:rPr>
        <w:drawing>
          <wp:inline distT="0" distB="0" distL="114300" distR="114300">
            <wp:extent cx="5264785" cy="3950335"/>
            <wp:effectExtent l="0" t="0" r="8255" b="12065"/>
            <wp:docPr id="3" name="图片 3" descr="d267d5a4b2339da3ea04a087e1d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267d5a4b2339da3ea04a087e1d8051"/>
                    <pic:cNvPicPr>
                      <a:picLocks noChangeAspect="1"/>
                    </pic:cNvPicPr>
                  </pic:nvPicPr>
                  <pic:blipFill>
                    <a:blip xmlns:r="http://schemas.openxmlformats.org/officeDocument/2006/relationships" r:embed="rId11"/>
                    <a:stretch>
                      <a:fillRect/>
                    </a:stretch>
                  </pic:blipFill>
                  <pic:spPr>
                    <a:xfrm>
                      <a:off x="0" y="0"/>
                      <a:ext cx="5264785" cy="3950335"/>
                    </a:xfrm>
                    <a:prstGeom prst="rect">
                      <a:avLst/>
                    </a:prstGeom>
                  </pic:spPr>
                </pic:pic>
              </a:graphicData>
            </a:graphic>
          </wp:inline>
        </w:drawing>
      </w:r>
    </w:p>
    <w:p>
      <w:pPr>
        <w:jc w:val="left"/>
        <w:rPr>
          <w:rFonts w:ascii="Times New Roman" w:eastAsia="Times New Roman" w:hAnsi="Times New Roman"/>
          <w:snapToGrid w:val="0"/>
          <w:color w:val="000000"/>
          <w:w w:val="0"/>
          <w:kern w:val="0"/>
          <w:sz w:val="0"/>
          <w:szCs w:val="0"/>
          <w:u w:color="000000"/>
          <w:shd w:val="clear" w:color="000000" w:fill="000000"/>
          <w:lang w:val="zh-CN" w:bidi="zh-CN"/>
        </w:rPr>
      </w:pPr>
      <w:r>
        <w:rPr>
          <w:rFonts w:ascii="Times New Roman" w:eastAsia="Times New Roman" w:hAnsi="Times New Roman"/>
          <w:snapToGrid w:val="0"/>
          <w:color w:val="000000"/>
          <w:w w:val="0"/>
          <w:kern w:val="0"/>
          <w:sz w:val="0"/>
          <w:szCs w:val="0"/>
          <w:u w:color="000000"/>
          <w:shd w:val="clear" w:color="000000" w:fill="000000"/>
          <w:lang w:val="zh-CN" w:bidi="zh-CN"/>
        </w:rPr>
        <w:t xml:space="preserve">    </w:t>
      </w:r>
    </w:p>
    <w:p>
      <w:pPr>
        <w:spacing w:line="500" w:lineRule="exact"/>
        <w:outlineLvl w:val="0"/>
        <w:rPr>
          <w:rFonts w:ascii="黑体" w:eastAsia="黑体" w:hAnsi="黑体" w:cs="黑体"/>
          <w:b/>
          <w:sz w:val="32"/>
          <w:szCs w:val="32"/>
        </w:rPr>
      </w:pPr>
      <w:bookmarkStart w:id="113" w:name="_Toc111656785"/>
    </w:p>
    <w:p>
      <w:pPr>
        <w:spacing w:line="500" w:lineRule="exact"/>
        <w:outlineLvl w:val="0"/>
        <w:rPr>
          <w:rFonts w:ascii="黑体" w:eastAsia="黑体" w:hAnsi="黑体" w:cs="黑体"/>
          <w:b/>
          <w:sz w:val="32"/>
          <w:szCs w:val="32"/>
        </w:rPr>
      </w:pPr>
      <w:r>
        <w:rPr>
          <w:rFonts w:ascii="黑体" w:eastAsia="黑体" w:hAnsi="黑体" w:cs="黑体" w:hint="eastAsia"/>
          <w:b/>
          <w:sz w:val="32"/>
          <w:szCs w:val="32"/>
        </w:rPr>
        <w:t>附件八  网上银行回执单、支付凭证、发票</w:t>
      </w:r>
      <w:bookmarkEnd w:id="113"/>
    </w:p>
    <w:p>
      <w:pPr>
        <w:pStyle w:val="Heading5"/>
      </w:pPr>
      <w:r>
        <w:drawing>
          <wp:inline distT="0" distB="0" distL="114300" distR="114300">
            <wp:extent cx="5272405" cy="2956560"/>
            <wp:effectExtent l="0" t="0" r="635"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xmlns:r="http://schemas.openxmlformats.org/officeDocument/2006/relationships" r:embed="rId12"/>
                    <a:stretch>
                      <a:fillRect/>
                    </a:stretch>
                  </pic:blipFill>
                  <pic:spPr>
                    <a:xfrm>
                      <a:off x="0" y="0"/>
                      <a:ext cx="5272405" cy="2956560"/>
                    </a:xfrm>
                    <a:prstGeom prst="rect">
                      <a:avLst/>
                    </a:prstGeom>
                    <a:noFill/>
                    <a:ln>
                      <a:noFill/>
                    </a:ln>
                  </pic:spPr>
                </pic:pic>
              </a:graphicData>
            </a:graphic>
          </wp:inline>
        </w:drawing>
      </w:r>
    </w:p>
    <w:p>
      <w:r>
        <w:drawing>
          <wp:inline distT="0" distB="0" distL="114300" distR="114300">
            <wp:extent cx="5272405" cy="3623945"/>
            <wp:effectExtent l="0" t="0" r="635" b="317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xmlns:r="http://schemas.openxmlformats.org/officeDocument/2006/relationships" r:embed="rId13"/>
                    <a:stretch>
                      <a:fillRect/>
                    </a:stretch>
                  </pic:blipFill>
                  <pic:spPr>
                    <a:xfrm>
                      <a:off x="0" y="0"/>
                      <a:ext cx="5272405" cy="3623945"/>
                    </a:xfrm>
                    <a:prstGeom prst="rect">
                      <a:avLst/>
                    </a:prstGeom>
                    <a:noFill/>
                    <a:ln>
                      <a:noFill/>
                    </a:ln>
                  </pic:spPr>
                </pic:pic>
              </a:graphicData>
            </a:graphic>
          </wp:inline>
        </w:drawing>
      </w:r>
    </w:p>
    <w:p>
      <w:pPr>
        <w:pStyle w:val="Heading5"/>
      </w:pPr>
      <w:r>
        <w:drawing>
          <wp:inline distT="0" distB="0" distL="114300" distR="114300">
            <wp:extent cx="5270500" cy="2917825"/>
            <wp:effectExtent l="0" t="0" r="2540" b="825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xmlns:r="http://schemas.openxmlformats.org/officeDocument/2006/relationships" r:embed="rId14"/>
                    <a:stretch>
                      <a:fillRect/>
                    </a:stretch>
                  </pic:blipFill>
                  <pic:spPr>
                    <a:xfrm>
                      <a:off x="0" y="0"/>
                      <a:ext cx="5270500" cy="2917825"/>
                    </a:xfrm>
                    <a:prstGeom prst="rect">
                      <a:avLst/>
                    </a:prstGeom>
                    <a:noFill/>
                    <a:ln>
                      <a:noFill/>
                    </a:ln>
                  </pic:spPr>
                </pic:pic>
              </a:graphicData>
            </a:graphic>
          </wp:inline>
        </w:drawing>
      </w:r>
    </w:p>
    <w:p>
      <w:r>
        <w:drawing>
          <wp:inline distT="0" distB="0" distL="114300" distR="114300">
            <wp:extent cx="5270500" cy="2954655"/>
            <wp:effectExtent l="0" t="0" r="2540" b="190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xmlns:r="http://schemas.openxmlformats.org/officeDocument/2006/relationships" r:embed="rId15"/>
                    <a:stretch>
                      <a:fillRect/>
                    </a:stretch>
                  </pic:blipFill>
                  <pic:spPr>
                    <a:xfrm>
                      <a:off x="0" y="0"/>
                      <a:ext cx="5270500" cy="2954655"/>
                    </a:xfrm>
                    <a:prstGeom prst="rect">
                      <a:avLst/>
                    </a:prstGeom>
                    <a:noFill/>
                    <a:ln>
                      <a:noFill/>
                    </a:ln>
                  </pic:spPr>
                </pic:pic>
              </a:graphicData>
            </a:graphic>
          </wp:inline>
        </w:drawing>
      </w:r>
    </w:p>
    <w:p>
      <w:pPr>
        <w:pStyle w:val="Heading5"/>
      </w:pPr>
      <w:r>
        <w:drawing>
          <wp:inline distT="0" distB="0" distL="114300" distR="114300">
            <wp:extent cx="5270500" cy="3131185"/>
            <wp:effectExtent l="0" t="0" r="2540" b="825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xmlns:r="http://schemas.openxmlformats.org/officeDocument/2006/relationships" r:embed="rId16"/>
                    <a:stretch>
                      <a:fillRect/>
                    </a:stretch>
                  </pic:blipFill>
                  <pic:spPr>
                    <a:xfrm>
                      <a:off x="0" y="0"/>
                      <a:ext cx="5270500" cy="3131185"/>
                    </a:xfrm>
                    <a:prstGeom prst="rect">
                      <a:avLst/>
                    </a:prstGeom>
                    <a:noFill/>
                    <a:ln>
                      <a:noFill/>
                    </a:ln>
                  </pic:spPr>
                </pic:pic>
              </a:graphicData>
            </a:graphic>
          </wp:inline>
        </w:drawing>
      </w:r>
    </w:p>
    <w:p>
      <w:r>
        <w:drawing>
          <wp:inline distT="0" distB="0" distL="114300" distR="114300">
            <wp:extent cx="5271770" cy="2675890"/>
            <wp:effectExtent l="0" t="0" r="1270" b="635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xmlns:r="http://schemas.openxmlformats.org/officeDocument/2006/relationships" r:embed="rId17"/>
                    <a:stretch>
                      <a:fillRect/>
                    </a:stretch>
                  </pic:blipFill>
                  <pic:spPr>
                    <a:xfrm>
                      <a:off x="0" y="0"/>
                      <a:ext cx="5271770" cy="2675890"/>
                    </a:xfrm>
                    <a:prstGeom prst="rect">
                      <a:avLst/>
                    </a:prstGeom>
                    <a:noFill/>
                    <a:ln>
                      <a:noFill/>
                    </a:ln>
                  </pic:spPr>
                </pic:pic>
              </a:graphicData>
            </a:graphic>
          </wp:inline>
        </w:drawing>
      </w:r>
    </w:p>
    <w:p>
      <w:pPr>
        <w:jc w:val="left"/>
        <w:rPr>
          <w:rFonts w:ascii="Times New Roman" w:eastAsia="仿宋_GB2312" w:hAnsi="Times New Roman" w:cs="仿宋"/>
          <w:sz w:val="32"/>
          <w:szCs w:val="32"/>
        </w:rPr>
      </w:pPr>
    </w:p>
    <w:p>
      <w:pPr>
        <w:jc w:val="left"/>
        <w:rPr>
          <w:rFonts w:ascii="Times New Roman" w:eastAsia="仿宋_GB2312" w:hAnsi="Times New Roman" w:cs="仿宋"/>
          <w:sz w:val="32"/>
          <w:szCs w:val="32"/>
        </w:rPr>
        <w:sectPr>
          <w:pgSz w:w="11906" w:h="16838"/>
          <w:pgMar w:top="1440" w:right="1800" w:bottom="1440" w:left="1800" w:header="851" w:footer="992" w:gutter="0"/>
          <w:cols w:num="1" w:space="425"/>
          <w:docGrid w:type="lines" w:linePitch="312" w:charSpace="0"/>
        </w:sectPr>
      </w:pPr>
      <w:r>
        <w:t xml:space="preserve">  </w:t>
      </w:r>
    </w:p>
    <w:p>
      <w:pPr>
        <w:pStyle w:val="Heading1"/>
      </w:pPr>
      <w:r>
        <w:t xml:space="preserve"> </w:t>
      </w:r>
    </w:p>
    <w:p>
      <w:pPr>
        <w:pStyle w:val="Title"/>
        <w:jc w:val="both"/>
      </w:pPr>
    </w:p>
    <w:sectPr>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embedRegular r:id="rId1" w:subsetted="1" w:fontKey="{5AE31162-B6A0-4A24-8E60-FE025C9C0329}"/>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97B01343-33CF-4BCB-BB71-6852C7D40DB3}"/>
  </w:font>
  <w:font w:name="Calibri">
    <w:panose1 w:val="020F0502020204030204"/>
    <w:charset w:val="00"/>
    <w:family w:val="swiss"/>
    <w:pitch w:val="default"/>
    <w:sig w:usb0="E00002FF" w:usb1="4000ACFF" w:usb2="00000001" w:usb3="00000000" w:csb0="2000019F" w:csb1="00000000"/>
    <w:embedRegular r:id="rId3" w:subsetted="1" w:fontKey="{349A32F6-098D-4A1C-BB9A-4E29FCCBD151}"/>
  </w:font>
  <w:font w:name="楷体">
    <w:panose1 w:val="02010609060101010101"/>
    <w:charset w:val="86"/>
    <w:family w:val="modern"/>
    <w:pitch w:val="default"/>
    <w:sig w:usb0="800002BF" w:usb1="38CF7CFA" w:usb2="00000016" w:usb3="00000000" w:csb0="00040001" w:csb1="00000000"/>
    <w:embedRegular r:id="rId4" w:subsetted="1" w:fontKey="{00025381-D757-47E3-BA64-7F73B27EE072}"/>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embedRegular r:id="rId5" w:subsetted="1" w:fontKey="{B7BF9E7C-B049-467B-9029-E3623440D40C}"/>
  </w:font>
  <w:font w:name="方正小标宋_GBK">
    <w:panose1 w:val="03000509000000000000"/>
    <w:charset w:val="86"/>
    <w:family w:val="script"/>
    <w:pitch w:val="default"/>
    <w:sig w:usb0="00000001" w:usb1="080E0000" w:usb2="00000000" w:usb3="00000000" w:csb0="00040000" w:csb1="00000000"/>
  </w:font>
  <w:font w:name="方正仿宋_GBK">
    <w:panose1 w:val="02000000000000000000"/>
    <w:charset w:val="86"/>
    <w:family w:val="script"/>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embedRegular r:id="rId6" w:subsetted="1" w:fontKey="{04070D8F-11BF-4D38-A035-4710514899B6}"/>
  </w:font>
  <w:font w:name="等线">
    <w:panose1 w:val="02010600030101010101"/>
    <w:charset w:val="86"/>
    <w:family w:val="auto"/>
    <w:pitch w:val="default"/>
    <w:sig w:usb0="00000000" w:usb1="00000000" w:usb2="00000000" w:usb3="00000000" w:csb0="00040000" w:csb1="00000000"/>
    <w:embedRegular r:id="rId7" w:subsetted="1" w:fontKey="{35CAC481-328F-4C47-B44F-DD0183F5E24E}"/>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61312" coordsize="21600,21600" filled="f" stroked="f" strokeweight="0.5pt">
              <o:lock v:ext="edit" aspectratio="f"/>
              <v:textbox style="mso-fit-shape-to-text:t" inset="0,0,0,0">
                <w:txbxContent>
                  <w:p>
                    <w:pPr>
                      <w:pStyle w:val="Footer"/>
                    </w:pPr>
                    <w:r>
                      <w:fldChar w:fldCharType="begin"/>
                    </w:r>
                    <w:r>
                      <w:instrText xml:space="preserve"> PAGE  \* MERGEFORMAT </w:instrText>
                    </w:r>
                    <w:r>
                      <w:fldChar w:fldCharType="separate"/>
                    </w:r>
                    <w:r>
                      <w:t>4</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0" type="#_x0000_t202" style="width:2in;height:2in;margin-top:0;margin-left:0;mso-height-relative:page;mso-position-horizontal:center;mso-position-horizontal-relative:margin;mso-width-relative:page;mso-wrap-style:none;position:absolute;z-index:251659264" coordsize="21600,21600" filled="f" stroked="f" strokeweight="0.5pt">
              <o:lock v:ext="edit" aspectratio="f"/>
              <v:textbox style="mso-fit-shape-to-text:t" inset="0,0,0,0">
                <w:txbxContent>
                  <w:p>
                    <w:pPr>
                      <w:pStyle w:val="Footer"/>
                    </w:pPr>
                    <w:r>
                      <w:fldChar w:fldCharType="begin"/>
                    </w:r>
                    <w:r>
                      <w:instrText xml:space="preserve"> PAGE  \* MERGEFORMAT </w:instrText>
                    </w:r>
                    <w:r>
                      <w:fldChar w:fldCharType="separate"/>
                    </w:r>
                    <w:r>
                      <w:t>4</w:t>
                    </w:r>
                    <w:r>
                      <w:fldChar w:fldCharType="end"/>
                    </w:r>
                  </w:p>
                </w:txbxContent>
              </v:textbox>
              <w10:wrap anchorx="margin"/>
            </v:shape>
          </w:pict>
        </mc:Fallback>
      </mc:AlternateConten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E1D86BE9"/>
    <w:multiLevelType w:val="singleLevel"/>
    <w:tmpl w:val="E1D86BE9"/>
    <w:lvl w:ilvl="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E1633C2"/>
    <w:rsid w:val="000124FE"/>
    <w:rsid w:val="00015E25"/>
    <w:rsid w:val="00037A27"/>
    <w:rsid w:val="00054E2F"/>
    <w:rsid w:val="000736A8"/>
    <w:rsid w:val="00092199"/>
    <w:rsid w:val="000964C9"/>
    <w:rsid w:val="000B25FC"/>
    <w:rsid w:val="000B4954"/>
    <w:rsid w:val="000B4E34"/>
    <w:rsid w:val="001000DE"/>
    <w:rsid w:val="001061CD"/>
    <w:rsid w:val="00122608"/>
    <w:rsid w:val="00126EFF"/>
    <w:rsid w:val="00127084"/>
    <w:rsid w:val="00140EA5"/>
    <w:rsid w:val="001428A7"/>
    <w:rsid w:val="001441E6"/>
    <w:rsid w:val="00145F53"/>
    <w:rsid w:val="00150E30"/>
    <w:rsid w:val="0016245F"/>
    <w:rsid w:val="00163928"/>
    <w:rsid w:val="00172CC2"/>
    <w:rsid w:val="001751D3"/>
    <w:rsid w:val="0017721A"/>
    <w:rsid w:val="00197631"/>
    <w:rsid w:val="001C4FB8"/>
    <w:rsid w:val="001C651A"/>
    <w:rsid w:val="001F56ED"/>
    <w:rsid w:val="00202B8B"/>
    <w:rsid w:val="002065E5"/>
    <w:rsid w:val="00217273"/>
    <w:rsid w:val="00245509"/>
    <w:rsid w:val="002740F0"/>
    <w:rsid w:val="00281D71"/>
    <w:rsid w:val="002832C2"/>
    <w:rsid w:val="002853FA"/>
    <w:rsid w:val="00292903"/>
    <w:rsid w:val="00296E12"/>
    <w:rsid w:val="002975B5"/>
    <w:rsid w:val="002A297E"/>
    <w:rsid w:val="002C5FDB"/>
    <w:rsid w:val="002C69AE"/>
    <w:rsid w:val="002D3A38"/>
    <w:rsid w:val="002D5D71"/>
    <w:rsid w:val="00340DF0"/>
    <w:rsid w:val="00342710"/>
    <w:rsid w:val="00345921"/>
    <w:rsid w:val="00345D6C"/>
    <w:rsid w:val="00347AF2"/>
    <w:rsid w:val="003646C4"/>
    <w:rsid w:val="003733EB"/>
    <w:rsid w:val="003777DF"/>
    <w:rsid w:val="003803E0"/>
    <w:rsid w:val="00381A22"/>
    <w:rsid w:val="003A79C6"/>
    <w:rsid w:val="003C2A1E"/>
    <w:rsid w:val="003C7DB2"/>
    <w:rsid w:val="003D2FC0"/>
    <w:rsid w:val="003D7C10"/>
    <w:rsid w:val="003E5409"/>
    <w:rsid w:val="003F6C18"/>
    <w:rsid w:val="00421E0A"/>
    <w:rsid w:val="00422E35"/>
    <w:rsid w:val="004463E3"/>
    <w:rsid w:val="004568E3"/>
    <w:rsid w:val="004576CA"/>
    <w:rsid w:val="00480A94"/>
    <w:rsid w:val="00480AA1"/>
    <w:rsid w:val="0048199D"/>
    <w:rsid w:val="0048298F"/>
    <w:rsid w:val="004938FE"/>
    <w:rsid w:val="00496D1F"/>
    <w:rsid w:val="004A0194"/>
    <w:rsid w:val="004A29A7"/>
    <w:rsid w:val="004A331D"/>
    <w:rsid w:val="004F320E"/>
    <w:rsid w:val="00507993"/>
    <w:rsid w:val="0051634F"/>
    <w:rsid w:val="00540570"/>
    <w:rsid w:val="0055430F"/>
    <w:rsid w:val="00556EAB"/>
    <w:rsid w:val="005639C2"/>
    <w:rsid w:val="00567B57"/>
    <w:rsid w:val="0057567B"/>
    <w:rsid w:val="005802AD"/>
    <w:rsid w:val="0059264E"/>
    <w:rsid w:val="0059668E"/>
    <w:rsid w:val="005A3D1A"/>
    <w:rsid w:val="005B14B6"/>
    <w:rsid w:val="005B3140"/>
    <w:rsid w:val="005B5C4D"/>
    <w:rsid w:val="005D388A"/>
    <w:rsid w:val="005F4643"/>
    <w:rsid w:val="005F6339"/>
    <w:rsid w:val="006062FA"/>
    <w:rsid w:val="006077E5"/>
    <w:rsid w:val="006152F2"/>
    <w:rsid w:val="00621C20"/>
    <w:rsid w:val="00635BDD"/>
    <w:rsid w:val="00640B1A"/>
    <w:rsid w:val="00641DD5"/>
    <w:rsid w:val="0064280A"/>
    <w:rsid w:val="006511DB"/>
    <w:rsid w:val="006556F5"/>
    <w:rsid w:val="00657649"/>
    <w:rsid w:val="00664179"/>
    <w:rsid w:val="00674519"/>
    <w:rsid w:val="00682C5C"/>
    <w:rsid w:val="0068744A"/>
    <w:rsid w:val="00696665"/>
    <w:rsid w:val="006A2ECD"/>
    <w:rsid w:val="006A57CF"/>
    <w:rsid w:val="006A5F79"/>
    <w:rsid w:val="006B3446"/>
    <w:rsid w:val="006B70F3"/>
    <w:rsid w:val="006C05CB"/>
    <w:rsid w:val="006C065C"/>
    <w:rsid w:val="006D42F7"/>
    <w:rsid w:val="006E505B"/>
    <w:rsid w:val="006E6F4E"/>
    <w:rsid w:val="00700A61"/>
    <w:rsid w:val="007022A5"/>
    <w:rsid w:val="00705FFE"/>
    <w:rsid w:val="007176C6"/>
    <w:rsid w:val="007374AD"/>
    <w:rsid w:val="00746589"/>
    <w:rsid w:val="00762D71"/>
    <w:rsid w:val="0077239C"/>
    <w:rsid w:val="007744E9"/>
    <w:rsid w:val="00787F54"/>
    <w:rsid w:val="007A6856"/>
    <w:rsid w:val="007B01FC"/>
    <w:rsid w:val="007B48AB"/>
    <w:rsid w:val="007D7B0A"/>
    <w:rsid w:val="007F7D31"/>
    <w:rsid w:val="00825956"/>
    <w:rsid w:val="0082606A"/>
    <w:rsid w:val="008440F2"/>
    <w:rsid w:val="00856DAC"/>
    <w:rsid w:val="00862A7E"/>
    <w:rsid w:val="00864729"/>
    <w:rsid w:val="00881E8E"/>
    <w:rsid w:val="00887CDF"/>
    <w:rsid w:val="008929CA"/>
    <w:rsid w:val="00894220"/>
    <w:rsid w:val="008A0725"/>
    <w:rsid w:val="008B41A0"/>
    <w:rsid w:val="008C05B6"/>
    <w:rsid w:val="008D2F50"/>
    <w:rsid w:val="008E02ED"/>
    <w:rsid w:val="009032E5"/>
    <w:rsid w:val="00915448"/>
    <w:rsid w:val="00922B0E"/>
    <w:rsid w:val="00946143"/>
    <w:rsid w:val="00954E2B"/>
    <w:rsid w:val="00965396"/>
    <w:rsid w:val="00965D53"/>
    <w:rsid w:val="00970914"/>
    <w:rsid w:val="00974D57"/>
    <w:rsid w:val="00975E67"/>
    <w:rsid w:val="009A7EAA"/>
    <w:rsid w:val="009B61AB"/>
    <w:rsid w:val="009C4115"/>
    <w:rsid w:val="009D2A8E"/>
    <w:rsid w:val="009F2479"/>
    <w:rsid w:val="009F352A"/>
    <w:rsid w:val="009F698A"/>
    <w:rsid w:val="00A01BDA"/>
    <w:rsid w:val="00A11BC4"/>
    <w:rsid w:val="00A25AEE"/>
    <w:rsid w:val="00A3706D"/>
    <w:rsid w:val="00A403D6"/>
    <w:rsid w:val="00A40598"/>
    <w:rsid w:val="00A466F4"/>
    <w:rsid w:val="00A5177F"/>
    <w:rsid w:val="00A63451"/>
    <w:rsid w:val="00A63E1C"/>
    <w:rsid w:val="00A6605F"/>
    <w:rsid w:val="00A91F22"/>
    <w:rsid w:val="00AC0517"/>
    <w:rsid w:val="00AC25D5"/>
    <w:rsid w:val="00AD19C5"/>
    <w:rsid w:val="00B007FA"/>
    <w:rsid w:val="00B047D3"/>
    <w:rsid w:val="00B12D77"/>
    <w:rsid w:val="00B235E1"/>
    <w:rsid w:val="00B24B58"/>
    <w:rsid w:val="00B348CB"/>
    <w:rsid w:val="00B44CE5"/>
    <w:rsid w:val="00B678E5"/>
    <w:rsid w:val="00BA099A"/>
    <w:rsid w:val="00BD02C3"/>
    <w:rsid w:val="00BD15F6"/>
    <w:rsid w:val="00BE66F3"/>
    <w:rsid w:val="00C00DA6"/>
    <w:rsid w:val="00C02C88"/>
    <w:rsid w:val="00C13A20"/>
    <w:rsid w:val="00C13A9C"/>
    <w:rsid w:val="00C50174"/>
    <w:rsid w:val="00C502A0"/>
    <w:rsid w:val="00C65F80"/>
    <w:rsid w:val="00C840E6"/>
    <w:rsid w:val="00C9441E"/>
    <w:rsid w:val="00C9759D"/>
    <w:rsid w:val="00CA13A1"/>
    <w:rsid w:val="00CA3B1E"/>
    <w:rsid w:val="00CB5605"/>
    <w:rsid w:val="00CB6C41"/>
    <w:rsid w:val="00CB713D"/>
    <w:rsid w:val="00CC24D0"/>
    <w:rsid w:val="00CD5433"/>
    <w:rsid w:val="00CE1ACD"/>
    <w:rsid w:val="00CE7859"/>
    <w:rsid w:val="00CE7CB1"/>
    <w:rsid w:val="00CF1E2F"/>
    <w:rsid w:val="00CF27E1"/>
    <w:rsid w:val="00CF35C7"/>
    <w:rsid w:val="00CF3799"/>
    <w:rsid w:val="00D012CA"/>
    <w:rsid w:val="00D16C2C"/>
    <w:rsid w:val="00D174BF"/>
    <w:rsid w:val="00D25AEE"/>
    <w:rsid w:val="00D40FB9"/>
    <w:rsid w:val="00D471FA"/>
    <w:rsid w:val="00D51CD7"/>
    <w:rsid w:val="00D65286"/>
    <w:rsid w:val="00D71700"/>
    <w:rsid w:val="00D90CB8"/>
    <w:rsid w:val="00D965F3"/>
    <w:rsid w:val="00DA6896"/>
    <w:rsid w:val="00DA71CF"/>
    <w:rsid w:val="00DC47A1"/>
    <w:rsid w:val="00DF6ACD"/>
    <w:rsid w:val="00E02F57"/>
    <w:rsid w:val="00E10CE6"/>
    <w:rsid w:val="00E120DE"/>
    <w:rsid w:val="00E12311"/>
    <w:rsid w:val="00E16EC5"/>
    <w:rsid w:val="00E31817"/>
    <w:rsid w:val="00E502DF"/>
    <w:rsid w:val="00E5667D"/>
    <w:rsid w:val="00E56FD5"/>
    <w:rsid w:val="00E65C10"/>
    <w:rsid w:val="00E72856"/>
    <w:rsid w:val="00E8047D"/>
    <w:rsid w:val="00E81231"/>
    <w:rsid w:val="00E85258"/>
    <w:rsid w:val="00EA1AA1"/>
    <w:rsid w:val="00EA5034"/>
    <w:rsid w:val="00EA7617"/>
    <w:rsid w:val="00EB42B6"/>
    <w:rsid w:val="00EB5F75"/>
    <w:rsid w:val="00ED3CDC"/>
    <w:rsid w:val="00EE7FD0"/>
    <w:rsid w:val="00EF6E6B"/>
    <w:rsid w:val="00F158E0"/>
    <w:rsid w:val="00F17861"/>
    <w:rsid w:val="00F17A0A"/>
    <w:rsid w:val="00F23059"/>
    <w:rsid w:val="00F256E3"/>
    <w:rsid w:val="00F3085D"/>
    <w:rsid w:val="00F31D2C"/>
    <w:rsid w:val="00F34312"/>
    <w:rsid w:val="00F41607"/>
    <w:rsid w:val="00F4227E"/>
    <w:rsid w:val="00F42734"/>
    <w:rsid w:val="00F52FB2"/>
    <w:rsid w:val="00F6130D"/>
    <w:rsid w:val="00F621FB"/>
    <w:rsid w:val="00F64F50"/>
    <w:rsid w:val="00F8391D"/>
    <w:rsid w:val="00FA0789"/>
    <w:rsid w:val="00FA3B2A"/>
    <w:rsid w:val="00FA3F74"/>
    <w:rsid w:val="00FD0F5A"/>
    <w:rsid w:val="00FD27EC"/>
    <w:rsid w:val="00FD2D33"/>
    <w:rsid w:val="00FD6ECC"/>
    <w:rsid w:val="00FE345E"/>
    <w:rsid w:val="00FF6569"/>
    <w:rsid w:val="011A26BE"/>
    <w:rsid w:val="020E5FB9"/>
    <w:rsid w:val="023272E5"/>
    <w:rsid w:val="02924267"/>
    <w:rsid w:val="02B56B54"/>
    <w:rsid w:val="034A3DF0"/>
    <w:rsid w:val="03700E13"/>
    <w:rsid w:val="03866B14"/>
    <w:rsid w:val="03A71631"/>
    <w:rsid w:val="03FE72EC"/>
    <w:rsid w:val="04AF295C"/>
    <w:rsid w:val="04D41166"/>
    <w:rsid w:val="05E2365A"/>
    <w:rsid w:val="061C1C3B"/>
    <w:rsid w:val="06316E0C"/>
    <w:rsid w:val="065D55C4"/>
    <w:rsid w:val="06D62687"/>
    <w:rsid w:val="079E2333"/>
    <w:rsid w:val="07A97C71"/>
    <w:rsid w:val="089E2F68"/>
    <w:rsid w:val="08C14775"/>
    <w:rsid w:val="08D92696"/>
    <w:rsid w:val="095A2B28"/>
    <w:rsid w:val="0968727D"/>
    <w:rsid w:val="09C55099"/>
    <w:rsid w:val="0A2A4510"/>
    <w:rsid w:val="0A6A78EE"/>
    <w:rsid w:val="0A791D32"/>
    <w:rsid w:val="0ABA7C2D"/>
    <w:rsid w:val="0AD83AE0"/>
    <w:rsid w:val="0B6E4DBE"/>
    <w:rsid w:val="0B907874"/>
    <w:rsid w:val="0BCE6251"/>
    <w:rsid w:val="0C1513A9"/>
    <w:rsid w:val="0C4F6007"/>
    <w:rsid w:val="0C503415"/>
    <w:rsid w:val="0C5146AD"/>
    <w:rsid w:val="0D064CC7"/>
    <w:rsid w:val="0D115155"/>
    <w:rsid w:val="0D2A3E03"/>
    <w:rsid w:val="0D40313C"/>
    <w:rsid w:val="0DC021DA"/>
    <w:rsid w:val="0F006B1C"/>
    <w:rsid w:val="0F1E598B"/>
    <w:rsid w:val="0F6C67D7"/>
    <w:rsid w:val="101A36EB"/>
    <w:rsid w:val="106E6F5B"/>
    <w:rsid w:val="10E23297"/>
    <w:rsid w:val="11411B4D"/>
    <w:rsid w:val="118C0D56"/>
    <w:rsid w:val="11BC0A39"/>
    <w:rsid w:val="11C429B6"/>
    <w:rsid w:val="125119C5"/>
    <w:rsid w:val="127105A3"/>
    <w:rsid w:val="138633B4"/>
    <w:rsid w:val="13E90E31"/>
    <w:rsid w:val="14025A7D"/>
    <w:rsid w:val="14083A8A"/>
    <w:rsid w:val="14AC34E4"/>
    <w:rsid w:val="15451547"/>
    <w:rsid w:val="158E0564"/>
    <w:rsid w:val="16037C7E"/>
    <w:rsid w:val="167D1103"/>
    <w:rsid w:val="16A15EF2"/>
    <w:rsid w:val="16A269FB"/>
    <w:rsid w:val="16F87948"/>
    <w:rsid w:val="17C72AC2"/>
    <w:rsid w:val="17D73C7F"/>
    <w:rsid w:val="18357EE7"/>
    <w:rsid w:val="1A4128F4"/>
    <w:rsid w:val="1A7E4FD1"/>
    <w:rsid w:val="1AA4727F"/>
    <w:rsid w:val="1ADD375E"/>
    <w:rsid w:val="1AFE2E6C"/>
    <w:rsid w:val="1B4D6482"/>
    <w:rsid w:val="1B822782"/>
    <w:rsid w:val="1BD56B1A"/>
    <w:rsid w:val="1C4D3B2C"/>
    <w:rsid w:val="1C9A4421"/>
    <w:rsid w:val="1D471F10"/>
    <w:rsid w:val="1E3F48D5"/>
    <w:rsid w:val="1E52204C"/>
    <w:rsid w:val="1E5B2F75"/>
    <w:rsid w:val="1E8A0861"/>
    <w:rsid w:val="1ED24C20"/>
    <w:rsid w:val="1F4902E0"/>
    <w:rsid w:val="1F4C55A1"/>
    <w:rsid w:val="1F5312B9"/>
    <w:rsid w:val="1FE05C9B"/>
    <w:rsid w:val="1FF04550"/>
    <w:rsid w:val="201E2B88"/>
    <w:rsid w:val="2044664F"/>
    <w:rsid w:val="20B80A49"/>
    <w:rsid w:val="21407FDB"/>
    <w:rsid w:val="214F3042"/>
    <w:rsid w:val="21FC3533"/>
    <w:rsid w:val="22443944"/>
    <w:rsid w:val="224A0474"/>
    <w:rsid w:val="228E68E0"/>
    <w:rsid w:val="22D15727"/>
    <w:rsid w:val="22D33E72"/>
    <w:rsid w:val="22E113CA"/>
    <w:rsid w:val="236323B0"/>
    <w:rsid w:val="23D345BD"/>
    <w:rsid w:val="23ED0090"/>
    <w:rsid w:val="253034F7"/>
    <w:rsid w:val="259467B3"/>
    <w:rsid w:val="259F136D"/>
    <w:rsid w:val="267927E5"/>
    <w:rsid w:val="26CE4E11"/>
    <w:rsid w:val="270D42B0"/>
    <w:rsid w:val="273E722A"/>
    <w:rsid w:val="27702045"/>
    <w:rsid w:val="27B01338"/>
    <w:rsid w:val="27D35990"/>
    <w:rsid w:val="285837DF"/>
    <w:rsid w:val="28C6210B"/>
    <w:rsid w:val="28CD122A"/>
    <w:rsid w:val="291126EE"/>
    <w:rsid w:val="296F3F48"/>
    <w:rsid w:val="29801528"/>
    <w:rsid w:val="2A075B57"/>
    <w:rsid w:val="2A355B25"/>
    <w:rsid w:val="2A4C020C"/>
    <w:rsid w:val="2B0377D0"/>
    <w:rsid w:val="2B733DD8"/>
    <w:rsid w:val="2BFD400B"/>
    <w:rsid w:val="2C206CAE"/>
    <w:rsid w:val="2C9E215C"/>
    <w:rsid w:val="2D47585A"/>
    <w:rsid w:val="2DC11A63"/>
    <w:rsid w:val="2E3C6A80"/>
    <w:rsid w:val="2E661BCC"/>
    <w:rsid w:val="2E6B40FF"/>
    <w:rsid w:val="2E964C9A"/>
    <w:rsid w:val="2ECA0FA4"/>
    <w:rsid w:val="2ECE54B9"/>
    <w:rsid w:val="2F5039ED"/>
    <w:rsid w:val="2FC56E4A"/>
    <w:rsid w:val="309C2CC7"/>
    <w:rsid w:val="30E3359C"/>
    <w:rsid w:val="30F66A07"/>
    <w:rsid w:val="31140F83"/>
    <w:rsid w:val="3133416A"/>
    <w:rsid w:val="31396CEF"/>
    <w:rsid w:val="314141E8"/>
    <w:rsid w:val="31DB0341"/>
    <w:rsid w:val="31FD08DD"/>
    <w:rsid w:val="32157C98"/>
    <w:rsid w:val="327D6D40"/>
    <w:rsid w:val="33826644"/>
    <w:rsid w:val="343921ED"/>
    <w:rsid w:val="34914C92"/>
    <w:rsid w:val="34D359C9"/>
    <w:rsid w:val="34DA47CD"/>
    <w:rsid w:val="35645F3A"/>
    <w:rsid w:val="35B82407"/>
    <w:rsid w:val="35B90067"/>
    <w:rsid w:val="36AB00EF"/>
    <w:rsid w:val="36E670B7"/>
    <w:rsid w:val="37043358"/>
    <w:rsid w:val="37A33CEC"/>
    <w:rsid w:val="37E350FF"/>
    <w:rsid w:val="37F00D10"/>
    <w:rsid w:val="38617CC8"/>
    <w:rsid w:val="39613B9C"/>
    <w:rsid w:val="39826DC4"/>
    <w:rsid w:val="39D55633"/>
    <w:rsid w:val="3A2F2590"/>
    <w:rsid w:val="3AAA3081"/>
    <w:rsid w:val="3AB57A48"/>
    <w:rsid w:val="3ACF170A"/>
    <w:rsid w:val="3B193643"/>
    <w:rsid w:val="3BDD5141"/>
    <w:rsid w:val="3C6228D0"/>
    <w:rsid w:val="3D7365A9"/>
    <w:rsid w:val="3D805ADE"/>
    <w:rsid w:val="3DC2292A"/>
    <w:rsid w:val="3DCE0994"/>
    <w:rsid w:val="3E500AEA"/>
    <w:rsid w:val="3E587914"/>
    <w:rsid w:val="3EBE45E9"/>
    <w:rsid w:val="3ECC0B47"/>
    <w:rsid w:val="3F5E4A83"/>
    <w:rsid w:val="403E5771"/>
    <w:rsid w:val="40B65062"/>
    <w:rsid w:val="41284DBE"/>
    <w:rsid w:val="41412AD9"/>
    <w:rsid w:val="4298316F"/>
    <w:rsid w:val="42EF10DE"/>
    <w:rsid w:val="433106A1"/>
    <w:rsid w:val="43513C7D"/>
    <w:rsid w:val="43954CD1"/>
    <w:rsid w:val="440932EA"/>
    <w:rsid w:val="4419039F"/>
    <w:rsid w:val="44477F32"/>
    <w:rsid w:val="44B959F2"/>
    <w:rsid w:val="44CD3F8D"/>
    <w:rsid w:val="45142A49"/>
    <w:rsid w:val="452151ED"/>
    <w:rsid w:val="45A34F89"/>
    <w:rsid w:val="45EC6021"/>
    <w:rsid w:val="45FB5CC5"/>
    <w:rsid w:val="45FF3351"/>
    <w:rsid w:val="46232BF8"/>
    <w:rsid w:val="465800A9"/>
    <w:rsid w:val="469508C7"/>
    <w:rsid w:val="46A65464"/>
    <w:rsid w:val="475C132C"/>
    <w:rsid w:val="47921D06"/>
    <w:rsid w:val="479A60E1"/>
    <w:rsid w:val="479E5734"/>
    <w:rsid w:val="47AA0B5F"/>
    <w:rsid w:val="47C735E6"/>
    <w:rsid w:val="488157F1"/>
    <w:rsid w:val="4904428E"/>
    <w:rsid w:val="49261755"/>
    <w:rsid w:val="493327C1"/>
    <w:rsid w:val="49454E74"/>
    <w:rsid w:val="4992705A"/>
    <w:rsid w:val="49D85BAD"/>
    <w:rsid w:val="4A506227"/>
    <w:rsid w:val="4A92768B"/>
    <w:rsid w:val="4ABE531D"/>
    <w:rsid w:val="4AF237DF"/>
    <w:rsid w:val="4B185A8F"/>
    <w:rsid w:val="4B307DCF"/>
    <w:rsid w:val="4BD825C6"/>
    <w:rsid w:val="4C075B81"/>
    <w:rsid w:val="4C2E30C9"/>
    <w:rsid w:val="4C5C0697"/>
    <w:rsid w:val="4CD80678"/>
    <w:rsid w:val="4CE37FE0"/>
    <w:rsid w:val="4D6E14E9"/>
    <w:rsid w:val="4D93798D"/>
    <w:rsid w:val="4DC743CE"/>
    <w:rsid w:val="4DCD2EF0"/>
    <w:rsid w:val="4DE8361F"/>
    <w:rsid w:val="4DF73C06"/>
    <w:rsid w:val="4E1C159D"/>
    <w:rsid w:val="4EAC45A6"/>
    <w:rsid w:val="4EB41FE2"/>
    <w:rsid w:val="4ED2370C"/>
    <w:rsid w:val="4F250FBE"/>
    <w:rsid w:val="4F3F0E65"/>
    <w:rsid w:val="4F7D303E"/>
    <w:rsid w:val="504464DC"/>
    <w:rsid w:val="50CF2FA9"/>
    <w:rsid w:val="518A1D62"/>
    <w:rsid w:val="51AF7719"/>
    <w:rsid w:val="51C247E1"/>
    <w:rsid w:val="51C631E0"/>
    <w:rsid w:val="51F003FF"/>
    <w:rsid w:val="52197793"/>
    <w:rsid w:val="527847D0"/>
    <w:rsid w:val="528C633A"/>
    <w:rsid w:val="52EA4348"/>
    <w:rsid w:val="531856DD"/>
    <w:rsid w:val="53C067D8"/>
    <w:rsid w:val="53D2652F"/>
    <w:rsid w:val="5425630A"/>
    <w:rsid w:val="545623DF"/>
    <w:rsid w:val="549B11A3"/>
    <w:rsid w:val="54AE3154"/>
    <w:rsid w:val="54B40A03"/>
    <w:rsid w:val="54BE43DC"/>
    <w:rsid w:val="54C6305B"/>
    <w:rsid w:val="54D136B2"/>
    <w:rsid w:val="54FD59EA"/>
    <w:rsid w:val="551301D9"/>
    <w:rsid w:val="55805F3E"/>
    <w:rsid w:val="559051A4"/>
    <w:rsid w:val="55F038A6"/>
    <w:rsid w:val="562C1B1C"/>
    <w:rsid w:val="56D02838"/>
    <w:rsid w:val="56EE583F"/>
    <w:rsid w:val="582D35BB"/>
    <w:rsid w:val="588528E7"/>
    <w:rsid w:val="58D9502A"/>
    <w:rsid w:val="58F343FD"/>
    <w:rsid w:val="59236623"/>
    <w:rsid w:val="593F2707"/>
    <w:rsid w:val="59D14215"/>
    <w:rsid w:val="59FC2D92"/>
    <w:rsid w:val="5A26638B"/>
    <w:rsid w:val="5A555214"/>
    <w:rsid w:val="5BC52222"/>
    <w:rsid w:val="5BD76881"/>
    <w:rsid w:val="5CBA49E9"/>
    <w:rsid w:val="5D1F0DD9"/>
    <w:rsid w:val="5E6147E2"/>
    <w:rsid w:val="5F0D1B7D"/>
    <w:rsid w:val="600C2CE4"/>
    <w:rsid w:val="60210A5A"/>
    <w:rsid w:val="602E4D24"/>
    <w:rsid w:val="60481815"/>
    <w:rsid w:val="617D47BB"/>
    <w:rsid w:val="62204698"/>
    <w:rsid w:val="62205035"/>
    <w:rsid w:val="62507CB6"/>
    <w:rsid w:val="63051613"/>
    <w:rsid w:val="63856006"/>
    <w:rsid w:val="63AB02E5"/>
    <w:rsid w:val="64782C18"/>
    <w:rsid w:val="648C54C4"/>
    <w:rsid w:val="66A64571"/>
    <w:rsid w:val="67460132"/>
    <w:rsid w:val="67892689"/>
    <w:rsid w:val="67A717D0"/>
    <w:rsid w:val="688246D5"/>
    <w:rsid w:val="68B02740"/>
    <w:rsid w:val="6953368A"/>
    <w:rsid w:val="695A768C"/>
    <w:rsid w:val="699C027D"/>
    <w:rsid w:val="6A701110"/>
    <w:rsid w:val="6B04567C"/>
    <w:rsid w:val="6B075A25"/>
    <w:rsid w:val="6BAA2F79"/>
    <w:rsid w:val="6C107050"/>
    <w:rsid w:val="6C597323"/>
    <w:rsid w:val="6C792837"/>
    <w:rsid w:val="6D08399E"/>
    <w:rsid w:val="6D886051"/>
    <w:rsid w:val="6DB62632"/>
    <w:rsid w:val="6DF370B4"/>
    <w:rsid w:val="6E1633C2"/>
    <w:rsid w:val="6EA77BEB"/>
    <w:rsid w:val="6EC82EDA"/>
    <w:rsid w:val="6EFE3D04"/>
    <w:rsid w:val="6FA8565C"/>
    <w:rsid w:val="6FE871D3"/>
    <w:rsid w:val="701E36A5"/>
    <w:rsid w:val="70C34883"/>
    <w:rsid w:val="71817B50"/>
    <w:rsid w:val="71827F1B"/>
    <w:rsid w:val="72A93595"/>
    <w:rsid w:val="7486020D"/>
    <w:rsid w:val="74B73503"/>
    <w:rsid w:val="74D63A62"/>
    <w:rsid w:val="74FB2FEE"/>
    <w:rsid w:val="75914522"/>
    <w:rsid w:val="759F78C3"/>
    <w:rsid w:val="75C073F1"/>
    <w:rsid w:val="7622338B"/>
    <w:rsid w:val="7672471A"/>
    <w:rsid w:val="76925CD5"/>
    <w:rsid w:val="772D636E"/>
    <w:rsid w:val="774F2682"/>
    <w:rsid w:val="775B3695"/>
    <w:rsid w:val="775C3041"/>
    <w:rsid w:val="778A6AB2"/>
    <w:rsid w:val="780C18F4"/>
    <w:rsid w:val="785B2D68"/>
    <w:rsid w:val="78666252"/>
    <w:rsid w:val="78750966"/>
    <w:rsid w:val="790773D1"/>
    <w:rsid w:val="79511CCF"/>
    <w:rsid w:val="799873A1"/>
    <w:rsid w:val="7A007DBF"/>
    <w:rsid w:val="7A69231B"/>
    <w:rsid w:val="7AD65CA7"/>
    <w:rsid w:val="7AF144AD"/>
    <w:rsid w:val="7BBA5420"/>
    <w:rsid w:val="7BD07CBB"/>
    <w:rsid w:val="7BF02CE1"/>
    <w:rsid w:val="7D9F4904"/>
    <w:rsid w:val="7E1C347D"/>
    <w:rsid w:val="7ED06059"/>
    <w:rsid w:val="7F160472"/>
    <w:rsid w:val="7F5C07B7"/>
    <w:rsid w:val="7FA43B58"/>
    <w:rsid w:val="7FF30922"/>
  </w:rsids>
  <w:docVars>
    <w:docVar w:name="commondata" w:val="eyJoZGlkIjoiZTRjNjhlMWYwMDA3NzE1M2U4YjMyMzE4YWMwYmQxNDk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hAnsi="Times New Roman" w:eastAsiaTheme="minorEastAsia" w:cs="Times New Roman"/>
        <w:lang w:val="en-US" w:eastAsia="zh-CN"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semiHidden="0" w:uiPriority="9"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39"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qFormat="1"/>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qFormat="1"/>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10" w:unhideWhenUsed="0" w:qFormat="1"/>
    <w:lsdException w:name="Closing" w:semiHidden="0" w:uiPriority="0" w:unhideWhenUsed="0"/>
    <w:lsdException w:name="Signature" w:semiHidden="0" w:uiPriority="0" w:unhideWhenUsed="0"/>
    <w:lsdException w:name="Default Paragraph Font" w:uiPriority="1"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qFormat="1"/>
    <w:lsdException w:name="annotation subject" w:semiHidden="0" w:uiPriority="0" w:unhideWhenUsed="0" w:qFormat="1"/>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semiHidden="0" w:uiPriority="0" w:unhideWhenUsed="0" w:qFormat="1"/>
    <w:lsdException w:name="Table Grid" w:semiHidden="0" w:uiPriority="39" w:unhideWhenUsed="0" w:qFormat="1"/>
    <w:lsdException w:name="Table Theme" w:uiPriority="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Heading5"/>
    <w:qFormat/>
    <w:pPr>
      <w:widowControl w:val="0"/>
      <w:jc w:val="both"/>
    </w:pPr>
    <w:rPr>
      <w:rFonts w:ascii="Calibri" w:eastAsia="宋体" w:hAnsi="Calibri" w:cs="Times New Roman"/>
      <w:kern w:val="2"/>
      <w:sz w:val="21"/>
      <w:szCs w:val="22"/>
      <w:lang w:val="en-US" w:eastAsia="zh-CN" w:bidi="ar-SA"/>
    </w:rPr>
  </w:style>
  <w:style w:type="paragraph" w:styleId="Heading1">
    <w:name w:val="heading 1"/>
    <w:basedOn w:val="Normal"/>
    <w:next w:val="Normal"/>
    <w:qFormat/>
    <w:pPr>
      <w:keepNext/>
      <w:keepLines/>
      <w:spacing w:line="560" w:lineRule="exact"/>
      <w:outlineLvl w:val="0"/>
    </w:pPr>
    <w:rPr>
      <w:rFonts w:eastAsia="黑体"/>
      <w:kern w:val="44"/>
    </w:rPr>
  </w:style>
  <w:style w:type="paragraph" w:styleId="Heading2">
    <w:name w:val="heading 2"/>
    <w:basedOn w:val="Normal"/>
    <w:next w:val="Normal"/>
    <w:link w:val="2"/>
    <w:semiHidden/>
    <w:unhideWhenUsed/>
    <w:qFormat/>
    <w:pPr>
      <w:keepNext/>
      <w:keepLines/>
      <w:spacing w:line="560" w:lineRule="exact"/>
      <w:outlineLvl w:val="1"/>
    </w:pPr>
    <w:rPr>
      <w:rFonts w:ascii="Arial" w:eastAsia="楷体" w:hAnsi="Arial"/>
      <w:b/>
    </w:rPr>
  </w:style>
  <w:style w:type="paragraph" w:styleId="Heading3">
    <w:name w:val="heading 3"/>
    <w:basedOn w:val="Normal"/>
    <w:next w:val="Normal"/>
    <w:semiHidden/>
    <w:unhideWhenUsed/>
    <w:qFormat/>
    <w:pPr>
      <w:keepNext/>
      <w:keepLines/>
      <w:spacing w:line="560" w:lineRule="exact"/>
      <w:outlineLvl w:val="2"/>
    </w:pPr>
    <w:rPr>
      <w:b/>
    </w:rPr>
  </w:style>
  <w:style w:type="paragraph" w:styleId="Heading5">
    <w:name w:val="heading 5"/>
    <w:basedOn w:val="Normal"/>
    <w:next w:val="Normal"/>
    <w:uiPriority w:val="9"/>
    <w:unhideWhenUsed/>
    <w:qFormat/>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paragraph" w:styleId="CommentText">
    <w:name w:val="annotation text"/>
    <w:basedOn w:val="Normal"/>
    <w:link w:val="a0"/>
    <w:qFormat/>
    <w:pPr>
      <w:jc w:val="left"/>
    </w:pPr>
  </w:style>
  <w:style w:type="paragraph" w:styleId="BalloonText">
    <w:name w:val="Balloon Text"/>
    <w:basedOn w:val="Normal"/>
    <w:link w:val="a2"/>
    <w:qFormat/>
    <w:rPr>
      <w:sz w:val="18"/>
      <w:szCs w:val="18"/>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Normal"/>
    <w:next w:val="Normal"/>
    <w:qFormat/>
  </w:style>
  <w:style w:type="paragraph" w:styleId="TOC2">
    <w:name w:val="toc 2"/>
    <w:basedOn w:val="Normal"/>
    <w:next w:val="Normal"/>
    <w:uiPriority w:val="39"/>
    <w:qFormat/>
    <w:pPr>
      <w:ind w:left="420" w:leftChars="200"/>
    </w:pPr>
  </w:style>
  <w:style w:type="paragraph" w:styleId="Title">
    <w:name w:val="Title"/>
    <w:basedOn w:val="Normal"/>
    <w:next w:val="Normal"/>
    <w:uiPriority w:val="10"/>
    <w:qFormat/>
    <w:pPr>
      <w:widowControl/>
      <w:spacing w:before="240" w:after="60"/>
      <w:jc w:val="center"/>
      <w:outlineLvl w:val="0"/>
    </w:pPr>
    <w:rPr>
      <w:rFonts w:ascii="Cambria" w:hAnsi="Cambria"/>
      <w:b/>
      <w:bCs/>
      <w:kern w:val="28"/>
      <w:sz w:val="32"/>
      <w:szCs w:val="32"/>
    </w:rPr>
  </w:style>
  <w:style w:type="paragraph" w:styleId="CommentSubject">
    <w:name w:val="annotation subject"/>
    <w:basedOn w:val="CommentText"/>
    <w:next w:val="CommentText"/>
    <w:link w:val="a1"/>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Pr>
      <w:color w:val="0563C1" w:themeColor="hyperlink"/>
      <w:u w:val="single"/>
      <w14:textFill>
        <w14:solidFill>
          <w14:schemeClr w14:val="hlink"/>
        </w14:solidFill>
      </w14:textFill>
    </w:rPr>
  </w:style>
  <w:style w:type="character" w:styleId="CommentReference">
    <w:name w:val="annotation reference"/>
    <w:basedOn w:val="DefaultParagraphFont"/>
    <w:qFormat/>
    <w:rPr>
      <w:sz w:val="21"/>
      <w:szCs w:val="21"/>
    </w:rPr>
  </w:style>
  <w:style w:type="character" w:customStyle="1" w:styleId="2">
    <w:name w:val="标题 2 字符"/>
    <w:link w:val="Heading2"/>
    <w:qFormat/>
    <w:rPr>
      <w:rFonts w:ascii="Arial" w:eastAsia="楷体" w:hAnsi="Arial"/>
      <w:b/>
      <w:sz w:val="32"/>
    </w:rPr>
  </w:style>
  <w:style w:type="paragraph" w:customStyle="1" w:styleId="1">
    <w:name w:val="黑体1"/>
    <w:basedOn w:val="Normal"/>
    <w:qFormat/>
    <w:pPr>
      <w:widowControl/>
      <w:overflowPunct w:val="0"/>
      <w:autoSpaceDE w:val="0"/>
      <w:autoSpaceDN w:val="0"/>
      <w:adjustRightInd w:val="0"/>
      <w:spacing w:line="560" w:lineRule="exact"/>
      <w:ind w:firstLine="803" w:firstLineChars="250"/>
      <w:textAlignment w:val="baseline"/>
    </w:pPr>
    <w:rPr>
      <w:rFonts w:ascii="黑体" w:eastAsia="黑体" w:hAnsi="黑体"/>
      <w:b/>
      <w:kern w:val="0"/>
      <w:sz w:val="32"/>
      <w:szCs w:val="28"/>
    </w:rPr>
  </w:style>
  <w:style w:type="paragraph" w:customStyle="1" w:styleId="a">
    <w:name w:val="闻政正文"/>
    <w:basedOn w:val="Normal"/>
    <w:link w:val="Char"/>
    <w:qFormat/>
    <w:pPr>
      <w:spacing w:line="500" w:lineRule="exact"/>
      <w:ind w:firstLine="883" w:firstLineChars="200"/>
    </w:pPr>
    <w:rPr>
      <w:rFonts w:ascii="Times New Roman" w:eastAsia="仿宋_GB2312" w:hAnsi="Times New Roman"/>
      <w:kern w:val="0"/>
      <w:sz w:val="28"/>
      <w:szCs w:val="28"/>
    </w:rPr>
  </w:style>
  <w:style w:type="character" w:customStyle="1" w:styleId="font11">
    <w:name w:val="font11"/>
    <w:basedOn w:val="DefaultParagraphFont"/>
    <w:qFormat/>
    <w:rPr>
      <w:rFonts w:ascii="宋体" w:eastAsia="宋体" w:hAnsi="宋体" w:cs="宋体" w:hint="eastAsia"/>
      <w:color w:val="000000"/>
      <w:sz w:val="20"/>
      <w:szCs w:val="20"/>
      <w:u w:val="none"/>
    </w:rPr>
  </w:style>
  <w:style w:type="character" w:customStyle="1" w:styleId="font61">
    <w:name w:val="font61"/>
    <w:basedOn w:val="DefaultParagraphFont"/>
    <w:qFormat/>
    <w:rPr>
      <w:rFonts w:ascii="宋体" w:eastAsia="宋体" w:hAnsi="宋体" w:cs="宋体" w:hint="eastAsia"/>
      <w:color w:val="000000"/>
      <w:sz w:val="18"/>
      <w:szCs w:val="18"/>
      <w:u w:val="none"/>
    </w:rPr>
  </w:style>
  <w:style w:type="paragraph" w:styleId="ListParagraph">
    <w:name w:val="List Paragraph"/>
    <w:basedOn w:val="Normal"/>
    <w:uiPriority w:val="99"/>
    <w:qFormat/>
    <w:pPr>
      <w:ind w:firstLine="420"/>
    </w:pPr>
  </w:style>
  <w:style w:type="paragraph" w:customStyle="1" w:styleId="WPSOffice1">
    <w:name w:val="WPSOffice手动目录 1"/>
    <w:qFormat/>
    <w:rPr>
      <w:rFonts w:ascii="Times New Roman" w:eastAsia="宋体" w:hAnsi="Times New Roman" w:cs="Times New Roman"/>
      <w:lang w:val="en-US" w:eastAsia="zh-CN" w:bidi="ar-SA"/>
    </w:rPr>
  </w:style>
  <w:style w:type="character" w:customStyle="1" w:styleId="a0">
    <w:name w:val="批注文字 字符"/>
    <w:basedOn w:val="DefaultParagraphFont"/>
    <w:link w:val="CommentText"/>
    <w:qFormat/>
    <w:rPr>
      <w:rFonts w:ascii="Calibri" w:hAnsi="Calibri"/>
      <w:kern w:val="2"/>
      <w:sz w:val="21"/>
      <w:szCs w:val="22"/>
    </w:rPr>
  </w:style>
  <w:style w:type="character" w:customStyle="1" w:styleId="a1">
    <w:name w:val="批注主题 字符"/>
    <w:basedOn w:val="a0"/>
    <w:link w:val="CommentSubject"/>
    <w:qFormat/>
    <w:rPr>
      <w:rFonts w:ascii="Calibri" w:hAnsi="Calibri"/>
      <w:b/>
      <w:bCs/>
      <w:kern w:val="2"/>
      <w:sz w:val="21"/>
      <w:szCs w:val="22"/>
    </w:rPr>
  </w:style>
  <w:style w:type="character" w:customStyle="1" w:styleId="a2">
    <w:name w:val="批注框文本 字符"/>
    <w:basedOn w:val="DefaultParagraphFont"/>
    <w:link w:val="BalloonText"/>
    <w:qFormat/>
    <w:rPr>
      <w:rFonts w:ascii="Calibri" w:hAnsi="Calibri"/>
      <w:kern w:val="2"/>
      <w:sz w:val="18"/>
      <w:szCs w:val="18"/>
    </w:rPr>
  </w:style>
  <w:style w:type="paragraph" w:customStyle="1" w:styleId="WPSOffice2">
    <w:name w:val="WPSOffice手动目录 2"/>
    <w:qFormat/>
    <w:pPr>
      <w:ind w:left="200" w:leftChars="200"/>
    </w:pPr>
    <w:rPr>
      <w:rFonts w:ascii="Times New Roman" w:eastAsia="宋体" w:hAnsi="Times New Roman" w:cs="Times New Roman"/>
      <w:lang w:val="en-US" w:eastAsia="zh-CN" w:bidi="ar-SA"/>
    </w:rPr>
  </w:style>
  <w:style w:type="character" w:customStyle="1" w:styleId="Char">
    <w:name w:val="闻政正文 Char"/>
    <w:link w:val="a"/>
    <w:qFormat/>
    <w:rPr>
      <w:rFonts w:eastAsia="仿宋_GB2312"/>
      <w:sz w:val="28"/>
      <w:szCs w:val="28"/>
    </w:rPr>
  </w:style>
  <w:style w:type="paragraph" w:customStyle="1" w:styleId="GB">
    <w:name w:val="GB正文"/>
    <w:basedOn w:val="Normal"/>
    <w:qFormat/>
    <w:pPr>
      <w:spacing w:line="590" w:lineRule="exact"/>
      <w:ind w:firstLine="707" w:firstLineChars="221"/>
    </w:pPr>
    <w:rPr>
      <w:rFonts w:ascii="仿宋_GB2312" w:eastAsia="仿宋_GB2312" w:hAnsi="Times New Roman"/>
      <w:color w:val="000000"/>
      <w:spacing w:val="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2.jpeg" /><Relationship Id="rId11" Type="http://schemas.openxmlformats.org/officeDocument/2006/relationships/image" Target="media/image3.jpeg" /><Relationship Id="rId12" Type="http://schemas.openxmlformats.org/officeDocument/2006/relationships/image" Target="media/image4.png" /><Relationship Id="rId13" Type="http://schemas.openxmlformats.org/officeDocument/2006/relationships/image" Target="media/image5.png" /><Relationship Id="rId14" Type="http://schemas.openxmlformats.org/officeDocument/2006/relationships/image" Target="media/image6.png" /><Relationship Id="rId15" Type="http://schemas.openxmlformats.org/officeDocument/2006/relationships/image" Target="media/image7.png" /><Relationship Id="rId16" Type="http://schemas.openxmlformats.org/officeDocument/2006/relationships/image" Target="media/image8.png" /><Relationship Id="rId17" Type="http://schemas.openxmlformats.org/officeDocument/2006/relationships/image" Target="media/image9.png"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header" Target="header1.xml" /><Relationship Id="rId6" Type="http://schemas.openxmlformats.org/officeDocument/2006/relationships/header" Target="header2.xml"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image" Target="media/image1.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35</Pages>
  <Words>11636</Words>
  <Characters>12646</Characters>
  <Application>Microsoft Office Word</Application>
  <DocSecurity>0</DocSecurity>
  <Lines>110</Lines>
  <Paragraphs>31</Paragraphs>
  <ScaleCrop>false</ScaleCrop>
  <Company/>
  <LinksUpToDate>false</LinksUpToDate>
  <CharactersWithSpaces>12932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梦梦</dc:creator>
  <cp:lastModifiedBy>Administrator</cp:lastModifiedBy>
  <cp:revision>222</cp:revision>
  <dcterms:created xsi:type="dcterms:W3CDTF">2021-08-04T02:46:00Z</dcterms:created>
  <dcterms:modified xsi:type="dcterms:W3CDTF">2023-02-14T14:07:28Z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E7A02DFDB34C4A89A163120007D97E96_13</vt:lpwstr>
  </property>
  <property fmtid="{D5CDD505-2E9C-101B-9397-08002B2CF9AE}" pid="3" name="KSOProductBuildVer">
    <vt:lpwstr>2052-11.8.2.8555</vt:lpwstr>
  </property>
</Properties>
</file>