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r>
        <w:rPr>
          <w:rFonts w:ascii="方正小标宋_GBK" w:eastAsia="方正小标宋_GBK" w:hAnsi="方正小标宋_GBK" w:hint="eastAsia"/>
          <w:color w:val="000000"/>
          <w:sz w:val="44"/>
          <w:szCs w:val="44"/>
          <w:highlight w:val="none"/>
        </w:rPr>
        <w:t>新疆塔城地区乌苏市应急管理局2022年度部门决算公开说明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color w:val="000000"/>
          <w:kern w:val="0"/>
          <w:sz w:val="32"/>
          <w:szCs w:val="32"/>
          <w:highlight w:val="none"/>
        </w:rPr>
      </w:pPr>
      <w:r>
        <w:rPr>
          <w:rFonts w:ascii="方正小标宋_GBK" w:eastAsia="方正小标宋_GBK" w:hAnsi="宋体" w:hint="eastAsia"/>
          <w:color w:val="000000"/>
          <w:sz w:val="44"/>
          <w:szCs w:val="44"/>
          <w:highlight w:val="none"/>
        </w:rPr>
        <w:br w:type="page"/>
      </w:r>
      <w:r>
        <w:rPr>
          <w:rFonts w:ascii="仿宋_GB2312" w:eastAsia="仿宋_GB2312" w:hAnsi="仿宋_GB2312" w:cs="仿宋_GB2312" w:hint="eastAsia"/>
          <w:b/>
          <w:color w:val="000000"/>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r>
        <w:rPr>
          <w:rFonts w:ascii="仿宋_GB2312" w:eastAsia="仿宋_GB2312" w:hAnsi="仿宋_GB2312" w:cs="仿宋_GB2312" w:hint="eastAsia"/>
          <w:color w:val="000000"/>
          <w:sz w:val="32"/>
          <w:szCs w:val="32"/>
          <w:highlight w:val="none"/>
        </w:rPr>
        <w:fldChar w:fldCharType="begin"/>
      </w:r>
      <w:r>
        <w:rPr>
          <w:rFonts w:ascii="仿宋_GB2312" w:eastAsia="仿宋_GB2312" w:hAnsi="仿宋_GB2312" w:cs="仿宋_GB2312" w:hint="eastAsia"/>
          <w:color w:val="000000"/>
          <w:sz w:val="32"/>
          <w:szCs w:val="32"/>
          <w:highlight w:val="none"/>
        </w:rPr>
        <w:instrText>TOC \o "1-3" \n \h \u</w:instrText>
      </w:r>
      <w:r>
        <w:rPr>
          <w:rFonts w:ascii="仿宋_GB2312" w:eastAsia="仿宋_GB2312" w:hAnsi="仿宋_GB2312" w:cs="仿宋_GB2312" w:hint="eastAsia"/>
          <w:color w:val="000000"/>
          <w:sz w:val="32"/>
          <w:szCs w:val="32"/>
          <w:highlight w:val="none"/>
        </w:rPr>
        <w:fldChar w:fldCharType="separate"/>
      </w:r>
      <w:hyperlink w:anchor="_Toc32314" w:history="1">
        <w:r>
          <w:rPr>
            <w:rFonts w:ascii="仿宋_GB2312" w:eastAsia="仿宋_GB2312" w:hAnsi="仿宋_GB2312" w:cs="仿宋_GB2312" w:hint="eastAsia"/>
            <w:b/>
            <w:color w:val="000000"/>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0567" w:history="1">
        <w:r>
          <w:rPr>
            <w:rFonts w:ascii="仿宋_GB2312" w:eastAsia="仿宋_GB2312" w:hAnsi="仿宋_GB2312" w:cs="仿宋_GB2312" w:hint="eastAsia"/>
            <w:color w:val="000000"/>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51" w:history="1">
        <w:r>
          <w:rPr>
            <w:rFonts w:ascii="仿宋_GB2312" w:eastAsia="仿宋_GB2312" w:hAnsi="仿宋_GB2312" w:cs="仿宋_GB2312" w:hint="eastAsia"/>
            <w:color w:val="000000"/>
            <w:kern w:val="0"/>
            <w:sz w:val="32"/>
            <w:szCs w:val="32"/>
            <w:highlight w:val="none"/>
          </w:rPr>
          <w:t>二、机构设置</w:t>
        </w:r>
        <w:r>
          <w:rPr>
            <w:rFonts w:ascii="仿宋_GB2312" w:eastAsia="仿宋_GB2312" w:hAnsi="仿宋_GB2312" w:cs="仿宋_GB2312" w:hint="eastAsia"/>
            <w:color w:val="000000"/>
            <w:kern w:val="0"/>
            <w:sz w:val="32"/>
            <w:szCs w:val="32"/>
            <w:highlight w:val="none"/>
            <w:lang w:eastAsia="zh-CN"/>
          </w:rPr>
          <w:t>及人员</w:t>
        </w:r>
        <w:r>
          <w:rPr>
            <w:rFonts w:ascii="仿宋_GB2312" w:eastAsia="仿宋_GB2312" w:hAnsi="仿宋_GB2312" w:cs="仿宋_GB2312" w:hint="eastAsia"/>
            <w:color w:val="000000"/>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29374" w:history="1">
        <w:r>
          <w:rPr>
            <w:rFonts w:ascii="仿宋_GB2312" w:eastAsia="仿宋_GB2312" w:hAnsi="仿宋_GB2312" w:cs="仿宋_GB2312" w:hint="eastAsia"/>
            <w:b/>
            <w:color w:val="000000"/>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5314" w:history="1">
        <w:r>
          <w:rPr>
            <w:rFonts w:ascii="仿宋_GB2312" w:eastAsia="仿宋_GB2312" w:hAnsi="仿宋_GB2312" w:cs="仿宋_GB2312" w:hint="eastAsia"/>
            <w:color w:val="000000"/>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2142" w:history="1">
        <w:r>
          <w:rPr>
            <w:rFonts w:ascii="仿宋_GB2312" w:eastAsia="仿宋_GB2312" w:hAnsi="仿宋_GB2312" w:cs="仿宋_GB2312" w:hint="eastAsia"/>
            <w:color w:val="000000"/>
            <w:kern w:val="0"/>
            <w:sz w:val="32"/>
            <w:szCs w:val="32"/>
            <w:highlight w:val="none"/>
            <w:lang w:eastAsia="zh-CN"/>
          </w:rPr>
          <w:t>二、</w:t>
        </w:r>
        <w:r>
          <w:rPr>
            <w:rFonts w:ascii="仿宋_GB2312" w:eastAsia="仿宋_GB2312" w:hAnsi="仿宋_GB2312" w:cs="仿宋_GB2312" w:hint="eastAsia"/>
            <w:color w:val="000000"/>
            <w:kern w:val="0"/>
            <w:sz w:val="32"/>
            <w:szCs w:val="32"/>
            <w:highlight w:val="none"/>
          </w:rPr>
          <w:t>收入</w:t>
        </w:r>
        <w:r>
          <w:rPr>
            <w:rFonts w:ascii="仿宋_GB2312" w:eastAsia="仿宋_GB2312" w:hAnsi="仿宋_GB2312" w:cs="仿宋_GB2312" w:hint="eastAsia"/>
            <w:color w:val="000000"/>
            <w:kern w:val="0"/>
            <w:sz w:val="32"/>
            <w:szCs w:val="32"/>
            <w:highlight w:val="none"/>
            <w:lang w:eastAsia="zh-CN"/>
          </w:rPr>
          <w:t>决算</w:t>
        </w:r>
        <w:r>
          <w:rPr>
            <w:rFonts w:ascii="仿宋_GB2312" w:eastAsia="仿宋_GB2312" w:hAnsi="仿宋_GB2312" w:cs="仿宋_GB2312" w:hint="eastAsia"/>
            <w:color w:val="000000"/>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3201" w:history="1">
        <w:r>
          <w:rPr>
            <w:rFonts w:ascii="仿宋_GB2312" w:eastAsia="仿宋_GB2312" w:hAnsi="仿宋_GB2312" w:cs="仿宋_GB2312" w:hint="eastAsia"/>
            <w:color w:val="000000"/>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6564" w:history="1">
        <w:r>
          <w:rPr>
            <w:rFonts w:ascii="仿宋_GB2312" w:eastAsia="仿宋_GB2312" w:hAnsi="仿宋_GB2312" w:cs="仿宋_GB2312" w:hint="eastAsia"/>
            <w:color w:val="000000"/>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0360" w:history="1">
        <w:r>
          <w:rPr>
            <w:rFonts w:ascii="仿宋_GB2312" w:eastAsia="仿宋_GB2312" w:hAnsi="仿宋_GB2312" w:cs="仿宋_GB2312" w:hint="eastAsia"/>
            <w:color w:val="000000"/>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0870" w:history="1">
        <w:r>
          <w:rPr>
            <w:rFonts w:ascii="仿宋_GB2312" w:eastAsia="仿宋_GB2312" w:hAnsi="仿宋_GB2312" w:cs="仿宋_GB2312" w:hint="eastAsia"/>
            <w:color w:val="000000"/>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518" w:history="1">
        <w:r>
          <w:rPr>
            <w:rFonts w:ascii="仿宋_GB2312" w:eastAsia="仿宋_GB2312" w:hAnsi="仿宋_GB2312" w:cs="仿宋_GB2312" w:hint="eastAsia"/>
            <w:color w:val="000000"/>
            <w:kern w:val="0"/>
            <w:sz w:val="32"/>
            <w:szCs w:val="32"/>
            <w:highlight w:val="none"/>
            <w:lang w:eastAsia="zh-CN"/>
          </w:rPr>
          <w:t>七</w:t>
        </w:r>
        <w:r>
          <w:rPr>
            <w:rFonts w:ascii="仿宋_GB2312" w:eastAsia="仿宋_GB2312" w:hAnsi="仿宋_GB2312" w:cs="仿宋_GB2312" w:hint="eastAsia"/>
            <w:color w:val="000000"/>
            <w:kern w:val="0"/>
            <w:sz w:val="32"/>
            <w:szCs w:val="32"/>
            <w:highlight w:val="none"/>
          </w:rPr>
          <w:t>、</w:t>
        </w:r>
        <w:r>
          <w:rPr>
            <w:rFonts w:ascii="仿宋_GB2312" w:eastAsia="仿宋_GB2312" w:hAnsi="仿宋_GB2312" w:cs="仿宋_GB2312" w:hint="eastAsia"/>
            <w:color w:val="000000"/>
            <w:kern w:val="0"/>
            <w:sz w:val="32"/>
            <w:szCs w:val="32"/>
            <w:highlight w:val="none"/>
            <w:lang w:eastAsia="zh-CN"/>
          </w:rPr>
          <w:t>财政拨款</w:t>
        </w:r>
        <w:r>
          <w:rPr>
            <w:rFonts w:ascii="仿宋_GB2312" w:eastAsia="仿宋_GB2312" w:hAnsi="仿宋_GB2312" w:cs="仿宋_GB2312" w:hint="eastAsia"/>
            <w:color w:val="000000"/>
            <w:kern w:val="0"/>
            <w:sz w:val="32"/>
            <w:szCs w:val="32"/>
            <w:highlight w:val="none"/>
          </w:rPr>
          <w:t>“三公”经费支出</w:t>
        </w:r>
        <w:r>
          <w:rPr>
            <w:rFonts w:ascii="仿宋_GB2312" w:eastAsia="仿宋_GB2312" w:hAnsi="仿宋_GB2312" w:cs="仿宋_GB2312" w:hint="eastAsia"/>
            <w:color w:val="000000"/>
            <w:kern w:val="0"/>
            <w:sz w:val="32"/>
            <w:szCs w:val="32"/>
            <w:highlight w:val="none"/>
            <w:lang w:eastAsia="zh-CN"/>
          </w:rPr>
          <w:t>决算</w:t>
        </w:r>
        <w:r>
          <w:rPr>
            <w:rFonts w:ascii="仿宋_GB2312" w:eastAsia="仿宋_GB2312" w:hAnsi="仿宋_GB2312" w:cs="仿宋_GB2312" w:hint="eastAsia"/>
            <w:color w:val="000000"/>
            <w:kern w:val="0"/>
            <w:sz w:val="32"/>
            <w:szCs w:val="32"/>
            <w:highlight w:val="none"/>
          </w:rPr>
          <w:t>情况</w:t>
        </w:r>
        <w:r>
          <w:rPr>
            <w:rFonts w:ascii="仿宋_GB2312" w:eastAsia="仿宋_GB2312" w:hAnsi="仿宋_GB2312" w:cs="仿宋_GB2312" w:hint="eastAsia"/>
            <w:color w:val="000000"/>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5810" w:history="1">
        <w:r>
          <w:rPr>
            <w:rFonts w:ascii="仿宋_GB2312" w:eastAsia="仿宋_GB2312" w:hAnsi="仿宋_GB2312" w:cs="仿宋_GB2312" w:hint="eastAsia"/>
            <w:color w:val="000000"/>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5810" w:history="1">
        <w:r>
          <w:rPr>
            <w:rFonts w:ascii="仿宋_GB2312" w:eastAsia="仿宋_GB2312" w:hAnsi="仿宋_GB2312" w:cs="仿宋_GB2312" w:hint="eastAsia"/>
            <w:color w:val="000000"/>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235" w:history="1">
        <w:r>
          <w:rPr>
            <w:rFonts w:ascii="仿宋_GB2312" w:eastAsia="仿宋_GB2312" w:hAnsi="仿宋_GB2312" w:cs="仿宋_GB2312" w:hint="eastAsia"/>
            <w:color w:val="000000"/>
            <w:kern w:val="0"/>
            <w:sz w:val="32"/>
            <w:szCs w:val="32"/>
            <w:highlight w:val="none"/>
            <w:lang w:eastAsia="zh-CN"/>
          </w:rPr>
          <w:t>十</w:t>
        </w:r>
        <w:r>
          <w:rPr>
            <w:rFonts w:ascii="仿宋_GB2312" w:eastAsia="仿宋_GB2312" w:hAnsi="仿宋_GB2312" w:cs="仿宋_GB2312" w:hint="eastAsia"/>
            <w:color w:val="000000"/>
            <w:kern w:val="0"/>
            <w:sz w:val="32"/>
            <w:szCs w:val="32"/>
            <w:highlight w:val="none"/>
          </w:rPr>
          <w:t>、其他重要事项的情况</w:t>
        </w:r>
        <w:r>
          <w:rPr>
            <w:rFonts w:ascii="仿宋_GB2312" w:eastAsia="仿宋_GB2312" w:hAnsi="仿宋_GB2312" w:cs="仿宋_GB2312" w:hint="eastAsia"/>
            <w:color w:val="000000"/>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4519" w:history="1">
        <w:r>
          <w:rPr>
            <w:rFonts w:ascii="仿宋_GB2312" w:eastAsia="仿宋_GB2312" w:hAnsi="仿宋_GB2312" w:cs="仿宋_GB2312" w:hint="eastAsia"/>
            <w:color w:val="000000"/>
            <w:sz w:val="32"/>
            <w:szCs w:val="32"/>
            <w:highlight w:val="none"/>
            <w:lang w:eastAsia="zh-CN"/>
          </w:rPr>
          <w:t>（一）</w:t>
        </w:r>
        <w:r>
          <w:rPr>
            <w:rFonts w:ascii="仿宋_GB2312" w:eastAsia="仿宋_GB2312" w:hAnsi="仿宋_GB2312" w:cs="仿宋_GB2312" w:hint="eastAsia"/>
            <w:color w:val="000000"/>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27" w:history="1">
        <w:r>
          <w:rPr>
            <w:rFonts w:ascii="仿宋_GB2312" w:eastAsia="仿宋_GB2312" w:hAnsi="仿宋_GB2312" w:cs="仿宋_GB2312" w:hint="eastAsia"/>
            <w:color w:val="000000"/>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8391" w:history="1">
        <w:r>
          <w:rPr>
            <w:rFonts w:ascii="仿宋_GB2312" w:eastAsia="仿宋_GB2312" w:hAnsi="仿宋_GB2312" w:cs="仿宋_GB2312" w:hint="eastAsia"/>
            <w:color w:val="000000"/>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1283" w:history="1">
        <w:r>
          <w:rPr>
            <w:rFonts w:ascii="仿宋_GB2312" w:eastAsia="仿宋_GB2312" w:hAnsi="仿宋_GB2312" w:cs="仿宋_GB2312" w:hint="eastAsia"/>
            <w:color w:val="000000"/>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3250" w:history="1">
        <w:r>
          <w:rPr>
            <w:rFonts w:ascii="仿宋_GB2312" w:eastAsia="仿宋_GB2312" w:hAnsi="仿宋_GB2312" w:cs="仿宋_GB2312" w:hint="eastAsia"/>
            <w:b/>
            <w:color w:val="000000"/>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22784" w:history="1">
        <w:r>
          <w:rPr>
            <w:rFonts w:ascii="仿宋_GB2312" w:eastAsia="仿宋_GB2312" w:hAnsi="仿宋_GB2312" w:cs="仿宋_GB2312" w:hint="eastAsia"/>
            <w:b/>
            <w:color w:val="000000"/>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83" w:history="1">
        <w:r>
          <w:rPr>
            <w:rFonts w:ascii="仿宋_GB2312" w:eastAsia="仿宋_GB2312" w:hAnsi="仿宋_GB2312" w:cs="仿宋_GB2312" w:hint="eastAsia"/>
            <w:color w:val="000000"/>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4532" w:history="1">
        <w:r>
          <w:rPr>
            <w:rFonts w:ascii="仿宋_GB2312" w:eastAsia="仿宋_GB2312" w:hAnsi="仿宋_GB2312" w:cs="仿宋_GB2312" w:hint="eastAsia"/>
            <w:color w:val="000000"/>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2434" w:history="1">
        <w:r>
          <w:rPr>
            <w:rFonts w:ascii="仿宋_GB2312" w:eastAsia="仿宋_GB2312" w:hAnsi="仿宋_GB2312" w:cs="仿宋_GB2312" w:hint="eastAsia"/>
            <w:color w:val="000000"/>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8786" w:history="1">
        <w:r>
          <w:rPr>
            <w:rFonts w:ascii="仿宋_GB2312" w:eastAsia="仿宋_GB2312" w:hAnsi="仿宋_GB2312" w:cs="仿宋_GB2312" w:hint="eastAsia"/>
            <w:color w:val="000000"/>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4869" w:history="1">
        <w:r>
          <w:rPr>
            <w:rFonts w:ascii="仿宋_GB2312" w:eastAsia="仿宋_GB2312" w:hAnsi="仿宋_GB2312" w:cs="仿宋_GB2312" w:hint="eastAsia"/>
            <w:color w:val="000000"/>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8884" w:history="1">
        <w:r>
          <w:rPr>
            <w:rFonts w:ascii="仿宋_GB2312" w:eastAsia="仿宋_GB2312" w:hAnsi="仿宋_GB2312" w:cs="仿宋_GB2312" w:hint="eastAsia"/>
            <w:color w:val="000000"/>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9106" w:history="1">
        <w:r>
          <w:rPr>
            <w:rFonts w:ascii="仿宋_GB2312" w:eastAsia="仿宋_GB2312" w:hAnsi="仿宋_GB2312" w:cs="仿宋_GB2312" w:hint="eastAsia"/>
            <w:color w:val="000000"/>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7643" w:history="1">
        <w:r>
          <w:rPr>
            <w:rFonts w:ascii="仿宋_GB2312" w:eastAsia="仿宋_GB2312" w:hAnsi="仿宋_GB2312" w:cs="仿宋_GB2312" w:hint="eastAsia"/>
            <w:color w:val="000000"/>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7643" w:history="1">
        <w:r>
          <w:rPr>
            <w:rFonts w:ascii="仿宋_GB2312" w:eastAsia="仿宋_GB2312" w:hAnsi="仿宋_GB2312" w:cs="仿宋_GB2312" w:hint="eastAsia"/>
            <w:color w:val="000000"/>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color w:val="000000"/>
          <w:highlight w:val="none"/>
        </w:rPr>
      </w:pPr>
      <w:r>
        <w:rPr>
          <w:rFonts w:ascii="仿宋_GB2312" w:eastAsia="仿宋_GB2312" w:hAnsi="仿宋_GB2312" w:cs="仿宋_GB2312" w:hint="eastAsia"/>
          <w:color w:val="000000"/>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color w:val="000000"/>
          <w:sz w:val="32"/>
          <w:szCs w:val="32"/>
          <w:highlight w:val="none"/>
        </w:rPr>
      </w:pPr>
      <w:r>
        <w:rPr>
          <w:rFonts w:ascii="仿宋_GB2312" w:eastAsia="仿宋_GB2312" w:hint="eastAsia"/>
          <w:color w:val="000000"/>
          <w:sz w:val="32"/>
          <w:szCs w:val="32"/>
          <w:highlight w:val="none"/>
        </w:rPr>
        <w:br w:type="page"/>
      </w:r>
      <w:bookmarkStart w:id="0" w:name="_Toc24028"/>
      <w:bookmarkStart w:id="1" w:name="_Toc32314"/>
      <w:r>
        <w:rPr>
          <w:rFonts w:ascii="黑体" w:eastAsia="黑体" w:hAnsi="黑体" w:hint="eastAsia"/>
          <w:color w:val="000000"/>
          <w:sz w:val="32"/>
          <w:szCs w:val="32"/>
          <w:highlight w:val="none"/>
        </w:rPr>
        <w:t>第一部分 单位概况</w:t>
      </w:r>
      <w:bookmarkEnd w:id="0"/>
      <w:bookmarkEnd w:id="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color w:val="000000"/>
          <w:kern w:val="0"/>
          <w:sz w:val="32"/>
          <w:szCs w:val="32"/>
          <w:highlight w:val="none"/>
        </w:rPr>
      </w:pPr>
      <w:bookmarkStart w:id="2" w:name="_Toc30738"/>
      <w:bookmarkStart w:id="3" w:name="_Toc30567"/>
      <w:r>
        <w:rPr>
          <w:rFonts w:ascii="黑体" w:eastAsia="黑体" w:hAnsi="黑体" w:cs="宋体" w:hint="eastAsia"/>
          <w:color w:val="000000"/>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lang w:eastAsia="zh-CN"/>
        </w:rPr>
        <w:t>（</w:t>
      </w:r>
      <w:r>
        <w:rPr>
          <w:rFonts w:ascii="仿宋_GB2312" w:eastAsia="仿宋_GB2312" w:hint="eastAsia"/>
          <w:color w:val="000000"/>
          <w:sz w:val="32"/>
          <w:szCs w:val="32"/>
          <w:highlight w:val="none"/>
        </w:rPr>
        <w:t>一）负责应急管理工作，指导各乡镇(街道)、各部门应对安全生产类、自然灾害类突发事件和综合防灾减灾救灾工作。负责安全生产综合监督管理和工矿商贸(煤矿除外)行业安全生产监督管理工作。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（二）组织编制应急体系建设、安全生产和综合防灾减灾规划，组织制定应急管理、安全生产类规范性文件并监督应急管理、安全生产类综合性法规、规章、标准、规范性文件的实施。</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三)负责安全生产类、自然灾害类应急预案体系建设，建立完事故史滩和自然灾害分级应对制度，组织编制市总体应急预案和安全生产类、自然灾害类专项预案，综合协调应急预案街接工作，组织开展预案演练，推动应急避难设施建设。</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（四）牵头建立统一的应急管理信息系统，负责编制和落实信息传输渠道规划和布局，建立监测预警和灾情报告制度，健全自然灾害信息资源获取和共享机制，依法统一发布灾情。</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五）组织指导协调安全生产类、自然灾害类突发事件应急救援，承担市应对重大灾害指挥部工作，综合研判突发事件发展态势并提出应对建议，协助市委、市人民政府指定的负责同志组织重大灾害应急处置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（六）统一协调指挥各类应急专业队伍，建立应急协调联动机制，推进应急指挥平台对接，衔接解放军和武警部队参与应急救援工作。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七）统筹应急救援力量建设，负责消防、森林和草原火灾扑救、抗洪抢险、地震和地质灾害救援、生产安全事故救援专业应急救援力量建设，管理指挥市综合性应急救援队伍，指导各乡镇(街道)及社会应急救援力量建设。</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（八）负责消防管理工作，指导消防监督、火灾预防、火灾扑救等工作。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（九）指导协调森林和草原火灾、水旱灾害、地震和地质灾害防治工作，负责自然灾害综合监测预警工作，指导开展自然灾害综合风险评估工作。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（十）组织协调灾害救助工作，组织指导灾情核查、损失评估、教灾拓赠工作，管理、分配中央自治区、地区和市教史秋物并监督使用。</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（十一）依法行使安全生产综合监督管理职权;指导协调、监督检查各乡镇(街道)人民政府(办事处)和市有关部门安全生产工作，组织开展安全生产巡查、考核工作。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二）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并指导监督实施安全生产准入制度。负责危险化学品安全监督管理综合工作和烟花爆竹安全生产监督管理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（十三）依法组织指导生产安全事故调查处理，监督事故查处和责任追究落实情况。组织开展自然灾害类突发事件的调查评估工作。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（十四）制定应急物资储备和应急救援装备规划并组织实施，会同市发展和改革委员会(市粮食和物资储备局)等部门建立健全应急物资信息平台和调拨制度，在救灾时统一调度。</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w:t>
      </w:r>
      <w:r>
        <w:rPr>
          <w:rFonts w:ascii="仿宋_GB2312" w:eastAsia="仿宋_GB2312" w:hint="eastAsia"/>
          <w:color w:val="000000"/>
          <w:sz w:val="32"/>
          <w:szCs w:val="32"/>
          <w:highlight w:val="none"/>
          <w:lang w:val="en-US" w:eastAsia="zh-CN"/>
        </w:rPr>
        <w:t xml:space="preserve">  </w:t>
      </w:r>
      <w:r>
        <w:rPr>
          <w:rFonts w:ascii="仿宋_GB2312" w:eastAsia="仿宋_GB2312" w:hint="eastAsia"/>
          <w:color w:val="000000"/>
          <w:sz w:val="32"/>
          <w:szCs w:val="32"/>
          <w:highlight w:val="none"/>
        </w:rPr>
        <w:t>（十五）负责应急管理、安全生产宣传教育和培训工作，组织指导市应急管理、安全生产的科学技术研究、推广应用和信息化建设工作。开展应急管理方面的对外合作与交流。</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（十六）指导煤矿救护和组织协调煤矿事故应急救援。</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（十七）完成市委、市人民政府交办的其他任务。</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十八）职能转变。市应急管理局应加强、优化、统筹市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市应急管理水平和防灾减灾救灾能力，防范化解重大安全风险。二是坚持以人为本，把确保人民群众生命安全放在首位，确保受灾群众基本生活，加强应急预案演练，增强全市公民防灾减灾意识，提升公众知识普及和自救互救技能，切实减少人员伤亡和财产损失。三是树立安全发展理念，坚持生命至上、安全第一，完善安全生产责任，坚决遏制重特大安全事故。</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 w:name="_Toc31238"/>
      <w:bookmarkStart w:id="5" w:name="_Toc2151"/>
      <w:r>
        <w:rPr>
          <w:rFonts w:ascii="黑体" w:eastAsia="黑体" w:hAnsi="黑体" w:cs="宋体" w:hint="eastAsia"/>
          <w:color w:val="000000"/>
          <w:kern w:val="0"/>
          <w:sz w:val="32"/>
          <w:szCs w:val="32"/>
          <w:highlight w:val="none"/>
        </w:rPr>
        <w:t>二、机构设置</w:t>
      </w:r>
      <w:r>
        <w:rPr>
          <w:rFonts w:ascii="黑体" w:eastAsia="黑体" w:hAnsi="黑体" w:cs="宋体" w:hint="eastAsia"/>
          <w:color w:val="000000"/>
          <w:kern w:val="0"/>
          <w:sz w:val="32"/>
          <w:szCs w:val="32"/>
          <w:highlight w:val="none"/>
          <w:lang w:eastAsia="zh-CN"/>
        </w:rPr>
        <w:t>及</w:t>
      </w:r>
      <w:bookmarkEnd w:id="4"/>
      <w:r>
        <w:rPr>
          <w:rFonts w:ascii="黑体" w:eastAsia="黑体" w:hAnsi="黑体" w:cs="宋体" w:hint="eastAsia"/>
          <w:color w:val="000000"/>
          <w:kern w:val="0"/>
          <w:sz w:val="32"/>
          <w:szCs w:val="32"/>
          <w:highlight w:val="none"/>
          <w:lang w:eastAsia="zh-CN"/>
        </w:rPr>
        <w:t>人员</w:t>
      </w:r>
      <w:r>
        <w:rPr>
          <w:rFonts w:ascii="黑体" w:eastAsia="黑体" w:hAnsi="黑体" w:cs="宋体" w:hint="eastAsia"/>
          <w:color w:val="000000"/>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新疆塔城地区乌苏市应急管理局2022年度，实有人数38人，其中：在职人员31人，离休人员0人，退休人员7人。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从部门决算单位构成看，新疆塔城地区乌苏市应急管理局部门决算包括：新疆塔城地区乌苏市应急管理局决算。单位无下属预算单位，下设4个处室，分别是：应急管理综合行政执法大队、自然灾害综合预警监察中心、安全生产应急救援中心、矿山安全服务保障中心。</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6" w:name="_Toc3092"/>
      <w:bookmarkStart w:id="7" w:name="_Toc29374"/>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8" w:name="_Toc25314"/>
      <w:bookmarkStart w:id="9" w:name="_Toc12566"/>
      <w:r>
        <w:rPr>
          <w:rFonts w:ascii="黑体" w:eastAsia="黑体" w:hAnsi="黑体" w:cs="宋体" w:hint="eastAsia"/>
          <w:color w:val="000000"/>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收入总计525.02万元</w:t>
      </w:r>
      <w:r>
        <w:rPr>
          <w:rFonts w:ascii="仿宋_GB2312" w:eastAsia="仿宋_GB2312" w:hint="eastAsia"/>
          <w:color w:val="000000"/>
          <w:sz w:val="32"/>
          <w:szCs w:val="32"/>
          <w:highlight w:val="none"/>
          <w:lang w:eastAsia="zh-CN"/>
        </w:rPr>
        <w:t>，其中：本年收入合计525.02万元，使用非财政拨款结余0.00万元，年初结转和结余0.00万元。</w:t>
      </w:r>
      <w:r>
        <w:rPr>
          <w:rFonts w:ascii="仿宋_GB2312" w:eastAsia="仿宋_GB2312" w:hint="eastAsia"/>
          <w:color w:val="000000"/>
          <w:sz w:val="32"/>
          <w:szCs w:val="32"/>
          <w:highlight w:val="none"/>
        </w:rPr>
        <w:t>收入总计与上年相比</w:t>
      </w:r>
      <w:r>
        <w:rPr>
          <w:rFonts w:ascii="仿宋_GB2312" w:eastAsia="仿宋_GB2312" w:hint="eastAsia"/>
          <w:color w:val="000000"/>
          <w:sz w:val="32"/>
          <w:szCs w:val="32"/>
          <w:highlight w:val="none"/>
          <w:lang w:eastAsia="zh-CN"/>
        </w:rPr>
        <w:t>，</w:t>
      </w:r>
      <w:r>
        <w:rPr>
          <w:rFonts w:ascii="仿宋_GB2312" w:eastAsia="仿宋_GB2312" w:hint="eastAsia"/>
          <w:color w:val="000000"/>
          <w:sz w:val="32"/>
          <w:szCs w:val="32"/>
          <w:highlight w:val="none"/>
        </w:rPr>
        <w:t>减少66.68万元，下降11.27%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：2021年有一笔中央补助资金</w:t>
      </w:r>
      <w:r>
        <w:rPr>
          <w:rFonts w:ascii="仿宋_GB2312" w:eastAsia="仿宋_GB2312" w:hint="eastAsia"/>
          <w:color w:val="000000"/>
          <w:sz w:val="32"/>
          <w:szCs w:val="32"/>
          <w:highlight w:val="none"/>
          <w:lang w:val="en-US" w:eastAsia="zh-CN"/>
        </w:rPr>
        <w:t>收入</w:t>
      </w:r>
      <w:r>
        <w:rPr>
          <w:rFonts w:ascii="仿宋_GB2312" w:eastAsia="仿宋_GB2312" w:hint="eastAsia"/>
          <w:color w:val="000000"/>
          <w:sz w:val="32"/>
          <w:szCs w:val="32"/>
          <w:highlight w:val="none"/>
        </w:rPr>
        <w:t>，2022年因疫情原因</w:t>
      </w:r>
      <w:r>
        <w:rPr>
          <w:rFonts w:ascii="仿宋_GB2312" w:eastAsia="仿宋_GB2312" w:hint="eastAsia"/>
          <w:color w:val="000000"/>
          <w:sz w:val="32"/>
          <w:szCs w:val="32"/>
          <w:highlight w:val="none"/>
          <w:lang w:val="en-US" w:eastAsia="zh-CN"/>
        </w:rPr>
        <w:t>无此收入</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本年支出总计525.02万元</w:t>
      </w:r>
      <w:r>
        <w:rPr>
          <w:rFonts w:ascii="仿宋_GB2312" w:eastAsia="仿宋_GB2312" w:hint="eastAsia"/>
          <w:color w:val="000000"/>
          <w:sz w:val="32"/>
          <w:szCs w:val="32"/>
          <w:highlight w:val="none"/>
          <w:lang w:eastAsia="zh-CN"/>
        </w:rPr>
        <w:t>，其中：本年支出合计525.02万元，结余分配0.00万元，年末结转和结余0.00万元。</w:t>
      </w:r>
      <w:r>
        <w:rPr>
          <w:rFonts w:ascii="仿宋_GB2312" w:eastAsia="仿宋_GB2312" w:hint="eastAsia"/>
          <w:color w:val="000000"/>
          <w:sz w:val="32"/>
          <w:szCs w:val="32"/>
          <w:highlight w:val="none"/>
        </w:rPr>
        <w:t>支出总计与上年相比</w:t>
      </w:r>
      <w:r>
        <w:rPr>
          <w:rFonts w:ascii="仿宋_GB2312" w:eastAsia="仿宋_GB2312" w:hint="eastAsia"/>
          <w:color w:val="000000"/>
          <w:sz w:val="32"/>
          <w:szCs w:val="32"/>
          <w:highlight w:val="none"/>
          <w:lang w:eastAsia="zh-CN"/>
        </w:rPr>
        <w:t>，减少66.68万元，下降11.27%，主要原因是</w:t>
      </w:r>
      <w:r>
        <w:rPr>
          <w:rFonts w:ascii="仿宋_GB2312" w:eastAsia="仿宋_GB2312" w:hint="eastAsia"/>
          <w:color w:val="000000"/>
          <w:sz w:val="32"/>
          <w:szCs w:val="32"/>
          <w:highlight w:val="none"/>
        </w:rPr>
        <w:t>：2021年有一笔中央补助资金</w:t>
      </w:r>
      <w:r>
        <w:rPr>
          <w:rFonts w:ascii="仿宋_GB2312" w:eastAsia="仿宋_GB2312" w:hint="eastAsia"/>
          <w:color w:val="000000"/>
          <w:sz w:val="32"/>
          <w:szCs w:val="32"/>
          <w:highlight w:val="none"/>
          <w:lang w:val="en-US" w:eastAsia="zh-CN"/>
        </w:rPr>
        <w:t>支出</w:t>
      </w:r>
      <w:r>
        <w:rPr>
          <w:rFonts w:ascii="仿宋_GB2312" w:eastAsia="仿宋_GB2312" w:hint="eastAsia"/>
          <w:color w:val="000000"/>
          <w:sz w:val="32"/>
          <w:szCs w:val="32"/>
          <w:highlight w:val="none"/>
        </w:rPr>
        <w:t>，2022年因疫情原因</w:t>
      </w:r>
      <w:r>
        <w:rPr>
          <w:rFonts w:ascii="仿宋_GB2312" w:eastAsia="仿宋_GB2312" w:hint="eastAsia"/>
          <w:color w:val="000000"/>
          <w:sz w:val="32"/>
          <w:szCs w:val="32"/>
          <w:highlight w:val="none"/>
          <w:lang w:val="en-US" w:eastAsia="zh-CN"/>
        </w:rPr>
        <w:t>无此项支出</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10" w:name="_Toc1979"/>
      <w:bookmarkStart w:id="11" w:name="_Toc12142"/>
      <w:r>
        <w:rPr>
          <w:rFonts w:ascii="黑体" w:eastAsia="黑体" w:hAnsi="黑体" w:cs="宋体" w:hint="eastAsia"/>
          <w:color w:val="000000"/>
          <w:kern w:val="0"/>
          <w:sz w:val="32"/>
          <w:szCs w:val="32"/>
          <w:highlight w:val="none"/>
          <w:lang w:eastAsia="zh-CN"/>
        </w:rPr>
        <w:t>二、</w:t>
      </w:r>
      <w:r>
        <w:rPr>
          <w:rFonts w:ascii="黑体" w:eastAsia="黑体" w:hAnsi="黑体" w:cs="宋体" w:hint="eastAsia"/>
          <w:color w:val="000000"/>
          <w:kern w:val="0"/>
          <w:sz w:val="32"/>
          <w:szCs w:val="32"/>
          <w:highlight w:val="none"/>
        </w:rPr>
        <w:t>收入</w:t>
      </w:r>
      <w:r>
        <w:rPr>
          <w:rFonts w:ascii="黑体" w:eastAsia="黑体" w:hAnsi="黑体" w:cs="宋体" w:hint="eastAsia"/>
          <w:color w:val="000000"/>
          <w:kern w:val="0"/>
          <w:sz w:val="32"/>
          <w:szCs w:val="32"/>
          <w:highlight w:val="none"/>
          <w:lang w:eastAsia="zh-CN"/>
        </w:rPr>
        <w:t>决算</w:t>
      </w:r>
      <w:r>
        <w:rPr>
          <w:rFonts w:ascii="黑体" w:eastAsia="黑体" w:hAnsi="黑体" w:cs="宋体" w:hint="eastAsia"/>
          <w:color w:val="000000"/>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本年收入525.02万元，其中：财政拨款收入525.02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2" w:name="_Toc27961"/>
      <w:bookmarkStart w:id="13" w:name="_Toc13201"/>
      <w:r>
        <w:rPr>
          <w:rFonts w:ascii="黑体" w:eastAsia="黑体" w:hAnsi="黑体" w:cs="宋体" w:hint="eastAsia"/>
          <w:color w:val="000000"/>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本年支出525.02万元，其中：基本支出525.02万元，占100.00%；项目支出0.00万元，占0.00%；上缴上级支出0.00万元，占0.00%；经营支出0.00万元，占0.00%；对附属单位补助支出0.00万元，占0.00%。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4" w:name="_Toc26564"/>
      <w:bookmarkStart w:id="15" w:name="_Toc4393"/>
      <w:r>
        <w:rPr>
          <w:rFonts w:ascii="黑体" w:eastAsia="黑体" w:hAnsi="黑体" w:cs="宋体" w:hint="eastAsia"/>
          <w:color w:val="000000"/>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财政拨款收入总计525.02万元，其中：年初财政拨款结转和结余0.00万元，财政拨款本年收入525.02万元。财政拨款收入总计与上年相比，减少66.68万元，下降11.27%，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2021年单位有一笔中央补助资金</w:t>
      </w:r>
      <w:r>
        <w:rPr>
          <w:rFonts w:ascii="仿宋_GB2312" w:eastAsia="仿宋_GB2312" w:hint="eastAsia"/>
          <w:color w:val="000000"/>
          <w:sz w:val="32"/>
          <w:szCs w:val="32"/>
          <w:highlight w:val="none"/>
          <w:lang w:val="en-US" w:eastAsia="zh-CN"/>
        </w:rPr>
        <w:t>收入</w:t>
      </w:r>
      <w:r>
        <w:rPr>
          <w:rFonts w:ascii="仿宋_GB2312" w:eastAsia="仿宋_GB2312" w:hint="eastAsia"/>
          <w:color w:val="000000"/>
          <w:sz w:val="32"/>
          <w:szCs w:val="32"/>
          <w:highlight w:val="none"/>
        </w:rPr>
        <w:t>，2022年因疫情原因</w:t>
      </w:r>
      <w:r>
        <w:rPr>
          <w:rFonts w:ascii="仿宋_GB2312" w:eastAsia="仿宋_GB2312" w:hint="eastAsia"/>
          <w:color w:val="000000"/>
          <w:sz w:val="32"/>
          <w:szCs w:val="32"/>
          <w:highlight w:val="none"/>
          <w:lang w:val="en-US" w:eastAsia="zh-CN"/>
        </w:rPr>
        <w:t>无此项收入</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财政拨款支出总计525.02万元，其中：年末财政拨款结转和结余0.00万元，财政拨款本年支出525.02万元。财政拨款支出总计与上年相比，减少66.68万元，下降11.27%，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2021年单位有一笔中央补助资金</w:t>
      </w:r>
      <w:r>
        <w:rPr>
          <w:rFonts w:ascii="仿宋_GB2312" w:eastAsia="仿宋_GB2312" w:hint="eastAsia"/>
          <w:color w:val="000000"/>
          <w:sz w:val="32"/>
          <w:szCs w:val="32"/>
          <w:highlight w:val="none"/>
          <w:lang w:val="en-US" w:eastAsia="zh-CN"/>
        </w:rPr>
        <w:t>支出</w:t>
      </w:r>
      <w:r>
        <w:rPr>
          <w:rFonts w:ascii="仿宋_GB2312" w:eastAsia="仿宋_GB2312" w:hint="eastAsia"/>
          <w:color w:val="000000"/>
          <w:sz w:val="32"/>
          <w:szCs w:val="32"/>
          <w:highlight w:val="none"/>
        </w:rPr>
        <w:t>，2022年因疫情原因</w:t>
      </w:r>
      <w:r>
        <w:rPr>
          <w:rFonts w:ascii="仿宋_GB2312" w:eastAsia="仿宋_GB2312" w:hint="eastAsia"/>
          <w:color w:val="000000"/>
          <w:sz w:val="32"/>
          <w:szCs w:val="32"/>
          <w:highlight w:val="none"/>
          <w:lang w:val="en-US" w:eastAsia="zh-CN"/>
        </w:rPr>
        <w:t>无此项目支出</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与年初预算数相比情况：财政拨款收入总计年初预算数448.05万元，决算数525.02万元，预决算差异率17.18%，</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本年发放两年奖励性工资，调整基础绩效工资、年终发放绩效工资增加</w:t>
      </w:r>
      <w:r>
        <w:rPr>
          <w:rFonts w:ascii="仿宋_GB2312" w:eastAsia="仿宋_GB2312" w:hint="eastAsia"/>
          <w:color w:val="000000"/>
          <w:sz w:val="32"/>
          <w:szCs w:val="32"/>
          <w:highlight w:val="none"/>
          <w:lang w:val="en-US" w:eastAsia="zh-CN"/>
        </w:rPr>
        <w:t>收入</w:t>
      </w:r>
      <w:r>
        <w:rPr>
          <w:rFonts w:ascii="仿宋_GB2312" w:eastAsia="仿宋_GB2312" w:hint="eastAsia"/>
          <w:color w:val="000000"/>
          <w:sz w:val="32"/>
          <w:szCs w:val="32"/>
          <w:highlight w:val="none"/>
        </w:rPr>
        <w:t>。财政拨款支出总计年初预算数448.05万元，决算数525.02万元，预决算差异率17.18%，</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本年发放两年奖励性工资，调整基础绩效工资、年终发放绩效工资</w:t>
      </w:r>
      <w:r>
        <w:rPr>
          <w:rFonts w:ascii="仿宋_GB2312" w:eastAsia="仿宋_GB2312" w:hint="eastAsia"/>
          <w:color w:val="000000"/>
          <w:sz w:val="32"/>
          <w:szCs w:val="32"/>
          <w:highlight w:val="none"/>
          <w:lang w:val="en-US" w:eastAsia="zh-CN"/>
        </w:rPr>
        <w:t>增加支出</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6" w:name="_Toc20360"/>
      <w:bookmarkStart w:id="17" w:name="_Toc13833"/>
      <w:r>
        <w:rPr>
          <w:rFonts w:ascii="黑体" w:eastAsia="黑体" w:hAnsi="黑体" w:cs="宋体" w:hint="eastAsia"/>
          <w:color w:val="000000"/>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一般公共预算财政拨款支出525.02万元，占本年支出合计的100.00%，与上年相比，减少66.68万元，下降11.27%，主要原因是：2021年单位有一笔中央补助资金，2022年因疫情原因</w:t>
      </w:r>
      <w:r>
        <w:rPr>
          <w:rFonts w:ascii="仿宋_GB2312" w:eastAsia="仿宋_GB2312" w:hint="eastAsia"/>
          <w:color w:val="000000"/>
          <w:sz w:val="32"/>
          <w:szCs w:val="32"/>
          <w:highlight w:val="none"/>
          <w:lang w:val="en-US" w:eastAsia="zh-CN"/>
        </w:rPr>
        <w:t>无此项支出</w:t>
      </w:r>
      <w:r>
        <w:rPr>
          <w:rFonts w:ascii="仿宋_GB2312" w:eastAsia="仿宋_GB2312" w:hint="eastAsia"/>
          <w:color w:val="000000"/>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1.一般公共服务支出（类）20.66万元，占3.94%。</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2.社会保障和就业支出（类）43.38万元，占8.26%。</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3.卫生健康支出（类）26.80万元，占5.10%。</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4.农林水支出（类）13.29万元，占2.53%。</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5.住房保障支出（类）28.75万元，占5.48%。</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6.灾害防治及应急管理支出（类）392.14万元，占74.69%。</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1.一般公共服务支出（类）政府办公厅（室）及相关机构事务（款）机关服务（项）：支出决算数为20.66万元，比上年决算增加20.66万元，增长100%，主要原因是：新招录2名工作人员。</w:t>
      </w:r>
    </w:p>
    <w:p>
      <w:pPr>
        <w:spacing w:line="600" w:lineRule="exact"/>
        <w:ind w:firstLine="640" w:firstLineChars="200"/>
        <w:rPr>
          <w:rFonts w:ascii="仿宋_GB2312" w:eastAsia="仿宋_GB2312" w:hAnsi="仿宋_GB2312" w:cs="仿宋_GB2312" w:hint="default"/>
          <w:color w:val="000000"/>
          <w:kern w:val="0"/>
          <w:sz w:val="32"/>
          <w:szCs w:val="32"/>
          <w:highlight w:val="none"/>
        </w:rPr>
      </w:pPr>
      <w:r>
        <w:rPr>
          <w:rFonts w:ascii="仿宋_GB2312" w:eastAsia="仿宋_GB2312" w:hint="eastAsia"/>
          <w:color w:val="000000"/>
          <w:sz w:val="32"/>
          <w:szCs w:val="32"/>
          <w:highlight w:val="none"/>
          <w:lang w:val="en-US" w:eastAsia="zh-CN"/>
        </w:rPr>
        <w:t>2.社会保障和就业支出（类）行政事业单位养老支出（款）行政单位离退休（项）：支出决算数为2.58万元，比上年决算增加2.58万元，增长100%，主要原因是：</w:t>
      </w:r>
      <w:r>
        <w:rPr>
          <w:rFonts w:ascii="仿宋_GB2312" w:eastAsia="仿宋_GB2312" w:hAnsi="仿宋_GB2312" w:cs="仿宋_GB2312" w:hint="eastAsia"/>
          <w:color w:val="000000"/>
          <w:kern w:val="0"/>
          <w:sz w:val="32"/>
          <w:szCs w:val="32"/>
          <w:highlight w:val="none"/>
          <w:lang w:val="en-US" w:eastAsia="zh-CN"/>
        </w:rPr>
        <w:t>1、</w:t>
      </w:r>
      <w:r>
        <w:rPr>
          <w:rFonts w:ascii="仿宋_GB2312" w:eastAsia="仿宋_GB2312" w:hAnsi="仿宋_GB2312" w:cs="仿宋_GB2312" w:hint="eastAsia"/>
          <w:color w:val="000000"/>
          <w:kern w:val="0"/>
          <w:sz w:val="32"/>
          <w:szCs w:val="32"/>
          <w:highlight w:val="none"/>
          <w:lang w:eastAsia="zh-CN"/>
        </w:rPr>
        <w:t>由于机构改革，煤炭监管职能划入我单位</w:t>
      </w:r>
      <w:r>
        <w:rPr>
          <w:rFonts w:ascii="仿宋_GB2312" w:eastAsia="仿宋_GB2312" w:hAnsi="仿宋_GB2312" w:cs="仿宋_GB2312" w:hint="eastAsia"/>
          <w:color w:val="000000"/>
          <w:kern w:val="0"/>
          <w:sz w:val="32"/>
          <w:szCs w:val="32"/>
          <w:highlight w:val="none"/>
          <w:lang w:val="en-US" w:eastAsia="zh-CN"/>
        </w:rPr>
        <w:t>；2、新招录2名事业编人员；3、人员工资调整，基本养老基数增加。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3.社会保障和就业支出（类）行政事业单位养老支出（款）机关事业单位基本养老保险缴费支出（项）：支出决算数为34.53万元，比上年决算增加6.34万元，增长22.49%，主要原因是：</w:t>
      </w:r>
      <w:r>
        <w:rPr>
          <w:rFonts w:ascii="仿宋_GB2312" w:eastAsia="仿宋_GB2312" w:hAnsi="仿宋_GB2312" w:cs="仿宋_GB2312" w:hint="eastAsia"/>
          <w:color w:val="000000"/>
          <w:kern w:val="0"/>
          <w:sz w:val="32"/>
          <w:szCs w:val="32"/>
          <w:highlight w:val="none"/>
          <w:lang w:eastAsia="zh-CN"/>
        </w:rPr>
        <w:t>由于机构改革，煤炭监管职能划入我单位，新招录</w:t>
      </w:r>
      <w:r>
        <w:rPr>
          <w:rFonts w:ascii="仿宋_GB2312" w:eastAsia="仿宋_GB2312" w:hAnsi="仿宋_GB2312" w:cs="仿宋_GB2312" w:hint="eastAsia"/>
          <w:color w:val="000000"/>
          <w:kern w:val="0"/>
          <w:sz w:val="32"/>
          <w:szCs w:val="32"/>
          <w:highlight w:val="none"/>
          <w:lang w:val="en-US" w:eastAsia="zh-CN"/>
        </w:rPr>
        <w:t>2名事业编人员</w:t>
      </w:r>
      <w:r>
        <w:rPr>
          <w:rFonts w:ascii="仿宋_GB2312" w:eastAsia="仿宋_GB2312" w:hint="eastAsia"/>
          <w:color w:val="000000"/>
          <w:sz w:val="32"/>
          <w:szCs w:val="32"/>
          <w:highlight w:val="none"/>
          <w:lang w:val="en-US" w:eastAsia="zh-CN"/>
        </w:rPr>
        <w:t>。</w:t>
      </w:r>
    </w:p>
    <w:p>
      <w:pPr>
        <w:spacing w:line="600" w:lineRule="exact"/>
        <w:ind w:firstLine="640" w:firstLineChars="200"/>
        <w:rPr>
          <w:rFonts w:ascii="仿宋_GB2312" w:eastAsia="仿宋_GB2312" w:hAnsi="仿宋_GB2312" w:cs="仿宋_GB2312" w:hint="default"/>
          <w:color w:val="000000"/>
          <w:kern w:val="0"/>
          <w:sz w:val="32"/>
          <w:szCs w:val="32"/>
          <w:highlight w:val="none"/>
        </w:rPr>
      </w:pPr>
      <w:r>
        <w:rPr>
          <w:rFonts w:ascii="仿宋_GB2312" w:eastAsia="仿宋_GB2312" w:hint="eastAsia"/>
          <w:color w:val="000000"/>
          <w:sz w:val="32"/>
          <w:szCs w:val="32"/>
          <w:highlight w:val="none"/>
          <w:lang w:val="en-US" w:eastAsia="zh-CN"/>
        </w:rPr>
        <w:t>4.社会保障和就业支出（类）行政事业单位养老支出（款）机关事业单位职业年金缴费支出（项）：支出决算数为6.27万元，比上年决算增加0.27万元，增长4.50%，主要原因是：</w:t>
      </w:r>
      <w:r>
        <w:rPr>
          <w:rFonts w:ascii="仿宋_GB2312" w:eastAsia="仿宋_GB2312" w:hAnsi="仿宋_GB2312" w:cs="仿宋_GB2312" w:hint="eastAsia"/>
          <w:color w:val="000000"/>
          <w:kern w:val="0"/>
          <w:sz w:val="32"/>
          <w:szCs w:val="32"/>
          <w:highlight w:val="none"/>
          <w:lang w:val="en-US" w:eastAsia="zh-CN"/>
        </w:rPr>
        <w:t>1、</w:t>
      </w:r>
      <w:r>
        <w:rPr>
          <w:rFonts w:ascii="仿宋_GB2312" w:eastAsia="仿宋_GB2312" w:hAnsi="仿宋_GB2312" w:cs="仿宋_GB2312" w:hint="eastAsia"/>
          <w:color w:val="000000"/>
          <w:kern w:val="0"/>
          <w:sz w:val="32"/>
          <w:szCs w:val="32"/>
          <w:highlight w:val="none"/>
          <w:lang w:eastAsia="zh-CN"/>
        </w:rPr>
        <w:t>由于机构改革，煤炭监管职能划入我单位</w:t>
      </w:r>
      <w:r>
        <w:rPr>
          <w:rFonts w:ascii="仿宋_GB2312" w:eastAsia="仿宋_GB2312" w:hAnsi="仿宋_GB2312" w:cs="仿宋_GB2312" w:hint="eastAsia"/>
          <w:color w:val="000000"/>
          <w:kern w:val="0"/>
          <w:sz w:val="32"/>
          <w:szCs w:val="32"/>
          <w:highlight w:val="none"/>
          <w:lang w:val="en-US" w:eastAsia="zh-CN"/>
        </w:rPr>
        <w:t>；2、新招录2名事业编人员；3、人员工资调整，职业年金增加。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5.卫生健康支出（类）行政事业单位医疗（款）行政单位医疗（项）：支出决算数为21.41万元，比上年决算减少1.79万元，下降7.72%，主要原因是：行政单位医疗基数调减。</w:t>
      </w:r>
    </w:p>
    <w:p>
      <w:pPr>
        <w:spacing w:line="600" w:lineRule="exact"/>
        <w:ind w:firstLine="640" w:firstLineChars="200"/>
        <w:rPr>
          <w:rFonts w:ascii="仿宋_GB2312" w:eastAsia="仿宋_GB2312" w:hAnsi="仿宋_GB2312" w:cs="仿宋_GB2312" w:hint="default"/>
          <w:color w:val="000000"/>
          <w:kern w:val="0"/>
          <w:sz w:val="32"/>
          <w:szCs w:val="32"/>
          <w:highlight w:val="none"/>
        </w:rPr>
      </w:pPr>
      <w:r>
        <w:rPr>
          <w:rFonts w:ascii="仿宋_GB2312" w:eastAsia="仿宋_GB2312" w:hint="eastAsia"/>
          <w:color w:val="000000"/>
          <w:sz w:val="32"/>
          <w:szCs w:val="32"/>
          <w:highlight w:val="none"/>
          <w:lang w:val="en-US" w:eastAsia="zh-CN"/>
        </w:rPr>
        <w:t>6.卫生健康支出（类）行政事业单位医疗（款）公务员医疗补助（项）：支出决算数为5.39万元，比上年决算增加0.59万元，增长12.29%，主要原因是：</w:t>
      </w:r>
      <w:r>
        <w:rPr>
          <w:rFonts w:ascii="仿宋_GB2312" w:eastAsia="仿宋_GB2312" w:hAnsi="仿宋_GB2312" w:cs="仿宋_GB2312" w:hint="eastAsia"/>
          <w:color w:val="000000"/>
          <w:kern w:val="0"/>
          <w:sz w:val="32"/>
          <w:szCs w:val="32"/>
          <w:highlight w:val="none"/>
          <w:lang w:val="en-US" w:eastAsia="zh-CN"/>
        </w:rPr>
        <w:t>1、</w:t>
      </w:r>
      <w:r>
        <w:rPr>
          <w:rFonts w:ascii="仿宋_GB2312" w:eastAsia="仿宋_GB2312" w:hAnsi="仿宋_GB2312" w:cs="仿宋_GB2312" w:hint="eastAsia"/>
          <w:color w:val="000000"/>
          <w:kern w:val="0"/>
          <w:sz w:val="32"/>
          <w:szCs w:val="32"/>
          <w:highlight w:val="none"/>
          <w:lang w:eastAsia="zh-CN"/>
        </w:rPr>
        <w:t>由于机构改革，煤炭监管职能划入我单位</w:t>
      </w:r>
      <w:r>
        <w:rPr>
          <w:rFonts w:ascii="仿宋_GB2312" w:eastAsia="仿宋_GB2312" w:hAnsi="仿宋_GB2312" w:cs="仿宋_GB2312" w:hint="eastAsia"/>
          <w:color w:val="000000"/>
          <w:kern w:val="0"/>
          <w:sz w:val="32"/>
          <w:szCs w:val="32"/>
          <w:highlight w:val="none"/>
          <w:lang w:val="en-US" w:eastAsia="zh-CN"/>
        </w:rPr>
        <w:t>；2、人员工资调整，公务员医疗补助。</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7.农林水支出（类）农业农村（款）其他农业农村支出（项）：支出决算数为13.29万元，比上年决算增加13.29万元，增长100%，主要原因是：上年社区工作队经费计其他支出，本年单独设立类款项。</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8.住房保障支出（类）住房改革支出（款）住房公积金（项）：支出决算数为28.75万元，比上年决算增加5.40万元，增长23.18%，主要原因是：因机构改革原发改委煤炭科5人员转入我局，招录2名工作人员，住房公积金基数调增。</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9.灾害防治及应急管理支出（类）应急管理事务（款）行政运行（项）：支出决算数为390.14万元，比上年决算增加144.34万元，增长58.72%，主要原因是：因机构改革原发改委煤炭科5人员转入我局，招录2名工作人员。</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10.灾害防治及应急管理支出（类）应急管理事务（款）灾害风险防治（项）：支出决算数为2.00万元，比上年决算增加2.00万元，增长100%，主要原因是：付2021年度自然灾害普查经费2万元。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11、科学技术支出（类）科学技术管理事务（款）其他科学技术管理事务支出（项）：支出决算数为0.00万元，比上年决算减少125.47万元，下降100%，主要原因是：科目调整，本年不再使用此科目。</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12、灾害防治及应急管理支出（类）应急管理事务（款）其他应急管理支出（项）：支出决算数为0.00万元，比上年决算减少5.99万元，下降100%，主要原因是：科目调整，本年不再使用此科目。</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13、灾害防治及应急管理支出（类）自然灾害救灾及恢复重建支出（款）自然灾害救灾补助（项）：支出决算数为0.00万元，比上年决算减少120.00万元，下降100%，主要原因是：科目调整，本年不再使用此科目。</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14、灾害防治及应急管理支出（类）其他灾害防治及应急管理支出（款）其他灾害防治及应急管理支出（项）：支出决算数为0.00万元，比上年决算减少8.72万元，下降100%，主要原因是：科目调整，本年不再使用此科目。</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15、其他支出（类）其他支出（款）其他支出（项）：支出决算数为0.00万元，比上年决算减少0.18万元，下降100%，主要原因是：科目调整，本年不再使用此科目。</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8" w:name="_Toc30870"/>
      <w:bookmarkStart w:id="19" w:name="_Toc11146"/>
      <w:r>
        <w:rPr>
          <w:rFonts w:ascii="黑体" w:eastAsia="黑体" w:hAnsi="黑体" w:cs="宋体" w:hint="eastAsia"/>
          <w:color w:val="000000"/>
          <w:kern w:val="0"/>
          <w:sz w:val="32"/>
          <w:szCs w:val="32"/>
          <w:highlight w:val="none"/>
          <w:lang w:eastAsia="zh-CN"/>
        </w:rPr>
        <w:t>六、一般公共预算财政拨款基本支出决算情况说明</w:t>
      </w:r>
      <w:bookmarkEnd w:id="18"/>
      <w:bookmarkEnd w:id="19"/>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2022年度一般公共预算财政拨款基本支出525.02万元，其中：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rPr>
        <w:t>人员经费473.0</w:t>
      </w:r>
      <w:r>
        <w:rPr>
          <w:rFonts w:ascii="仿宋_GB2312" w:eastAsia="仿宋_GB2312" w:hint="eastAsia"/>
          <w:color w:val="000000"/>
          <w:sz w:val="32"/>
          <w:szCs w:val="32"/>
          <w:highlight w:val="none"/>
          <w:lang w:val="en-US" w:eastAsia="zh-CN"/>
        </w:rPr>
        <w:t>7</w:t>
      </w:r>
      <w:r>
        <w:rPr>
          <w:rFonts w:ascii="仿宋_GB2312" w:eastAsia="仿宋_GB2312" w:hint="eastAsia"/>
          <w:color w:val="000000"/>
          <w:sz w:val="32"/>
          <w:szCs w:val="32"/>
          <w:highlight w:val="none"/>
        </w:rPr>
        <w:t>万元，包括：基本工资、津贴补贴、奖金、机关事业单位基本养老保险缴费、职业年金缴费、职工基本医疗保险缴费、公务员医疗补助缴费、其他社会保障缴费、住房公积金、退休费、抚恤金、生活补助。</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rPr>
        <w:t>公用经费51.95万元，包括：办公费、邮电费、劳务费。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0" w:name="_Toc7190"/>
      <w:bookmarkStart w:id="21" w:name="_Toc21518"/>
      <w:r>
        <w:rPr>
          <w:rFonts w:ascii="黑体" w:eastAsia="黑体" w:hAnsi="黑体" w:cs="宋体" w:hint="eastAsia"/>
          <w:color w:val="000000"/>
          <w:kern w:val="0"/>
          <w:sz w:val="32"/>
          <w:szCs w:val="32"/>
          <w:highlight w:val="none"/>
          <w:lang w:eastAsia="zh-CN"/>
        </w:rPr>
        <w:t>七</w:t>
      </w:r>
      <w:r>
        <w:rPr>
          <w:rFonts w:ascii="黑体" w:eastAsia="黑体" w:hAnsi="黑体" w:cs="宋体" w:hint="eastAsia"/>
          <w:color w:val="000000"/>
          <w:kern w:val="0"/>
          <w:sz w:val="32"/>
          <w:szCs w:val="32"/>
          <w:highlight w:val="none"/>
        </w:rPr>
        <w:t>、</w:t>
      </w:r>
      <w:r>
        <w:rPr>
          <w:rFonts w:ascii="黑体" w:eastAsia="黑体" w:hAnsi="黑体" w:cs="宋体" w:hint="eastAsia"/>
          <w:color w:val="000000"/>
          <w:kern w:val="0"/>
          <w:sz w:val="32"/>
          <w:szCs w:val="32"/>
          <w:highlight w:val="none"/>
          <w:lang w:eastAsia="zh-CN"/>
        </w:rPr>
        <w:t>财政拨款</w:t>
      </w:r>
      <w:r>
        <w:rPr>
          <w:rFonts w:ascii="黑体" w:eastAsia="黑体" w:hAnsi="黑体" w:cs="宋体" w:hint="eastAsia"/>
          <w:color w:val="000000"/>
          <w:kern w:val="0"/>
          <w:sz w:val="32"/>
          <w:szCs w:val="32"/>
          <w:highlight w:val="none"/>
        </w:rPr>
        <w:t>“三公”经费支出</w:t>
      </w:r>
      <w:r>
        <w:rPr>
          <w:rFonts w:ascii="黑体" w:eastAsia="黑体" w:hAnsi="黑体" w:cs="宋体" w:hint="eastAsia"/>
          <w:color w:val="000000"/>
          <w:kern w:val="0"/>
          <w:sz w:val="32"/>
          <w:szCs w:val="32"/>
          <w:highlight w:val="none"/>
          <w:lang w:eastAsia="zh-CN"/>
        </w:rPr>
        <w:t>决算</w:t>
      </w:r>
      <w:r>
        <w:rPr>
          <w:rFonts w:ascii="黑体" w:eastAsia="黑体" w:hAnsi="黑体" w:cs="宋体" w:hint="eastAsia"/>
          <w:color w:val="000000"/>
          <w:kern w:val="0"/>
          <w:sz w:val="32"/>
          <w:szCs w:val="32"/>
          <w:highlight w:val="none"/>
        </w:rPr>
        <w:t>情况</w:t>
      </w:r>
      <w:r>
        <w:rPr>
          <w:rFonts w:ascii="黑体" w:eastAsia="黑体" w:hAnsi="黑体" w:cs="宋体" w:hint="eastAsia"/>
          <w:color w:val="000000"/>
          <w:kern w:val="0"/>
          <w:sz w:val="32"/>
          <w:szCs w:val="32"/>
          <w:highlight w:val="none"/>
          <w:lang w:eastAsia="zh-CN"/>
        </w:rPr>
        <w:t>说明</w:t>
      </w:r>
      <w:bookmarkEnd w:id="20"/>
      <w:bookmarkEnd w:id="21"/>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财政拨款“三公”经费支出决算0.00万元，比上年减少1.86万元，下降100%，主要原因是：所有公务用车费用由机关事务管理局统一支付。其中：因公出国（境）费支出0.00万元，占0.00%，比上年增加0.00万元，增长0.00%，主要原因是：我单位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公务用车购置及运行维护费支出0.00万元，占0.00%，比上年减少1.86万元，下降100%，主要原因是：乌苏市车辆管理规定，单位车辆管理运行费归市机关事务管理局管理。公务用车购置与年初预算及上年度相比无变化；公务接待费支出0.00万元，占0.00%，比上年增加0.00万元，增长0.00%，主要原因是：我单位无公务接待费支出</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公务用车购置及运行维护费0.00万元，其中：公务用车购置费0.00万元，公务用车运行维护费0.00万元。公务用车运行维护费开支内容包括我单位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公务接待费0.00万元，开支内容包括我单位无公务接待费。单位全年安排的国内公务接待0批次，0人次。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与全年预算数相比情况：“三公”经费支出全年预算数0.00万元，决算数0.00万元，预决算差异率0.00%，主要原因是：我单位未安排</w:t>
      </w:r>
      <w:r>
        <w:rPr>
          <w:rFonts w:ascii="仿宋_GB2312" w:eastAsia="仿宋_GB2312" w:hint="eastAsia"/>
          <w:color w:val="000000"/>
          <w:sz w:val="32"/>
          <w:szCs w:val="32"/>
          <w:highlight w:val="none"/>
          <w:lang w:val="en-US" w:eastAsia="zh-CN"/>
        </w:rPr>
        <w:t>财政拨款</w:t>
      </w:r>
      <w:r>
        <w:rPr>
          <w:rFonts w:ascii="仿宋_GB2312" w:eastAsia="仿宋_GB2312" w:hint="eastAsia"/>
          <w:color w:val="000000"/>
          <w:sz w:val="32"/>
          <w:szCs w:val="32"/>
          <w:highlight w:val="none"/>
        </w:rPr>
        <w:t>“三公”经费支出，预决算无差异。</w:t>
      </w:r>
      <w:r>
        <w:rPr>
          <w:rFonts w:ascii="仿宋_GB2312" w:eastAsia="仿宋_GB2312" w:hint="eastAsia"/>
          <w:color w:val="000000"/>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color w:val="000000"/>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color w:val="000000"/>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color w:val="000000"/>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2" w:name="_Toc7927"/>
      <w:bookmarkStart w:id="23" w:name="_Toc5810"/>
      <w:r>
        <w:rPr>
          <w:rFonts w:ascii="黑体" w:eastAsia="黑体" w:hAnsi="黑体" w:cs="宋体" w:hint="eastAsia"/>
          <w:color w:val="000000"/>
          <w:kern w:val="0"/>
          <w:sz w:val="32"/>
          <w:szCs w:val="32"/>
          <w:highlight w:val="none"/>
          <w:lang w:eastAsia="zh-CN"/>
        </w:rPr>
        <w:t>八、政府性基金预算财政拨款收入支出决算情况说明</w:t>
      </w:r>
      <w:bookmarkEnd w:id="22"/>
      <w:bookmarkEnd w:id="2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我单位本年度无政府性基金预算财政拨款收入、支出及结转和结余，</w:t>
      </w:r>
      <w:r>
        <w:rPr>
          <w:rFonts w:ascii="仿宋_GB2312" w:eastAsia="仿宋_GB2312" w:hint="eastAsia"/>
          <w:color w:val="000000"/>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我单位本年度无国有资本经营预算财政拨款收入、支出及结转和结余，</w:t>
      </w:r>
      <w:r>
        <w:rPr>
          <w:rFonts w:ascii="仿宋_GB2312" w:eastAsia="仿宋_GB2312" w:hint="eastAsia"/>
          <w:color w:val="000000"/>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4" w:name="_Toc1235"/>
      <w:bookmarkStart w:id="25" w:name="_Toc7314"/>
      <w:r>
        <w:rPr>
          <w:rFonts w:ascii="黑体" w:eastAsia="黑体" w:hAnsi="黑体" w:cs="宋体" w:hint="eastAsia"/>
          <w:color w:val="000000"/>
          <w:kern w:val="0"/>
          <w:sz w:val="32"/>
          <w:szCs w:val="32"/>
          <w:highlight w:val="none"/>
          <w:lang w:eastAsia="zh-CN"/>
        </w:rPr>
        <w:t>十</w:t>
      </w:r>
      <w:r>
        <w:rPr>
          <w:rFonts w:ascii="黑体" w:eastAsia="黑体" w:hAnsi="黑体" w:cs="宋体" w:hint="eastAsia"/>
          <w:color w:val="000000"/>
          <w:kern w:val="0"/>
          <w:sz w:val="32"/>
          <w:szCs w:val="32"/>
          <w:highlight w:val="none"/>
        </w:rPr>
        <w:t>、其他重要事项的情况</w:t>
      </w:r>
      <w:r>
        <w:rPr>
          <w:rFonts w:ascii="黑体" w:eastAsia="黑体" w:hAnsi="黑体" w:cs="宋体" w:hint="eastAsia"/>
          <w:color w:val="000000"/>
          <w:kern w:val="0"/>
          <w:sz w:val="32"/>
          <w:szCs w:val="32"/>
          <w:highlight w:val="none"/>
          <w:lang w:eastAsia="zh-CN"/>
        </w:rPr>
        <w:t>说明</w:t>
      </w:r>
      <w:bookmarkEnd w:id="24"/>
      <w:bookmarkEnd w:id="2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rPr>
      </w:pPr>
      <w:bookmarkStart w:id="26" w:name="_Toc14519"/>
      <w:bookmarkStart w:id="27" w:name="_Toc13105"/>
      <w:r>
        <w:rPr>
          <w:rFonts w:ascii="黑体" w:eastAsia="黑体" w:hAnsi="黑体" w:hint="eastAsia"/>
          <w:color w:val="000000"/>
          <w:sz w:val="32"/>
          <w:szCs w:val="32"/>
          <w:highlight w:val="none"/>
          <w:lang w:eastAsia="zh-CN"/>
        </w:rPr>
        <w:t>（一）</w:t>
      </w:r>
      <w:r>
        <w:rPr>
          <w:rFonts w:ascii="黑体" w:eastAsia="黑体" w:hAnsi="黑体" w:hint="eastAsia"/>
          <w:color w:val="000000"/>
          <w:sz w:val="32"/>
          <w:szCs w:val="32"/>
          <w:highlight w:val="none"/>
        </w:rPr>
        <w:t>机关运行经费支出情况</w:t>
      </w:r>
      <w:bookmarkEnd w:id="26"/>
      <w:bookmarkEnd w:id="27"/>
    </w:p>
    <w:p>
      <w:pPr>
        <w:spacing w:line="600" w:lineRule="exact"/>
        <w:ind w:firstLine="640" w:firstLineChars="200"/>
        <w:rPr>
          <w:rFonts w:ascii="仿宋_GB2312" w:eastAsia="仿宋_GB2312" w:hAnsi="仿宋_GB2312" w:cs="仿宋_GB2312" w:hint="default"/>
          <w:color w:val="000000"/>
          <w:kern w:val="0"/>
          <w:sz w:val="32"/>
          <w:szCs w:val="32"/>
          <w:highlight w:val="none"/>
        </w:rPr>
      </w:pPr>
      <w:r>
        <w:rPr>
          <w:rFonts w:ascii="仿宋_GB2312" w:eastAsia="仿宋_GB2312" w:hint="eastAsia"/>
          <w:color w:val="000000"/>
          <w:sz w:val="32"/>
          <w:szCs w:val="32"/>
          <w:highlight w:val="none"/>
        </w:rPr>
        <w:t>2022年度新疆塔城地区乌苏市应急管理局（行政单位和参照公务员法管理事业单位）机关运行经费支出51.95万元，比上年增加41.37万元，增长391.02%，主要原因是：</w:t>
      </w:r>
      <w:r>
        <w:rPr>
          <w:rFonts w:ascii="仿宋_GB2312" w:eastAsia="仿宋_GB2312" w:hint="eastAsia"/>
          <w:color w:val="000000"/>
          <w:sz w:val="32"/>
          <w:szCs w:val="32"/>
          <w:highlight w:val="none"/>
          <w:lang w:val="en-US" w:eastAsia="zh-CN"/>
        </w:rPr>
        <w:t>1、</w:t>
      </w:r>
      <w:r>
        <w:rPr>
          <w:rFonts w:ascii="仿宋_GB2312" w:eastAsia="仿宋_GB2312" w:hAnsi="仿宋_GB2312" w:cs="仿宋_GB2312" w:hint="eastAsia"/>
          <w:color w:val="000000"/>
          <w:kern w:val="0"/>
          <w:sz w:val="32"/>
          <w:szCs w:val="32"/>
          <w:highlight w:val="none"/>
          <w:lang w:eastAsia="zh-CN"/>
        </w:rPr>
        <w:t>由于机构改革，煤炭监管职能划入我单位，人员增加</w:t>
      </w:r>
      <w:r>
        <w:rPr>
          <w:rFonts w:ascii="仿宋_GB2312" w:eastAsia="仿宋_GB2312" w:hAnsi="仿宋_GB2312" w:cs="仿宋_GB2312" w:hint="eastAsia"/>
          <w:color w:val="000000"/>
          <w:kern w:val="0"/>
          <w:sz w:val="32"/>
          <w:szCs w:val="32"/>
          <w:highlight w:val="none"/>
          <w:lang w:val="en-US" w:eastAsia="zh-CN"/>
        </w:rPr>
        <w:t>；2、人员工资调整。</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lang w:eastAsia="zh-CN"/>
        </w:rPr>
      </w:pPr>
      <w:bookmarkStart w:id="28" w:name="_Toc26704"/>
      <w:bookmarkStart w:id="29" w:name="_Toc227"/>
      <w:r>
        <w:rPr>
          <w:rFonts w:ascii="黑体" w:eastAsia="黑体" w:hAnsi="黑体" w:hint="eastAsia"/>
          <w:color w:val="000000"/>
          <w:sz w:val="32"/>
          <w:szCs w:val="32"/>
          <w:highlight w:val="none"/>
          <w:lang w:eastAsia="zh-CN"/>
        </w:rPr>
        <w:t>（二）政府采购情况</w:t>
      </w:r>
      <w:bookmarkEnd w:id="28"/>
      <w:bookmarkEnd w:id="29"/>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2022年度政府采购支出总额4.81万元，其中：政府采购货物支出4.81万元、政府采购工程支出0.00万元、政府采购服务支出0.00万元。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rPr>
        <w:t>授予中小企业合同金额</w:t>
      </w:r>
      <w:r>
        <w:rPr>
          <w:rFonts w:ascii="仿宋_GB2312" w:eastAsia="仿宋_GB2312" w:hint="eastAsia"/>
          <w:color w:val="000000"/>
          <w:sz w:val="32"/>
          <w:szCs w:val="32"/>
          <w:highlight w:val="none"/>
          <w:lang w:eastAsia="zh-CN"/>
        </w:rPr>
        <w:t>4.81</w:t>
      </w:r>
      <w:r>
        <w:rPr>
          <w:rFonts w:ascii="仿宋_GB2312" w:eastAsia="仿宋_GB2312" w:hint="eastAsia"/>
          <w:color w:val="000000"/>
          <w:sz w:val="32"/>
          <w:szCs w:val="32"/>
          <w:highlight w:val="none"/>
        </w:rPr>
        <w:t>万元，占政府采购支出总额的</w:t>
      </w:r>
      <w:r>
        <w:rPr>
          <w:rFonts w:ascii="仿宋_GB2312" w:eastAsia="仿宋_GB2312" w:hint="eastAsia"/>
          <w:color w:val="000000"/>
          <w:sz w:val="32"/>
          <w:szCs w:val="32"/>
          <w:highlight w:val="none"/>
          <w:lang w:eastAsia="zh-CN"/>
        </w:rPr>
        <w:t>100.00</w:t>
      </w:r>
      <w:r>
        <w:rPr>
          <w:rFonts w:ascii="仿宋_GB2312" w:eastAsia="仿宋_GB2312" w:hint="eastAsia"/>
          <w:color w:val="000000"/>
          <w:sz w:val="32"/>
          <w:szCs w:val="32"/>
          <w:highlight w:val="none"/>
          <w:lang w:val="en-US" w:eastAsia="zh-CN"/>
        </w:rPr>
        <w:t>%</w:t>
      </w:r>
      <w:r>
        <w:rPr>
          <w:rFonts w:ascii="仿宋_GB2312" w:eastAsia="仿宋_GB2312" w:hint="eastAsia"/>
          <w:color w:val="000000"/>
          <w:sz w:val="32"/>
          <w:szCs w:val="32"/>
          <w:highlight w:val="none"/>
        </w:rPr>
        <w:t>，其中：授予小微企业合同金额</w:t>
      </w:r>
      <w:r>
        <w:rPr>
          <w:rFonts w:ascii="仿宋_GB2312" w:eastAsia="仿宋_GB2312" w:hint="eastAsia"/>
          <w:color w:val="000000"/>
          <w:sz w:val="32"/>
          <w:szCs w:val="32"/>
          <w:highlight w:val="none"/>
          <w:lang w:eastAsia="zh-CN"/>
        </w:rPr>
        <w:t>4.81</w:t>
      </w:r>
      <w:r>
        <w:rPr>
          <w:rFonts w:ascii="仿宋_GB2312" w:eastAsia="仿宋_GB2312" w:hint="eastAsia"/>
          <w:color w:val="000000"/>
          <w:sz w:val="32"/>
          <w:szCs w:val="32"/>
          <w:highlight w:val="none"/>
        </w:rPr>
        <w:t>万元，占政府采购支出总额的</w:t>
      </w:r>
      <w:r>
        <w:rPr>
          <w:rFonts w:ascii="仿宋_GB2312" w:eastAsia="仿宋_GB2312" w:hint="eastAsia"/>
          <w:color w:val="000000"/>
          <w:sz w:val="32"/>
          <w:szCs w:val="32"/>
          <w:highlight w:val="none"/>
          <w:lang w:eastAsia="zh-CN"/>
        </w:rPr>
        <w:t>100.00</w:t>
      </w:r>
      <w:r>
        <w:rPr>
          <w:rFonts w:ascii="仿宋_GB2312" w:eastAsia="仿宋_GB2312" w:hint="eastAsia"/>
          <w:color w:val="000000"/>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lang w:eastAsia="zh-CN"/>
        </w:rPr>
      </w:pPr>
      <w:bookmarkStart w:id="30" w:name="_Toc4591"/>
      <w:bookmarkStart w:id="31" w:name="_Toc8391"/>
      <w:r>
        <w:rPr>
          <w:rFonts w:ascii="黑体" w:eastAsia="黑体" w:hAnsi="黑体" w:hint="eastAsia"/>
          <w:color w:val="000000"/>
          <w:sz w:val="32"/>
          <w:szCs w:val="32"/>
          <w:highlight w:val="none"/>
          <w:lang w:eastAsia="zh-CN"/>
        </w:rPr>
        <w:t>（三）国有资产占用情况说明</w:t>
      </w:r>
      <w:bookmarkEnd w:id="30"/>
      <w:bookmarkEnd w:id="31"/>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截止2022年12月31日，固定资产原值162.71万元，房屋0.00平方米，价值0.00万元。车辆1辆，价值21.31万元，其中：副部（省）级及以上领导用车0辆、主要领导干部用车0辆、机要通信用车0辆、应急保障用车0辆、执法执勤用车1辆、特种专业技术用车0辆、离退休干部用车0辆、其他用车0辆，其他用车主要是：本单位无其他用车；单价100万元（含）以上设备（不含车辆）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32" w:name="_Toc11283"/>
      <w:bookmarkStart w:id="33" w:name="_Toc435"/>
      <w:r>
        <w:rPr>
          <w:rFonts w:ascii="黑体" w:eastAsia="黑体" w:hAnsi="黑体" w:cs="宋体" w:hint="eastAsia"/>
          <w:color w:val="000000"/>
          <w:kern w:val="0"/>
          <w:sz w:val="32"/>
          <w:szCs w:val="32"/>
          <w:highlight w:val="none"/>
          <w:lang w:eastAsia="zh-CN"/>
        </w:rPr>
        <w:t>十一、预算绩效的情况说明</w:t>
      </w:r>
      <w:bookmarkEnd w:id="32"/>
      <w:bookmarkEnd w:id="33"/>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根据预算绩效管理要求，我单位2022年度开展预算绩效评价项目0个，全年预算数0.00万元，全年执行数0.00万元。预算绩效管理取得的成效：我单位无项目绩效自评表。发现的问题及原因：我单位无项目绩效自评表。下一步改进措施：我单位无项目绩效自评表。具体项目自评情况附项目支出绩效自评表。</w:t>
      </w:r>
      <w:bookmarkStart w:id="34" w:name="_GoBack"/>
      <w:bookmarkEnd w:id="34"/>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35" w:name="_Toc3250"/>
      <w:bookmarkStart w:id="36" w:name="_Toc24143"/>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lang w:eastAsia="zh-CN"/>
        </w:rPr>
        <w:t>年初</w:t>
      </w:r>
      <w:r>
        <w:rPr>
          <w:rFonts w:ascii="仿宋_GB2312" w:eastAsia="仿宋_GB2312" w:hint="eastAsia"/>
          <w:color w:val="000000"/>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37" w:name="_Toc22784"/>
      <w:bookmarkStart w:id="38" w:name="_Toc28903"/>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39" w:name="_Toc2183"/>
      <w:bookmarkStart w:id="40" w:name="_Toc6062"/>
      <w:r>
        <w:rPr>
          <w:rFonts w:ascii="黑体" w:eastAsia="黑体" w:hAnsi="黑体" w:cs="宋体" w:hint="eastAsia"/>
          <w:color w:val="000000"/>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1" w:name="_Toc24532"/>
      <w:bookmarkStart w:id="42" w:name="_Toc30364"/>
      <w:r>
        <w:rPr>
          <w:rFonts w:ascii="黑体" w:eastAsia="黑体" w:hAnsi="黑体" w:cs="宋体" w:hint="eastAsia"/>
          <w:color w:val="000000"/>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3" w:name="_Toc21304"/>
      <w:bookmarkStart w:id="44" w:name="_Toc32434"/>
      <w:r>
        <w:rPr>
          <w:rFonts w:ascii="黑体" w:eastAsia="黑体" w:hAnsi="黑体" w:cs="宋体" w:hint="eastAsia"/>
          <w:color w:val="000000"/>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5" w:name="_Toc14238"/>
      <w:bookmarkStart w:id="46" w:name="_Toc28786"/>
      <w:r>
        <w:rPr>
          <w:rFonts w:ascii="黑体" w:eastAsia="黑体" w:hAnsi="黑体" w:cs="宋体" w:hint="eastAsia"/>
          <w:color w:val="000000"/>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7" w:name="_Toc10347"/>
      <w:bookmarkStart w:id="48" w:name="_Toc14869"/>
      <w:r>
        <w:rPr>
          <w:rFonts w:ascii="黑体" w:eastAsia="黑体" w:hAnsi="黑体" w:cs="宋体" w:hint="eastAsia"/>
          <w:color w:val="000000"/>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9" w:name="_Toc5626"/>
      <w:bookmarkStart w:id="50" w:name="_Toc8884"/>
      <w:r>
        <w:rPr>
          <w:rFonts w:ascii="黑体" w:eastAsia="黑体" w:hAnsi="黑体" w:cs="宋体" w:hint="eastAsia"/>
          <w:color w:val="000000"/>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51" w:name="_Toc32663"/>
      <w:bookmarkStart w:id="52" w:name="_Toc29106"/>
      <w:r>
        <w:rPr>
          <w:rFonts w:ascii="黑体" w:eastAsia="黑体" w:hAnsi="黑体" w:cs="宋体" w:hint="eastAsia"/>
          <w:color w:val="000000"/>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53" w:name="_Toc7643"/>
      <w:bookmarkStart w:id="54" w:name="_Toc5453"/>
      <w:r>
        <w:rPr>
          <w:rFonts w:ascii="黑体" w:eastAsia="黑体" w:hAnsi="黑体" w:cs="宋体" w:hint="eastAsia"/>
          <w:color w:val="000000"/>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rPr>
        <w:t>九、《国有资本经营预算财政拨款收入支出决算表》</w:t>
      </w:r>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87354D"/>
    <w:rsid w:val="15C53E41"/>
    <w:rsid w:val="193A0191"/>
    <w:rsid w:val="26322A81"/>
    <w:rsid w:val="2A4C43DD"/>
    <w:rsid w:val="38D842C5"/>
    <w:rsid w:val="44E63E28"/>
    <w:rsid w:val="5F6116E6"/>
    <w:rsid w:val="7150327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tyle>
  <w:style w:type="table" w:default="1" w:styleId="TableNormal">
    <w:name w:val="Normal Table"/>
    <w:semiHidden/>
    <w:qFormat/>
    <w:tblPr>
      <w:tblInd w:w="0" w:type="dxa"/>
      <w:tblCellMar>
        <w:top w:w="0" w:type="dxa"/>
        <w:left w:w="108" w:type="dxa"/>
        <w:bottom w:w="0" w:type="dxa"/>
        <w:right w:w="108" w:type="dxa"/>
      </w:tblCellMar>
    </w:tblPr>
  </w:style>
  <w:style w:type="paragraph" w:styleId="CommentText">
    <w:name w:val="annotation text"/>
    <w:basedOn w:val="Normal"/>
    <w:qFormat/>
    <w:pPr>
      <w:jc w:val="left"/>
    </w:p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Header">
    <w:name w:val="header"/>
    <w:basedOn w:val="Normal"/>
    <w:qFormat/>
    <w:pPr>
      <w:pBdr>
        <w:top w:val="none" w:sz="0" w:space="0" w:color="auto"/>
        <w:left w:val="none" w:sz="0" w:space="0" w:color="auto"/>
        <w:bottom w:val="none" w:sz="0" w:space="0" w:color="auto"/>
        <w:right w:val="none" w:sz="0" w:space="0" w:color="auto"/>
      </w:pBdr>
      <w:snapToGrid w:val="0"/>
      <w:spacing w:line="240" w:lineRule="auto"/>
      <w:jc w:val="both"/>
      <w:outlineLvl w:val="9"/>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customStyle="1" w:styleId="WPSOffice3">
    <w:name w:val="WPSOffice手动目录 3"/>
    <w:qFormat/>
    <w:pPr>
      <w:ind w:left="400" w:leftChars="400"/>
    </w:pPr>
    <w:rPr>
      <w:rFonts w:ascii="Calibri" w:eastAsia="宋体" w:hAnsi="Calibri" w:cs="Times New Roman"/>
      <w:sz w:val="20"/>
      <w:szCs w:val="20"/>
    </w:rPr>
  </w:style>
  <w:style w:type="paragraph" w:customStyle="1" w:styleId="WPSOffice2">
    <w:name w:val="WPSOffice手动目录 2"/>
    <w:qFormat/>
    <w:pPr>
      <w:ind w:left="200" w:leftChars="200"/>
    </w:pPr>
    <w:rPr>
      <w:rFonts w:ascii="Calibri" w:eastAsia="宋体" w:hAnsi="Calibri" w:cs="Times New Roman"/>
      <w:sz w:val="20"/>
      <w:szCs w:val="20"/>
    </w:rPr>
  </w:style>
  <w:style w:type="paragraph" w:customStyle="1" w:styleId="WPSOffice1">
    <w:name w:val="WPSOffice手动目录 1"/>
    <w:qFormat/>
    <w:pPr>
      <w:ind w:leftChars="0"/>
    </w:pPr>
    <w:rPr>
      <w:rFonts w:ascii="Calibri" w:eastAsia="宋体"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67</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0</cp:revision>
  <dcterms:created xsi:type="dcterms:W3CDTF">2014-10-29T12:08:00Z</dcterms:created>
  <dcterms:modified xsi:type="dcterms:W3CDTF">2023-02-14T14:06:43Z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BBEBC52F7E6D418B8A6B0B0E2CD66865</vt:lpwstr>
  </property>
  <property fmtid="{D5CDD505-2E9C-101B-9397-08002B2CF9AE}" pid="3" name="KSOProductBuildVer">
    <vt:lpwstr>2052-11.8.2.8555</vt:lpwstr>
  </property>
</Properties>
</file>