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jc w:val="center"/>
        <w:rPr>
          <w:rFonts w:ascii="方正小标宋_GBK" w:eastAsia="方正小标宋_GBK" w:hAnsi="方正小标宋_GBK" w:hint="eastAsia"/>
          <w:sz w:val="44"/>
          <w:szCs w:val="44"/>
          <w:highlight w:val="none"/>
          <w:lang w:val="en-US" w:eastAsia="zh-CN"/>
        </w:rPr>
      </w:pPr>
      <w:r>
        <w:rPr>
          <w:rFonts w:ascii="方正小标宋_GBK" w:eastAsia="方正小标宋_GBK" w:hAnsi="方正小标宋_GBK" w:hint="eastAsia"/>
          <w:sz w:val="44"/>
          <w:szCs w:val="44"/>
          <w:highlight w:val="none"/>
          <w:lang w:val="en-US" w:eastAsia="zh-CN"/>
        </w:rPr>
        <w:t xml:space="preserve"> </w:t>
      </w:r>
      <w:bookmarkStart w:id="0" w:name="_GoBack"/>
      <w:bookmarkEnd w:id="0"/>
    </w:p>
    <w:p>
      <w:pPr>
        <w:jc w:val="center"/>
        <w:rPr>
          <w:rFonts w:ascii="方正小标宋_GBK" w:eastAsia="方正小标宋_GBK" w:hAnsi="方正小标宋_GBK"/>
          <w:sz w:val="44"/>
          <w:szCs w:val="44"/>
          <w:highlight w:val="none"/>
        </w:rPr>
      </w:pPr>
    </w:p>
    <w:p>
      <w:pPr>
        <w:jc w:val="center"/>
        <w:rPr>
          <w:rFonts w:ascii="方正小标宋_GBK" w:eastAsia="方正小标宋_GBK" w:hAnsi="方正小标宋_GBK"/>
          <w:sz w:val="44"/>
          <w:szCs w:val="44"/>
          <w:highlight w:val="none"/>
        </w:rPr>
      </w:pPr>
    </w:p>
    <w:p>
      <w:pPr>
        <w:jc w:val="center"/>
        <w:rPr>
          <w:rFonts w:ascii="方正小标宋_GBK" w:eastAsia="方正小标宋_GBK" w:hAnsi="方正小标宋_GBK"/>
          <w:sz w:val="44"/>
          <w:szCs w:val="44"/>
          <w:highlight w:val="none"/>
        </w:rPr>
      </w:pPr>
    </w:p>
    <w:p>
      <w:pPr>
        <w:jc w:val="center"/>
        <w:rPr>
          <w:rFonts w:ascii="方正小标宋_GBK" w:eastAsia="方正小标宋_GBK" w:hAnsi="方正小标宋_GBK"/>
          <w:sz w:val="44"/>
          <w:szCs w:val="44"/>
          <w:highlight w:val="none"/>
        </w:rPr>
      </w:pPr>
      <w:r>
        <w:rPr>
          <w:rFonts w:ascii="方正小标宋_GBK" w:eastAsia="方正小标宋_GBK" w:hAnsi="方正小标宋_GBK" w:hint="eastAsia"/>
          <w:sz w:val="44"/>
          <w:szCs w:val="44"/>
          <w:highlight w:val="none"/>
        </w:rPr>
        <w:t>新疆塔城地区中国人民解放军新疆乌苏市人民武装部2022年度部门决算公开说明</w:t>
      </w:r>
    </w:p>
    <w:p>
      <w:pPr>
        <w:jc w:val="center"/>
        <w:rPr>
          <w:rFonts w:ascii="仿宋_GB2312" w:eastAsia="仿宋_GB2312" w:hAnsi="仿宋_GB2312" w:cs="仿宋_GB2312"/>
          <w:bCs/>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tabs>
          <w:tab w:val="right" w:pos="8306"/>
        </w:tabs>
        <w:rPr>
          <w:rFonts w:ascii="仿宋_GB2312" w:eastAsia="仿宋_GB2312" w:hAnsi="仿宋_GB2312" w:cs="仿宋_GB2312"/>
          <w:b/>
          <w:bCs/>
          <w:sz w:val="32"/>
          <w:szCs w:val="32"/>
          <w:highlight w:val="none"/>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bCs/>
            <w:sz w:val="32"/>
            <w:szCs w:val="32"/>
            <w:highlight w:val="none"/>
          </w:rPr>
          <w:t>第一部分 单位概况</w:t>
        </w:r>
      </w:hyperlink>
    </w:p>
    <w:p>
      <w:pPr>
        <w:pStyle w:val="TOC2"/>
        <w:tabs>
          <w:tab w:val="right" w:pos="8306"/>
        </w:tabs>
        <w:ind w:left="0" w:leftChars="0"/>
        <w:rPr>
          <w:rFonts w:ascii="仿宋_GB2312" w:eastAsia="仿宋_GB2312" w:hAnsi="仿宋_GB2312" w:cs="仿宋_GB2312"/>
          <w:sz w:val="32"/>
          <w:szCs w:val="32"/>
          <w:highlight w:val="none"/>
        </w:rPr>
      </w:pPr>
      <w:hyperlink w:anchor="_Toc30567" w:history="1">
        <w:r>
          <w:rPr>
            <w:rFonts w:ascii="仿宋_GB2312" w:eastAsia="仿宋_GB2312" w:hAnsi="仿宋_GB2312" w:cs="仿宋_GB2312" w:hint="eastAsia"/>
            <w:bCs/>
            <w:kern w:val="0"/>
            <w:sz w:val="32"/>
            <w:szCs w:val="32"/>
            <w:highlight w:val="none"/>
          </w:rPr>
          <w:t>一、主要职能</w:t>
        </w:r>
      </w:hyperlink>
    </w:p>
    <w:p>
      <w:pPr>
        <w:pStyle w:val="TOC2"/>
        <w:tabs>
          <w:tab w:val="right" w:pos="8306"/>
        </w:tabs>
        <w:ind w:left="0" w:leftChars="0"/>
        <w:rPr>
          <w:rFonts w:ascii="仿宋_GB2312" w:eastAsia="仿宋_GB2312" w:hAnsi="仿宋_GB2312" w:cs="仿宋_GB2312"/>
          <w:sz w:val="32"/>
          <w:szCs w:val="32"/>
          <w:highlight w:val="none"/>
        </w:rPr>
      </w:pPr>
      <w:hyperlink w:anchor="_Toc2151" w:history="1">
        <w:r>
          <w:rPr>
            <w:rFonts w:ascii="仿宋_GB2312" w:eastAsia="仿宋_GB2312" w:hAnsi="仿宋_GB2312" w:cs="仿宋_GB2312" w:hint="eastAsia"/>
            <w:bCs/>
            <w:kern w:val="0"/>
            <w:sz w:val="32"/>
            <w:szCs w:val="32"/>
            <w:highlight w:val="none"/>
          </w:rPr>
          <w:t>二、机构设置及人员情况</w:t>
        </w:r>
      </w:hyperlink>
    </w:p>
    <w:p>
      <w:pPr>
        <w:pStyle w:val="TOC1"/>
        <w:tabs>
          <w:tab w:val="right" w:pos="8306"/>
        </w:tabs>
        <w:rPr>
          <w:rFonts w:ascii="仿宋_GB2312" w:eastAsia="仿宋_GB2312" w:hAnsi="仿宋_GB2312" w:cs="仿宋_GB2312"/>
          <w:b/>
          <w:bCs/>
          <w:sz w:val="32"/>
          <w:szCs w:val="32"/>
          <w:highlight w:val="none"/>
        </w:rPr>
      </w:pPr>
      <w:hyperlink w:anchor="_Toc29374" w:history="1">
        <w:r>
          <w:rPr>
            <w:rFonts w:ascii="仿宋_GB2312" w:eastAsia="仿宋_GB2312" w:hAnsi="仿宋_GB2312" w:cs="仿宋_GB2312" w:hint="eastAsia"/>
            <w:b/>
            <w:bCs/>
            <w:sz w:val="32"/>
            <w:szCs w:val="32"/>
            <w:highlight w:val="none"/>
          </w:rPr>
          <w:t>第二部分 部门决算情况说明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25314" w:history="1">
        <w:r>
          <w:rPr>
            <w:rFonts w:ascii="仿宋_GB2312" w:eastAsia="仿宋_GB2312" w:hAnsi="仿宋_GB2312" w:cs="仿宋_GB2312" w:hint="eastAsia"/>
            <w:bCs/>
            <w:kern w:val="0"/>
            <w:sz w:val="32"/>
            <w:szCs w:val="32"/>
            <w:highlight w:val="none"/>
          </w:rPr>
          <w:t>一、收入支出决算总体情况说明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12142" w:history="1">
        <w:r>
          <w:rPr>
            <w:rFonts w:ascii="仿宋_GB2312" w:eastAsia="仿宋_GB2312" w:hAnsi="仿宋_GB2312" w:cs="仿宋_GB2312" w:hint="eastAsia"/>
            <w:bCs/>
            <w:kern w:val="0"/>
            <w:sz w:val="32"/>
            <w:szCs w:val="32"/>
            <w:highlight w:val="none"/>
          </w:rPr>
          <w:t>二、收入决算情况说明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13201" w:history="1">
        <w:r>
          <w:rPr>
            <w:rFonts w:ascii="仿宋_GB2312" w:eastAsia="仿宋_GB2312" w:hAnsi="仿宋_GB2312" w:cs="仿宋_GB2312" w:hint="eastAsia"/>
            <w:bCs/>
            <w:kern w:val="0"/>
            <w:sz w:val="32"/>
            <w:szCs w:val="32"/>
            <w:highlight w:val="none"/>
          </w:rPr>
          <w:t>三、支出决算情况说明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26564" w:history="1">
        <w:r>
          <w:rPr>
            <w:rFonts w:ascii="仿宋_GB2312" w:eastAsia="仿宋_GB2312" w:hAnsi="仿宋_GB2312" w:cs="仿宋_GB2312" w:hint="eastAsia"/>
            <w:bCs/>
            <w:kern w:val="0"/>
            <w:sz w:val="32"/>
            <w:szCs w:val="32"/>
            <w:highlight w:val="none"/>
          </w:rPr>
          <w:t>四、财政拨款收入支出决算总体情况说明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20360" w:history="1">
        <w:r>
          <w:rPr>
            <w:rFonts w:ascii="仿宋_GB2312" w:eastAsia="仿宋_GB2312" w:hAnsi="仿宋_GB2312" w:cs="仿宋_GB2312" w:hint="eastAsia"/>
            <w:bCs/>
            <w:kern w:val="0"/>
            <w:sz w:val="32"/>
            <w:szCs w:val="32"/>
            <w:highlight w:val="none"/>
          </w:rPr>
          <w:t>五、一般公共预算财政拨款支出决算情况说明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30870" w:history="1">
        <w:r>
          <w:rPr>
            <w:rFonts w:ascii="仿宋_GB2312" w:eastAsia="仿宋_GB2312" w:hAnsi="仿宋_GB2312" w:cs="仿宋_GB2312" w:hint="eastAsia"/>
            <w:bCs/>
            <w:kern w:val="0"/>
            <w:sz w:val="32"/>
            <w:szCs w:val="32"/>
            <w:highlight w:val="none"/>
          </w:rPr>
          <w:t>六、一般公共预算财政拨款基本支出决算情况说明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21518" w:history="1">
        <w:r>
          <w:rPr>
            <w:rFonts w:ascii="仿宋_GB2312" w:eastAsia="仿宋_GB2312" w:hAnsi="仿宋_GB2312" w:cs="仿宋_GB2312" w:hint="eastAsia"/>
            <w:bCs/>
            <w:kern w:val="0"/>
            <w:sz w:val="32"/>
            <w:szCs w:val="32"/>
            <w:highlight w:val="none"/>
          </w:rPr>
          <w:t>七、财政拨款“三公”经费支出决算情况说明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5810" w:history="1">
        <w:r>
          <w:rPr>
            <w:rFonts w:ascii="仿宋_GB2312" w:eastAsia="仿宋_GB2312" w:hAnsi="仿宋_GB2312" w:cs="仿宋_GB2312" w:hint="eastAsia"/>
            <w:bCs/>
            <w:kern w:val="0"/>
            <w:sz w:val="32"/>
            <w:szCs w:val="32"/>
            <w:highlight w:val="none"/>
          </w:rPr>
          <w:t>八、政府性基金预算财政拨款收入支出决算情况说明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5810" w:history="1">
        <w:r>
          <w:rPr>
            <w:rFonts w:ascii="仿宋_GB2312" w:eastAsia="仿宋_GB2312" w:hAnsi="仿宋_GB2312" w:cs="仿宋_GB2312" w:hint="eastAsia"/>
            <w:bCs/>
            <w:kern w:val="0"/>
            <w:sz w:val="32"/>
            <w:szCs w:val="32"/>
            <w:highlight w:val="none"/>
          </w:rPr>
          <w:t>九、国有资本经营预算财政拨款收入支出决算情况说明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1235" w:history="1">
        <w:r>
          <w:rPr>
            <w:rFonts w:ascii="仿宋_GB2312" w:eastAsia="仿宋_GB2312" w:hAnsi="仿宋_GB2312" w:cs="仿宋_GB2312" w:hint="eastAsia"/>
            <w:bCs/>
            <w:kern w:val="0"/>
            <w:sz w:val="32"/>
            <w:szCs w:val="32"/>
            <w:highlight w:val="none"/>
          </w:rPr>
          <w:t>十、其他重要事项的情况说明</w:t>
        </w:r>
      </w:hyperlink>
    </w:p>
    <w:p>
      <w:pPr>
        <w:pStyle w:val="TOC3"/>
        <w:tabs>
          <w:tab w:val="right" w:pos="8306"/>
        </w:tabs>
        <w:ind w:left="0" w:leftChars="0"/>
        <w:rPr>
          <w:rFonts w:ascii="仿宋_GB2312" w:eastAsia="仿宋_GB2312" w:hAnsi="仿宋_GB2312" w:cs="仿宋_GB2312"/>
          <w:sz w:val="32"/>
          <w:szCs w:val="32"/>
          <w:highlight w:val="none"/>
        </w:rPr>
      </w:pPr>
      <w:hyperlink w:anchor="_Toc14519" w:history="1">
        <w:r>
          <w:rPr>
            <w:rFonts w:ascii="仿宋_GB2312" w:eastAsia="仿宋_GB2312" w:hAnsi="仿宋_GB2312" w:cs="仿宋_GB2312" w:hint="eastAsia"/>
            <w:sz w:val="32"/>
            <w:szCs w:val="32"/>
            <w:highlight w:val="none"/>
          </w:rPr>
          <w:t>（一）机关运行经费支出情况</w:t>
        </w:r>
      </w:hyperlink>
    </w:p>
    <w:p>
      <w:pPr>
        <w:pStyle w:val="TOC3"/>
        <w:tabs>
          <w:tab w:val="right" w:pos="8306"/>
        </w:tabs>
        <w:ind w:left="0" w:leftChars="0"/>
        <w:rPr>
          <w:rFonts w:ascii="仿宋_GB2312" w:eastAsia="仿宋_GB2312" w:hAnsi="仿宋_GB2312" w:cs="仿宋_GB2312"/>
          <w:sz w:val="32"/>
          <w:szCs w:val="32"/>
          <w:highlight w:val="none"/>
        </w:rPr>
      </w:pPr>
      <w:hyperlink w:anchor="_Toc227" w:history="1">
        <w:r>
          <w:rPr>
            <w:rFonts w:ascii="仿宋_GB2312" w:eastAsia="仿宋_GB2312" w:hAnsi="仿宋_GB2312" w:cs="仿宋_GB2312" w:hint="eastAsia"/>
            <w:sz w:val="32"/>
            <w:szCs w:val="32"/>
            <w:highlight w:val="none"/>
          </w:rPr>
          <w:t>（二）政府采购情况</w:t>
        </w:r>
      </w:hyperlink>
    </w:p>
    <w:p>
      <w:pPr>
        <w:pStyle w:val="TOC3"/>
        <w:tabs>
          <w:tab w:val="right" w:pos="8306"/>
        </w:tabs>
        <w:ind w:left="0" w:leftChars="0"/>
        <w:rPr>
          <w:rFonts w:ascii="仿宋_GB2312" w:eastAsia="仿宋_GB2312" w:hAnsi="仿宋_GB2312" w:cs="仿宋_GB2312"/>
          <w:sz w:val="32"/>
          <w:szCs w:val="32"/>
          <w:highlight w:val="none"/>
        </w:rPr>
      </w:pPr>
      <w:hyperlink w:anchor="_Toc8391" w:history="1">
        <w:r>
          <w:rPr>
            <w:rFonts w:ascii="仿宋_GB2312" w:eastAsia="仿宋_GB2312" w:hAnsi="仿宋_GB2312" w:cs="仿宋_GB2312" w:hint="eastAsia"/>
            <w:sz w:val="32"/>
            <w:szCs w:val="32"/>
            <w:highlight w:val="none"/>
          </w:rPr>
          <w:t>（三）国有资产占用情况说明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11283" w:history="1">
        <w:r>
          <w:rPr>
            <w:rFonts w:ascii="仿宋_GB2312" w:eastAsia="仿宋_GB2312" w:hAnsi="仿宋_GB2312" w:cs="仿宋_GB2312" w:hint="eastAsia"/>
            <w:bCs/>
            <w:kern w:val="0"/>
            <w:sz w:val="32"/>
            <w:szCs w:val="32"/>
            <w:highlight w:val="none"/>
          </w:rPr>
          <w:t>十一、预算绩效的情况说明</w:t>
        </w:r>
      </w:hyperlink>
    </w:p>
    <w:p>
      <w:pPr>
        <w:pStyle w:val="TOC1"/>
        <w:tabs>
          <w:tab w:val="right" w:pos="8306"/>
        </w:tabs>
        <w:rPr>
          <w:rFonts w:ascii="仿宋_GB2312" w:eastAsia="仿宋_GB2312" w:hAnsi="仿宋_GB2312" w:cs="仿宋_GB2312"/>
          <w:b/>
          <w:bCs/>
          <w:sz w:val="32"/>
          <w:szCs w:val="32"/>
          <w:highlight w:val="none"/>
        </w:rPr>
      </w:pPr>
      <w:hyperlink w:anchor="_Toc3250" w:history="1">
        <w:r>
          <w:rPr>
            <w:rFonts w:ascii="仿宋_GB2312" w:eastAsia="仿宋_GB2312" w:hAnsi="仿宋_GB2312" w:cs="仿宋_GB2312" w:hint="eastAsia"/>
            <w:b/>
            <w:bCs/>
            <w:sz w:val="32"/>
            <w:szCs w:val="32"/>
            <w:highlight w:val="none"/>
          </w:rPr>
          <w:t>第三部分 专业名词解释</w:t>
        </w:r>
      </w:hyperlink>
    </w:p>
    <w:p>
      <w:pPr>
        <w:pStyle w:val="TOC1"/>
        <w:tabs>
          <w:tab w:val="right" w:pos="8306"/>
        </w:tabs>
        <w:rPr>
          <w:rFonts w:ascii="仿宋_GB2312" w:eastAsia="仿宋_GB2312" w:hAnsi="仿宋_GB2312" w:cs="仿宋_GB2312"/>
          <w:b/>
          <w:bCs/>
          <w:sz w:val="32"/>
          <w:szCs w:val="32"/>
          <w:highlight w:val="none"/>
        </w:rPr>
      </w:pPr>
      <w:hyperlink w:anchor="_Toc22784" w:history="1">
        <w:r>
          <w:rPr>
            <w:rFonts w:ascii="仿宋_GB2312" w:eastAsia="仿宋_GB2312" w:hAnsi="仿宋_GB2312" w:cs="仿宋_GB2312" w:hint="eastAsia"/>
            <w:b/>
            <w:bCs/>
            <w:sz w:val="32"/>
            <w:szCs w:val="32"/>
            <w:highlight w:val="none"/>
          </w:rPr>
          <w:t>第四部分 部门决算报表（见附表）</w:t>
        </w:r>
      </w:hyperlink>
    </w:p>
    <w:p>
      <w:pPr>
        <w:pStyle w:val="TOC2"/>
        <w:tabs>
          <w:tab w:val="right" w:pos="8306"/>
        </w:tabs>
        <w:ind w:left="0" w:leftChars="0"/>
        <w:rPr>
          <w:rFonts w:ascii="仿宋_GB2312" w:eastAsia="仿宋_GB2312" w:hAnsi="仿宋_GB2312" w:cs="仿宋_GB2312"/>
          <w:sz w:val="32"/>
          <w:szCs w:val="32"/>
          <w:highlight w:val="none"/>
        </w:rPr>
      </w:pPr>
      <w:hyperlink w:anchor="_Toc2183" w:history="1">
        <w:r>
          <w:rPr>
            <w:rFonts w:ascii="仿宋_GB2312" w:eastAsia="仿宋_GB2312" w:hAnsi="仿宋_GB2312" w:cs="仿宋_GB2312" w:hint="eastAsia"/>
            <w:bCs/>
            <w:kern w:val="0"/>
            <w:sz w:val="32"/>
            <w:szCs w:val="32"/>
            <w:highlight w:val="none"/>
          </w:rPr>
          <w:t>一、《收入支出决算总表》</w:t>
        </w:r>
      </w:hyperlink>
    </w:p>
    <w:p>
      <w:pPr>
        <w:pStyle w:val="TOC2"/>
        <w:tabs>
          <w:tab w:val="right" w:pos="8306"/>
        </w:tabs>
        <w:ind w:left="0" w:leftChars="0"/>
        <w:rPr>
          <w:rFonts w:ascii="仿宋_GB2312" w:eastAsia="仿宋_GB2312" w:hAnsi="仿宋_GB2312" w:cs="仿宋_GB2312"/>
          <w:sz w:val="32"/>
          <w:szCs w:val="32"/>
          <w:highlight w:val="none"/>
        </w:rPr>
      </w:pPr>
      <w:hyperlink w:anchor="_Toc24532" w:history="1">
        <w:r>
          <w:rPr>
            <w:rFonts w:ascii="仿宋_GB2312" w:eastAsia="仿宋_GB2312" w:hAnsi="仿宋_GB2312" w:cs="仿宋_GB2312" w:hint="eastAsia"/>
            <w:bCs/>
            <w:kern w:val="0"/>
            <w:sz w:val="32"/>
            <w:szCs w:val="32"/>
            <w:highlight w:val="none"/>
          </w:rPr>
          <w:t>二、《收入决算表》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32434" w:history="1">
        <w:r>
          <w:rPr>
            <w:rFonts w:ascii="仿宋_GB2312" w:eastAsia="仿宋_GB2312" w:hAnsi="仿宋_GB2312" w:cs="仿宋_GB2312" w:hint="eastAsia"/>
            <w:bCs/>
            <w:kern w:val="0"/>
            <w:sz w:val="32"/>
            <w:szCs w:val="32"/>
            <w:highlight w:val="none"/>
          </w:rPr>
          <w:t>三、《支出决算表》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28786" w:history="1">
        <w:r>
          <w:rPr>
            <w:rFonts w:ascii="仿宋_GB2312" w:eastAsia="仿宋_GB2312" w:hAnsi="仿宋_GB2312" w:cs="仿宋_GB2312" w:hint="eastAsia"/>
            <w:bCs/>
            <w:kern w:val="0"/>
            <w:sz w:val="32"/>
            <w:szCs w:val="32"/>
            <w:highlight w:val="none"/>
          </w:rPr>
          <w:t>四、《财政拨款收入支出决算总表》</w:t>
        </w:r>
      </w:hyperlink>
    </w:p>
    <w:p>
      <w:pPr>
        <w:pStyle w:val="TOC2"/>
        <w:tabs>
          <w:tab w:val="right" w:pos="8306"/>
        </w:tabs>
        <w:ind w:left="0" w:leftChars="0"/>
        <w:rPr>
          <w:rFonts w:ascii="仿宋_GB2312" w:eastAsia="仿宋_GB2312" w:hAnsi="仿宋_GB2312" w:cs="仿宋_GB2312"/>
          <w:sz w:val="32"/>
          <w:szCs w:val="32"/>
          <w:highlight w:val="none"/>
        </w:rPr>
      </w:pPr>
      <w:hyperlink w:anchor="_Toc14869" w:history="1">
        <w:r>
          <w:rPr>
            <w:rFonts w:ascii="仿宋_GB2312" w:eastAsia="仿宋_GB2312" w:hAnsi="仿宋_GB2312" w:cs="仿宋_GB2312" w:hint="eastAsia"/>
            <w:bCs/>
            <w:kern w:val="0"/>
            <w:sz w:val="32"/>
            <w:szCs w:val="32"/>
            <w:highlight w:val="none"/>
          </w:rPr>
          <w:t>五、《一般公共预算财政拨款支出决算表》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8884" w:history="1">
        <w:r>
          <w:rPr>
            <w:rFonts w:ascii="仿宋_GB2312" w:eastAsia="仿宋_GB2312" w:hAnsi="仿宋_GB2312" w:cs="仿宋_GB2312" w:hint="eastAsia"/>
            <w:bCs/>
            <w:kern w:val="0"/>
            <w:sz w:val="32"/>
            <w:szCs w:val="32"/>
            <w:highlight w:val="none"/>
          </w:rPr>
          <w:t>六、《一般公共预算财政拨款基本支出决算表》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29106" w:history="1">
        <w:r>
          <w:rPr>
            <w:rFonts w:ascii="仿宋_GB2312" w:eastAsia="仿宋_GB2312" w:hAnsi="仿宋_GB2312" w:cs="仿宋_GB2312" w:hint="eastAsia"/>
            <w:bCs/>
            <w:kern w:val="0"/>
            <w:sz w:val="32"/>
            <w:szCs w:val="32"/>
            <w:highlight w:val="none"/>
          </w:rPr>
          <w:t>七、《财政拨款“三公”经费支出决算表》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7643" w:history="1">
        <w:r>
          <w:rPr>
            <w:rFonts w:ascii="仿宋_GB2312" w:eastAsia="仿宋_GB2312" w:hAnsi="仿宋_GB2312" w:cs="仿宋_GB2312" w:hint="eastAsia"/>
            <w:bCs/>
            <w:kern w:val="0"/>
            <w:sz w:val="32"/>
            <w:szCs w:val="32"/>
            <w:highlight w:val="none"/>
          </w:rPr>
          <w:t>八、《政府性基金预算财政拨款收入支出决算表》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7643" w:history="1">
        <w:r>
          <w:rPr>
            <w:rFonts w:ascii="仿宋_GB2312" w:eastAsia="仿宋_GB2312" w:hAnsi="仿宋_GB2312" w:cs="仿宋_GB2312" w:hint="eastAsia"/>
            <w:bCs/>
            <w:kern w:val="0"/>
            <w:sz w:val="32"/>
            <w:szCs w:val="32"/>
            <w:highlight w:val="none"/>
          </w:rPr>
          <w:t>九、《国有资本经营预算财政拨款收入支出决算表》</w:t>
        </w:r>
      </w:hyperlink>
    </w:p>
    <w:p>
      <w:pPr>
        <w:rPr>
          <w:highlight w:val="none"/>
        </w:rPr>
      </w:pPr>
      <w:r>
        <w:rPr>
          <w:rFonts w:ascii="仿宋_GB2312" w:eastAsia="仿宋_GB2312" w:hAnsi="仿宋_GB2312" w:cs="仿宋_GB2312" w:hint="eastAsia"/>
          <w:sz w:val="32"/>
          <w:szCs w:val="32"/>
          <w:highlight w:val="none"/>
        </w:rPr>
        <w:fldChar w:fldCharType="end"/>
      </w:r>
    </w:p>
    <w:p>
      <w:pPr>
        <w:ind w:firstLine="640" w:firstLineChars="200"/>
        <w:jc w:val="center"/>
        <w:outlineLvl w:val="0"/>
        <w:rPr>
          <w:rFonts w:ascii="黑体" w:eastAsia="黑体" w:hAnsi="黑体"/>
          <w:sz w:val="32"/>
          <w:szCs w:val="32"/>
          <w:highlight w:val="none"/>
        </w:rPr>
      </w:pPr>
      <w:r>
        <w:rPr>
          <w:rFonts w:ascii="仿宋_GB2312" w:eastAsia="仿宋_GB2312" w:hint="eastAsia"/>
          <w:sz w:val="32"/>
          <w:szCs w:val="32"/>
          <w:highlight w:val="none"/>
        </w:rPr>
        <w:br w:type="page"/>
      </w:r>
      <w:bookmarkStart w:id="1" w:name="_Toc24028"/>
      <w:bookmarkStart w:id="2" w:name="_Toc32314"/>
      <w:r>
        <w:rPr>
          <w:rFonts w:ascii="黑体" w:eastAsia="黑体" w:hAnsi="黑体" w:hint="eastAsia"/>
          <w:sz w:val="32"/>
          <w:szCs w:val="32"/>
          <w:highlight w:val="none"/>
        </w:rPr>
        <w:t>第一部分 单位概况</w:t>
      </w:r>
      <w:bookmarkEnd w:id="1"/>
      <w:bookmarkEnd w:id="2"/>
    </w:p>
    <w:p>
      <w:pPr>
        <w:ind w:firstLine="640" w:firstLineChars="200"/>
        <w:outlineLvl w:val="1"/>
        <w:rPr>
          <w:rFonts w:ascii="黑体" w:eastAsia="黑体" w:hAnsi="黑体" w:cs="宋体"/>
          <w:bCs/>
          <w:kern w:val="0"/>
          <w:sz w:val="32"/>
          <w:szCs w:val="32"/>
          <w:highlight w:val="none"/>
        </w:rPr>
      </w:pPr>
      <w:bookmarkStart w:id="3" w:name="_Toc30738"/>
      <w:bookmarkStart w:id="4" w:name="_Toc30567"/>
      <w:r>
        <w:rPr>
          <w:rFonts w:ascii="黑体" w:eastAsia="黑体" w:hAnsi="黑体" w:cs="宋体" w:hint="eastAsia"/>
          <w:bCs/>
          <w:kern w:val="0"/>
          <w:sz w:val="32"/>
          <w:szCs w:val="32"/>
          <w:highlight w:val="none"/>
        </w:rPr>
        <w:t>一、主要职能</w:t>
      </w:r>
      <w:bookmarkEnd w:id="3"/>
      <w:bookmarkEnd w:id="4"/>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乌苏市人民武装部是同级党委的军事乌苏市人民武装部是同级党委的军事部和政府的兵役机关，受上级军事部门和同级党委、政府领导，负责民兵预备役工作，其职责：</w:t>
      </w:r>
      <w:r>
        <w:rPr>
          <w:rFonts w:ascii="仿宋_GB2312" w:eastAsia="仿宋_GB2312" w:hint="eastAsia"/>
          <w:sz w:val="32"/>
          <w:szCs w:val="32"/>
          <w:highlight w:val="none"/>
        </w:rPr>
        <w:br/>
      </w:r>
      <w:r>
        <w:rPr>
          <w:rFonts w:ascii="仿宋_GB2312" w:eastAsia="仿宋_GB2312" w:hint="eastAsia"/>
          <w:sz w:val="32"/>
          <w:szCs w:val="32"/>
          <w:highlight w:val="none"/>
        </w:rPr>
        <w:t>　　（一）负责民兵组织建设、政治教育、军事训练和战备工作。</w:t>
      </w:r>
      <w:r>
        <w:rPr>
          <w:rFonts w:ascii="仿宋_GB2312" w:eastAsia="仿宋_GB2312" w:hint="eastAsia"/>
          <w:sz w:val="32"/>
          <w:szCs w:val="32"/>
          <w:highlight w:val="none"/>
        </w:rPr>
        <w:br/>
      </w:r>
      <w:r>
        <w:rPr>
          <w:rFonts w:ascii="仿宋_GB2312" w:eastAsia="仿宋_GB2312" w:hint="eastAsia"/>
          <w:sz w:val="32"/>
          <w:szCs w:val="32"/>
          <w:highlight w:val="none"/>
        </w:rPr>
        <w:t>　　（二）负责辖区内兵役登记、征兵、退伍军人预备役登记统计，负责民兵的装备管理。</w:t>
      </w:r>
      <w:r>
        <w:rPr>
          <w:rFonts w:ascii="仿宋_GB2312" w:eastAsia="仿宋_GB2312" w:hint="eastAsia"/>
          <w:sz w:val="32"/>
          <w:szCs w:val="32"/>
          <w:highlight w:val="none"/>
        </w:rPr>
        <w:br/>
      </w:r>
      <w:r>
        <w:rPr>
          <w:rFonts w:ascii="仿宋_GB2312" w:eastAsia="仿宋_GB2312" w:hint="eastAsia"/>
          <w:sz w:val="32"/>
          <w:szCs w:val="32"/>
          <w:highlight w:val="none"/>
        </w:rPr>
        <w:t>　　（三）负责辖区内的战争动员潜力调查、统计、拟制动员计划，会同有关部门做好战时兵员动员各项准备。</w:t>
      </w:r>
      <w:r>
        <w:rPr>
          <w:rFonts w:ascii="仿宋_GB2312" w:eastAsia="仿宋_GB2312" w:hint="eastAsia"/>
          <w:sz w:val="32"/>
          <w:szCs w:val="32"/>
          <w:highlight w:val="none"/>
        </w:rPr>
        <w:br/>
      </w:r>
      <w:r>
        <w:rPr>
          <w:rFonts w:ascii="仿宋_GB2312" w:eastAsia="仿宋_GB2312" w:hint="eastAsia"/>
          <w:sz w:val="32"/>
          <w:szCs w:val="32"/>
          <w:highlight w:val="none"/>
        </w:rPr>
        <w:t>　　（四）负责群众（民兵）信息网建设，及时掌握和报告边、社情况。</w:t>
      </w:r>
      <w:r>
        <w:rPr>
          <w:rFonts w:ascii="仿宋_GB2312" w:eastAsia="仿宋_GB2312" w:hint="eastAsia"/>
          <w:sz w:val="32"/>
          <w:szCs w:val="32"/>
          <w:highlight w:val="none"/>
        </w:rPr>
        <w:br/>
      </w:r>
      <w:r>
        <w:rPr>
          <w:rFonts w:ascii="仿宋_GB2312" w:eastAsia="仿宋_GB2312" w:hint="eastAsia"/>
          <w:sz w:val="32"/>
          <w:szCs w:val="32"/>
          <w:highlight w:val="none"/>
        </w:rPr>
        <w:t>　　（五）负责拟制应对边境突发事件的各类计划、方案，落实民兵联防。</w:t>
      </w:r>
      <w:r>
        <w:rPr>
          <w:rFonts w:ascii="仿宋_GB2312" w:eastAsia="仿宋_GB2312" w:hint="eastAsia"/>
          <w:sz w:val="32"/>
          <w:szCs w:val="32"/>
          <w:highlight w:val="none"/>
        </w:rPr>
        <w:br/>
      </w:r>
      <w:r>
        <w:rPr>
          <w:rFonts w:ascii="仿宋_GB2312" w:eastAsia="仿宋_GB2312" w:hint="eastAsia"/>
          <w:sz w:val="32"/>
          <w:szCs w:val="32"/>
          <w:highlight w:val="none"/>
        </w:rPr>
        <w:t>　　（六）负责组织民兵参加军警民联防，带领民兵完成战备执勤任务。</w:t>
      </w:r>
      <w:r>
        <w:rPr>
          <w:rFonts w:ascii="仿宋_GB2312" w:eastAsia="仿宋_GB2312" w:hint="eastAsia"/>
          <w:sz w:val="32"/>
          <w:szCs w:val="32"/>
          <w:highlight w:val="none"/>
        </w:rPr>
        <w:br/>
      </w:r>
      <w:r>
        <w:rPr>
          <w:rFonts w:ascii="仿宋_GB2312" w:eastAsia="仿宋_GB2312" w:hint="eastAsia"/>
          <w:sz w:val="32"/>
          <w:szCs w:val="32"/>
          <w:highlight w:val="none"/>
        </w:rPr>
        <w:t>　　（七）负责本级国防动员委员会和人民武装委员会日常工作。</w:t>
      </w:r>
      <w:r>
        <w:rPr>
          <w:rFonts w:ascii="仿宋_GB2312" w:eastAsia="仿宋_GB2312" w:hint="eastAsia"/>
          <w:sz w:val="32"/>
          <w:szCs w:val="32"/>
          <w:highlight w:val="none"/>
        </w:rPr>
        <w:br/>
      </w:r>
      <w:r>
        <w:rPr>
          <w:rFonts w:ascii="仿宋_GB2312" w:eastAsia="仿宋_GB2312" w:hint="eastAsia"/>
          <w:sz w:val="32"/>
          <w:szCs w:val="32"/>
          <w:highlight w:val="none"/>
        </w:rPr>
        <w:t>　　（八）负责组织民兵参加经济建设和以劳养武工作，组织民兵参加抢险救灾和完成其他急难险重任务。</w:t>
      </w:r>
      <w:r>
        <w:rPr>
          <w:rFonts w:ascii="仿宋_GB2312" w:eastAsia="仿宋_GB2312" w:hint="eastAsia"/>
          <w:sz w:val="32"/>
          <w:szCs w:val="32"/>
          <w:highlight w:val="none"/>
        </w:rPr>
        <w:br/>
      </w:r>
      <w:r>
        <w:rPr>
          <w:rFonts w:ascii="仿宋_GB2312" w:eastAsia="仿宋_GB2312" w:hint="eastAsia"/>
          <w:sz w:val="32"/>
          <w:szCs w:val="32"/>
          <w:highlight w:val="none"/>
        </w:rPr>
        <w:t>　　（九）协同地方有关部门搞好维护军人、军属合法权益工作，配合有关部门做好退出现役军人的接受安置和军烈属优抚工作。</w:t>
      </w:r>
    </w:p>
    <w:p>
      <w:pPr>
        <w:ind w:firstLine="640" w:firstLineChars="200"/>
        <w:outlineLvl w:val="1"/>
        <w:rPr>
          <w:rFonts w:ascii="黑体" w:eastAsia="黑体" w:hAnsi="黑体" w:cs="宋体"/>
          <w:bCs/>
          <w:kern w:val="0"/>
          <w:sz w:val="32"/>
          <w:szCs w:val="32"/>
          <w:highlight w:val="none"/>
        </w:rPr>
      </w:pPr>
      <w:bookmarkStart w:id="5" w:name="_Toc31238"/>
      <w:bookmarkStart w:id="6" w:name="_Toc2151"/>
      <w:r>
        <w:rPr>
          <w:rFonts w:ascii="黑体" w:eastAsia="黑体" w:hAnsi="黑体" w:cs="宋体" w:hint="eastAsia"/>
          <w:bCs/>
          <w:kern w:val="0"/>
          <w:sz w:val="32"/>
          <w:szCs w:val="32"/>
          <w:highlight w:val="none"/>
        </w:rPr>
        <w:t>二、机构设置及</w:t>
      </w:r>
      <w:bookmarkEnd w:id="5"/>
      <w:r>
        <w:rPr>
          <w:rFonts w:ascii="黑体" w:eastAsia="黑体" w:hAnsi="黑体" w:cs="宋体" w:hint="eastAsia"/>
          <w:bCs/>
          <w:kern w:val="0"/>
          <w:sz w:val="32"/>
          <w:szCs w:val="32"/>
          <w:highlight w:val="none"/>
        </w:rPr>
        <w:t>人员情况</w:t>
      </w:r>
      <w:bookmarkEnd w:id="6"/>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新疆塔城地区中国人民解放军新疆乌苏市人民武装部2022年度，实有人数12人，其中：在职人员8人，离休人员0人，退休人员4人。</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从部门决算单位构成看，新疆塔城地区中国人民解放军新疆乌苏市人民武装部部门决算包括：新疆塔城地区中国人民解放军新疆乌苏市人民武装部决算。单位无下属预算单位，下设3个处室，分别是：军事科、政治工作科、保障科。</w:t>
      </w:r>
    </w:p>
    <w:p>
      <w:pPr>
        <w:ind w:firstLine="560" w:firstLineChars="200"/>
        <w:jc w:val="center"/>
        <w:outlineLvl w:val="0"/>
        <w:rPr>
          <w:rFonts w:ascii="黑体" w:eastAsia="黑体" w:hAnsi="黑体"/>
          <w:sz w:val="32"/>
          <w:szCs w:val="32"/>
          <w:highlight w:val="none"/>
        </w:rPr>
      </w:pPr>
      <w:bookmarkStart w:id="7" w:name="_Toc3092"/>
      <w:bookmarkStart w:id="8" w:name="_Toc29374"/>
      <w:r>
        <w:rPr>
          <w:rFonts w:ascii="黑体"/>
          <w:b/>
          <w:kern w:val="44"/>
          <w:sz w:val="28"/>
          <w:highlight w:val="none"/>
        </w:rPr>
        <w:br w:type="page"/>
      </w:r>
      <w:r>
        <w:rPr>
          <w:rFonts w:ascii="黑体"/>
          <w:b/>
          <w:spacing w:val="40"/>
          <w:sz w:val="28"/>
          <w:highlight w:val="none"/>
        </w:rPr>
        <w:t xml:space="preserve"> </w:t>
      </w:r>
      <w:r>
        <w:rPr>
          <w:rFonts w:ascii="黑体" w:eastAsia="黑体" w:hAnsi="黑体" w:hint="eastAsia"/>
          <w:sz w:val="32"/>
          <w:szCs w:val="32"/>
          <w:highlight w:val="none"/>
        </w:rPr>
        <w:t>第二部分 部门决算情况说明</w:t>
      </w:r>
      <w:bookmarkEnd w:id="7"/>
      <w:bookmarkEnd w:id="8"/>
    </w:p>
    <w:p>
      <w:pPr>
        <w:ind w:firstLine="640" w:firstLineChars="200"/>
        <w:outlineLvl w:val="1"/>
        <w:rPr>
          <w:rFonts w:ascii="黑体" w:eastAsia="黑体" w:hAnsi="黑体" w:cs="宋体"/>
          <w:bCs/>
          <w:kern w:val="0"/>
          <w:sz w:val="32"/>
          <w:szCs w:val="32"/>
          <w:highlight w:val="none"/>
        </w:rPr>
      </w:pPr>
      <w:bookmarkStart w:id="9" w:name="_Toc25314"/>
      <w:bookmarkStart w:id="10" w:name="_Toc12566"/>
      <w:r>
        <w:rPr>
          <w:rFonts w:ascii="黑体" w:eastAsia="黑体" w:hAnsi="黑体" w:cs="宋体" w:hint="eastAsia"/>
          <w:bCs/>
          <w:kern w:val="0"/>
          <w:sz w:val="32"/>
          <w:szCs w:val="32"/>
          <w:highlight w:val="none"/>
        </w:rPr>
        <w:t>一、收入支出决算总体情况说明</w:t>
      </w:r>
      <w:bookmarkEnd w:id="9"/>
      <w:bookmarkEnd w:id="10"/>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收入总计121.41万元，其中：本年收入合计121.41万元，使用非财政拨款结余0.00万元，年初结转和结余0.00万元。收入总计与上年相比，增加32.67万元，增长36.82%，主要原因是：人员工资增加，社保、公积金基数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补发2020年大绩效、补发基础绩效奖励金。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本年支出总计121.41万元，其中：本年支出合计121.41万元，结余分配0.00万元，年末结转和结余0.00万元。支出总计与上年相比，增加32.67万元，增长36.82%，主要原因是：人员工资增加，社保、公积金基数增加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补发2020年大绩效、补发基础绩效奖励金。</w:t>
      </w:r>
    </w:p>
    <w:p>
      <w:pPr>
        <w:ind w:firstLine="640" w:firstLineChars="200"/>
        <w:outlineLvl w:val="1"/>
        <w:rPr>
          <w:rFonts w:ascii="黑体" w:eastAsia="黑体" w:hAnsi="黑体" w:cs="宋体"/>
          <w:bCs/>
          <w:kern w:val="0"/>
          <w:sz w:val="32"/>
          <w:szCs w:val="32"/>
          <w:highlight w:val="none"/>
        </w:rPr>
      </w:pPr>
      <w:bookmarkStart w:id="11" w:name="_Toc1979"/>
      <w:bookmarkStart w:id="12" w:name="_Toc12142"/>
      <w:r>
        <w:rPr>
          <w:rFonts w:ascii="黑体" w:eastAsia="黑体" w:hAnsi="黑体" w:cs="宋体" w:hint="eastAsia"/>
          <w:bCs/>
          <w:kern w:val="0"/>
          <w:sz w:val="32"/>
          <w:szCs w:val="32"/>
          <w:highlight w:val="none"/>
        </w:rPr>
        <w:t>二、收入决算情况说明</w:t>
      </w:r>
      <w:bookmarkEnd w:id="11"/>
      <w:bookmarkEnd w:id="12"/>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本年收入121.41万元，其中：财政拨款收入121.41万元，占100.00%；上级补助收入0.00万元，占0.00%；事业收入0.00万元，占0.00%；经营收入0.00万元，占0.00%；附属单位上缴收入0.00万元，占0.00%；其他收入0.00万元，占0.00%。</w:t>
      </w:r>
    </w:p>
    <w:p>
      <w:pPr>
        <w:ind w:firstLine="640" w:firstLineChars="200"/>
        <w:outlineLvl w:val="1"/>
        <w:rPr>
          <w:rFonts w:ascii="黑体" w:eastAsia="黑体" w:hAnsi="黑体" w:cs="宋体"/>
          <w:bCs/>
          <w:kern w:val="0"/>
          <w:sz w:val="32"/>
          <w:szCs w:val="32"/>
          <w:highlight w:val="none"/>
        </w:rPr>
      </w:pPr>
      <w:bookmarkStart w:id="13" w:name="_Toc27961"/>
      <w:bookmarkStart w:id="14" w:name="_Toc13201"/>
      <w:r>
        <w:rPr>
          <w:rFonts w:ascii="黑体" w:eastAsia="黑体" w:hAnsi="黑体" w:cs="宋体" w:hint="eastAsia"/>
          <w:bCs/>
          <w:kern w:val="0"/>
          <w:sz w:val="32"/>
          <w:szCs w:val="32"/>
          <w:highlight w:val="none"/>
        </w:rPr>
        <w:t>三、支出决算情况说明</w:t>
      </w:r>
      <w:bookmarkEnd w:id="13"/>
      <w:bookmarkEnd w:id="14"/>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2022年度本年支出121.41万元，其中：基本支出111.41万元，占91.76%；项目支出10.00万元，占8.24%；上缴上级支出0.00万元，占0.00%；经营支出0.00万元，占0.00%；对附属单位补助支出0.00万元，占0.00%。</w:t>
      </w:r>
    </w:p>
    <w:p>
      <w:pPr>
        <w:ind w:firstLine="640" w:firstLineChars="200"/>
        <w:outlineLvl w:val="1"/>
        <w:rPr>
          <w:rFonts w:ascii="黑体" w:eastAsia="黑体" w:hAnsi="黑体" w:cs="宋体"/>
          <w:bCs/>
          <w:kern w:val="0"/>
          <w:sz w:val="32"/>
          <w:szCs w:val="32"/>
          <w:highlight w:val="none"/>
        </w:rPr>
      </w:pPr>
      <w:bookmarkStart w:id="15" w:name="_Toc26564"/>
      <w:bookmarkStart w:id="16" w:name="_Toc4393"/>
      <w:r>
        <w:rPr>
          <w:rFonts w:ascii="黑体" w:eastAsia="黑体" w:hAnsi="黑体" w:cs="宋体" w:hint="eastAsia"/>
          <w:bCs/>
          <w:kern w:val="0"/>
          <w:sz w:val="32"/>
          <w:szCs w:val="32"/>
          <w:highlight w:val="none"/>
        </w:rPr>
        <w:t>四、财政拨款收入支出决算总体情况说明</w:t>
      </w:r>
      <w:bookmarkEnd w:id="15"/>
      <w:bookmarkEnd w:id="16"/>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财政拨款收入总计121.41万元，其中：年初财政拨款结转和结余0.00万元，财政拨款本年收入121.41万元。财政拨款收入总计与上年相比，增加32.67万元，增长36.82%，主要原因是：人员工资增加，社保、公积金基数增加、补发2020年大绩效、补发基础绩效奖励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财政拨款支出总计121.41万元，其中：年末财政拨款结转和结余0.00万元，财政拨款本年支出121.41万元。财政拨款支出总计与上年相比，增加32.67万元，增长36.82%，主要原因是：人员工资增加，社保、公积金基数增加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补发2020年大绩效、补发基础绩效奖励金。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与年初预算数相比情况：财政拨款收入总计年初预算数83.41万元，决算数121.41万元，预决算差异率45.56%，主要原因是：人员工资增加，社保、公积金基数增加、补发2020年大绩效、补发基础绩效奖励金。财政拨款支出总计年初预算数83.41万元，决算数121.41万元，预决算差异率45.56%，主要原因是：人员工资增加，社保、公积金基数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补发2020年大绩效、补发基础绩效奖励金。</w:t>
      </w:r>
    </w:p>
    <w:p>
      <w:pPr>
        <w:ind w:firstLine="640" w:firstLineChars="200"/>
        <w:outlineLvl w:val="1"/>
        <w:rPr>
          <w:rFonts w:ascii="黑体" w:eastAsia="黑体" w:hAnsi="黑体" w:cs="宋体"/>
          <w:bCs/>
          <w:kern w:val="0"/>
          <w:sz w:val="32"/>
          <w:szCs w:val="32"/>
          <w:highlight w:val="none"/>
        </w:rPr>
      </w:pPr>
      <w:r>
        <w:rPr>
          <w:rFonts w:ascii="黑体" w:eastAsia="黑体" w:hAnsi="黑体" w:cs="宋体" w:hint="eastAsia"/>
          <w:bCs/>
          <w:kern w:val="0"/>
          <w:sz w:val="32"/>
          <w:szCs w:val="32"/>
          <w:highlight w:val="none"/>
        </w:rPr>
        <w:t>五、一般公共预算财政拨款支出决算情况说明</w:t>
      </w:r>
    </w:p>
    <w:p>
      <w:pPr>
        <w:ind w:firstLine="640" w:firstLineChars="200"/>
        <w:outlineLvl w:val="1"/>
        <w:rPr>
          <w:rFonts w:ascii="黑体" w:eastAsia="黑体" w:hAnsi="黑体" w:cs="宋体"/>
          <w:bCs/>
          <w:kern w:val="0"/>
          <w:sz w:val="32"/>
          <w:szCs w:val="32"/>
          <w:highlight w:val="none"/>
        </w:rPr>
      </w:pPr>
      <w:r>
        <w:rPr>
          <w:rFonts w:ascii="黑体" w:eastAsia="黑体" w:hAnsi="黑体" w:cs="宋体" w:hint="eastAsia"/>
          <w:bCs/>
          <w:kern w:val="0"/>
          <w:sz w:val="32"/>
          <w:szCs w:val="32"/>
          <w:highlight w:val="none"/>
        </w:rPr>
        <w:t>（一）一般公共预算财政拨款支出决算总体情况</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2022年度一般公共预算财政拨款支出121.41万元，占本年支出合计的100.00%，与上年相比，增加32.67万元，增长36.82%，主要原因是：人员工资增加，社保、公积金基数增加、补发2020年大绩效、补发基础绩效奖励金。</w:t>
      </w:r>
    </w:p>
    <w:p>
      <w:pPr>
        <w:ind w:firstLine="640" w:firstLineChars="200"/>
        <w:outlineLvl w:val="1"/>
        <w:rPr>
          <w:rFonts w:ascii="黑体" w:eastAsia="黑体" w:hAnsi="黑体" w:cs="宋体"/>
          <w:bCs/>
          <w:kern w:val="0"/>
          <w:sz w:val="32"/>
          <w:szCs w:val="32"/>
          <w:highlight w:val="none"/>
        </w:rPr>
      </w:pPr>
      <w:r>
        <w:rPr>
          <w:rFonts w:ascii="黑体" w:eastAsia="黑体" w:hAnsi="黑体" w:cs="宋体" w:hint="eastAsia"/>
          <w:bCs/>
          <w:kern w:val="0"/>
          <w:sz w:val="32"/>
          <w:szCs w:val="32"/>
          <w:highlight w:val="none"/>
        </w:rPr>
        <w:t>（二）一般公共预算财政拨款支出决算结构情况</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1.一般公共服务支出（类）98.99万元，占81.54%。</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2.社会保障和就业支出（类）9.52万元，占7.85%。</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3.卫生健康支出（类）6.09万元，占5.02%。</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4.住房保障支出（类）6.80万元，占5.60%。</w:t>
      </w:r>
    </w:p>
    <w:p>
      <w:pPr>
        <w:ind w:firstLine="640" w:firstLineChars="200"/>
        <w:outlineLvl w:val="1"/>
        <w:rPr>
          <w:rFonts w:ascii="黑体" w:eastAsia="黑体" w:hAnsi="黑体" w:cs="宋体"/>
          <w:bCs/>
          <w:kern w:val="0"/>
          <w:sz w:val="32"/>
          <w:szCs w:val="32"/>
          <w:highlight w:val="none"/>
        </w:rPr>
      </w:pPr>
      <w:bookmarkStart w:id="17" w:name="_Toc20360"/>
      <w:bookmarkStart w:id="18" w:name="_Toc13833"/>
      <w:r>
        <w:rPr>
          <w:rFonts w:ascii="黑体" w:eastAsia="黑体" w:hAnsi="黑体" w:cs="宋体" w:hint="eastAsia"/>
          <w:bCs/>
          <w:kern w:val="0"/>
          <w:sz w:val="32"/>
          <w:szCs w:val="32"/>
          <w:highlight w:val="none"/>
        </w:rPr>
        <w:t>（三）一般公共预算财政拨款支出决算具体情况</w:t>
      </w:r>
      <w:bookmarkEnd w:id="17"/>
      <w:bookmarkEnd w:id="18"/>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1.一般公共服务支出（类）政府办公厅（室）及相关机构事务（款）行政运行（项）：支出决算数为88.99万元，比上年决算增加39.31万元，增长79.09%，主要原因是：人员工资增加，补发2020年大绩效、补发基础绩效奖励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一般公共服务支出（类）政府办公厅（室）及相关机构事务（款）其他政府办公厅（室）及相关机构事务支出（项）：支出决算数为10.00万元，比上年决算减少10.00万元，下降50.00%，主要原因是：响应国家规定，缩减不必要的开支，</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支出减少。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3.社会保障和就业支出（类）行政事业单位养老支出（款）事业单位离退休（项）：支出决算数为1.38万元，比上年决算增加1.38万元，增长100%，主要原因是：</w:t>
      </w:r>
      <w:r>
        <w:rPr>
          <w:rFonts w:ascii="仿宋_GB2312" w:eastAsia="仿宋_GB2312" w:hint="eastAsia"/>
          <w:sz w:val="32"/>
          <w:szCs w:val="32"/>
          <w:highlight w:val="none"/>
          <w:lang w:eastAsia="zh-CN"/>
        </w:rPr>
        <w:t>补发以前年度退休人员绩效奖励金</w:t>
      </w:r>
      <w:r>
        <w:rPr>
          <w:rFonts w:ascii="仿宋_GB2312" w:eastAsia="仿宋_GB2312" w:hint="eastAsia"/>
          <w:sz w:val="32"/>
          <w:szCs w:val="32"/>
          <w:highlight w:val="none"/>
        </w:rPr>
        <w:t>。</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4.社会保障和就业支出（类）行政事业单位养老支出（款）机关事业单位基本养老保险缴费支出（项）：支出决算数为8.14万元，比上年决算增加0.77万元，增长10.45%，主要原因是：人员社保基数比上年工资增加，社保基数增加</w:t>
      </w:r>
      <w:r>
        <w:rPr>
          <w:rFonts w:ascii="仿宋_GB2312" w:eastAsia="仿宋_GB2312" w:hint="eastAsia"/>
          <w:sz w:val="32"/>
          <w:szCs w:val="32"/>
          <w:highlight w:val="none"/>
          <w:lang w:val="en-US" w:eastAsia="zh-CN"/>
        </w:rPr>
        <w:t>,机关</w:t>
      </w:r>
      <w:r>
        <w:rPr>
          <w:rFonts w:ascii="仿宋_GB2312" w:eastAsia="仿宋_GB2312" w:hint="eastAsia"/>
          <w:sz w:val="32"/>
          <w:szCs w:val="32"/>
          <w:highlight w:val="none"/>
        </w:rPr>
        <w:t>养老支出比上年有所增加。</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5.卫生健康支出（类）行政事业单位医疗（款）事业单位医疗（项）：支出决算数为6.09万元，比上年决算减少0.31万元，下降4.99%，主要原因是：本年基本医疗缴费比例下降，因此支出比上年减少。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6.住房保障支出（类）住房改革支出（款）住房公积金（项）：支出决算数为6.80万元，比上年决算增加1.52万元，增长28.79%，主要原因是：本年人员工资比上年增加，公积金基数增加，支出数比上年数增加。</w:t>
      </w:r>
    </w:p>
    <w:p>
      <w:pPr>
        <w:ind w:firstLine="640" w:firstLineChars="200"/>
        <w:outlineLvl w:val="1"/>
        <w:rPr>
          <w:rFonts w:ascii="黑体" w:eastAsia="黑体" w:hAnsi="黑体" w:cs="宋体"/>
          <w:bCs/>
          <w:kern w:val="0"/>
          <w:sz w:val="32"/>
          <w:szCs w:val="32"/>
          <w:highlight w:val="none"/>
        </w:rPr>
      </w:pPr>
      <w:bookmarkStart w:id="19" w:name="_Toc30870"/>
      <w:bookmarkStart w:id="20" w:name="_Toc11146"/>
      <w:r>
        <w:rPr>
          <w:rFonts w:ascii="黑体" w:eastAsia="黑体" w:hAnsi="黑体" w:cs="宋体" w:hint="eastAsia"/>
          <w:bCs/>
          <w:kern w:val="0"/>
          <w:sz w:val="32"/>
          <w:szCs w:val="32"/>
          <w:highlight w:val="none"/>
        </w:rPr>
        <w:t>六、一般公共预算财政拨款基本支出决算情况说明</w:t>
      </w:r>
      <w:bookmarkEnd w:id="19"/>
      <w:bookmarkEnd w:id="20"/>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2022年度一般公共预算财政拨款基本支出111.41万元，其中：</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人员经费105.53万元，包括：基本工资、津贴补贴、奖金、机关事业单位基本养老保险缴费、职工基本医疗保险缴费、其他社会保障缴费、住房公积金、退休费。</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公用经费5.88万元，包括：取暖费。</w:t>
      </w:r>
    </w:p>
    <w:p>
      <w:pPr>
        <w:ind w:firstLine="640" w:firstLineChars="200"/>
        <w:outlineLvl w:val="1"/>
        <w:rPr>
          <w:rFonts w:ascii="黑体" w:eastAsia="黑体" w:hAnsi="黑体" w:cs="宋体"/>
          <w:bCs/>
          <w:kern w:val="0"/>
          <w:sz w:val="32"/>
          <w:szCs w:val="32"/>
          <w:highlight w:val="none"/>
        </w:rPr>
      </w:pPr>
      <w:bookmarkStart w:id="21" w:name="_Toc21518"/>
      <w:bookmarkStart w:id="22" w:name="_Toc7190"/>
      <w:r>
        <w:rPr>
          <w:rFonts w:ascii="黑体" w:eastAsia="黑体" w:hAnsi="黑体" w:cs="宋体" w:hint="eastAsia"/>
          <w:bCs/>
          <w:kern w:val="0"/>
          <w:sz w:val="32"/>
          <w:szCs w:val="32"/>
          <w:highlight w:val="none"/>
        </w:rPr>
        <w:t>七、财政拨款“三公”经费支出决算情况说明</w:t>
      </w:r>
      <w:bookmarkEnd w:id="21"/>
      <w:bookmarkEnd w:id="22"/>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2022年度财政拨款“三公”经费支出决算0.00万元，比上年增加0.00万元，增长0.00%，主要原因是：我单位无</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“三公”经费开支</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。其中：因公出国（境）费支出0.00万元，占0.00%，比上年增加0.00万元，增长0.00%，主要原因是：我单位无因公出国（境）费支出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；公务用车购置及运行维护费支出0.00万元，占0.00%，比上年增加0.00万元，增长0.00%，主要原因是：我单位无公务用车购置及运行维护费支出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；公务接待费支出0.00万元，占0.00%，比上年增加0.00万元，增长0.00%，主要原因是：我单位无公务接待费支出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因公出国（境）费支出0.00万元，开支内容包括我单位无因公出国（境）费支出。单位全年安排的因公出国（境）团组0个，因公出国（境）0人次。</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公务用车购置及运行维护费0.00万元，其中：公务用车购置费0.00万元，公务用车运行维护费0.00万元。公务用车运行维护费开支内容包括我单位无公务用车运行维护费开支。公务用车购置数0辆，公务用车保有量0辆。</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公务接待费0.00万元，开支内容包括我单位无公务接待费。单位全年安排的国内公务接待0批次，0人次。</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与全年预算数相比情况：</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“三公”经费支出全年预算数0.00万元，决算数0.00万元，预决算差异率0.00%，主要原因是：我单位未安排</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支出，预决算无差异。其中：因公出国（境）费全年预算数0.00万元，决算数0.00万元，预决算差异率0.00%，主要原因是：我单位未安排因公出国（境）费，预决算无差异；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ind w:firstLine="640" w:firstLineChars="200"/>
        <w:outlineLvl w:val="1"/>
        <w:rPr>
          <w:rFonts w:ascii="黑体" w:eastAsia="黑体" w:hAnsi="黑体" w:cs="宋体"/>
          <w:bCs/>
          <w:kern w:val="0"/>
          <w:sz w:val="32"/>
          <w:szCs w:val="32"/>
          <w:highlight w:val="none"/>
        </w:rPr>
      </w:pPr>
      <w:r>
        <w:rPr>
          <w:rFonts w:ascii="黑体" w:eastAsia="黑体" w:hAnsi="黑体" w:cs="宋体" w:hint="eastAsia"/>
          <w:bCs/>
          <w:kern w:val="0"/>
          <w:sz w:val="32"/>
          <w:szCs w:val="32"/>
          <w:highlight w:val="none"/>
        </w:rPr>
        <w:t>八、政府性基金预算财政拨款收入支出决算情况说明</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我单位本年度无政府性基金预算财政拨款收入、支出及结转和结余，政府性基金预算财政拨款收入支出决算表为空表。</w:t>
      </w:r>
    </w:p>
    <w:p>
      <w:pPr>
        <w:ind w:firstLine="640" w:firstLineChars="200"/>
        <w:outlineLvl w:val="1"/>
        <w:rPr>
          <w:rFonts w:ascii="黑体" w:eastAsia="黑体" w:hAnsi="黑体" w:cs="宋体"/>
          <w:bCs/>
          <w:kern w:val="0"/>
          <w:sz w:val="32"/>
          <w:szCs w:val="32"/>
          <w:highlight w:val="none"/>
        </w:rPr>
      </w:pPr>
      <w:bookmarkStart w:id="23" w:name="_Toc5810"/>
      <w:bookmarkStart w:id="24" w:name="_Toc7927"/>
      <w:r>
        <w:rPr>
          <w:rFonts w:ascii="黑体" w:eastAsia="黑体" w:hAnsi="黑体" w:cs="宋体" w:hint="eastAsia"/>
          <w:bCs/>
          <w:kern w:val="0"/>
          <w:sz w:val="32"/>
          <w:szCs w:val="32"/>
          <w:highlight w:val="none"/>
        </w:rPr>
        <w:t>九、国有资本经营预算财政拨款收入支出决算情况说明</w:t>
      </w:r>
      <w:bookmarkEnd w:id="23"/>
      <w:bookmarkEnd w:id="24"/>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我单位本年度无国有资本经营预算财政拨款收入、支出及结转和结余，国有资本经营预算财政拨款收入支出决算表为空表。</w:t>
      </w:r>
    </w:p>
    <w:p>
      <w:pPr>
        <w:ind w:firstLine="640" w:firstLineChars="200"/>
        <w:outlineLvl w:val="1"/>
        <w:rPr>
          <w:rFonts w:ascii="黑体" w:eastAsia="黑体" w:hAnsi="黑体" w:cs="宋体"/>
          <w:bCs/>
          <w:kern w:val="0"/>
          <w:sz w:val="32"/>
          <w:szCs w:val="32"/>
          <w:highlight w:val="none"/>
        </w:rPr>
      </w:pPr>
      <w:bookmarkStart w:id="25" w:name="_Toc7314"/>
      <w:bookmarkStart w:id="26" w:name="_Toc1235"/>
      <w:r>
        <w:rPr>
          <w:rFonts w:ascii="黑体" w:eastAsia="黑体" w:hAnsi="黑体" w:cs="宋体" w:hint="eastAsia"/>
          <w:bCs/>
          <w:kern w:val="0"/>
          <w:sz w:val="32"/>
          <w:szCs w:val="32"/>
          <w:highlight w:val="none"/>
        </w:rPr>
        <w:t>十、其他重要事项的情况说明</w:t>
      </w:r>
      <w:bookmarkEnd w:id="25"/>
      <w:bookmarkEnd w:id="26"/>
    </w:p>
    <w:p>
      <w:pPr>
        <w:ind w:firstLine="640" w:firstLineChars="200"/>
        <w:outlineLvl w:val="2"/>
        <w:rPr>
          <w:rFonts w:ascii="黑体" w:eastAsia="黑体" w:hAnsi="黑体"/>
          <w:sz w:val="32"/>
          <w:szCs w:val="32"/>
          <w:highlight w:val="none"/>
        </w:rPr>
      </w:pPr>
      <w:bookmarkStart w:id="27" w:name="_Toc14519"/>
      <w:bookmarkStart w:id="28" w:name="_Toc13105"/>
      <w:r>
        <w:rPr>
          <w:rFonts w:ascii="黑体" w:eastAsia="黑体" w:hAnsi="黑体" w:hint="eastAsia"/>
          <w:sz w:val="32"/>
          <w:szCs w:val="32"/>
          <w:highlight w:val="none"/>
        </w:rPr>
        <w:t>（一）机关运行经费支出情况</w:t>
      </w:r>
      <w:bookmarkEnd w:id="27"/>
      <w:bookmarkEnd w:id="28"/>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新疆塔城地区中国人民解放军新疆乌苏市人民武装部（事业单位）公用经费5.88万元，比上年增加5.88万元，增长100%，主要原因是：因为2022年支付办公楼取暖费，2021年未支付办公楼取暖费，所以2022年公用经费支出比上年有所增长。</w:t>
      </w:r>
    </w:p>
    <w:p>
      <w:pPr>
        <w:ind w:firstLine="640" w:firstLineChars="200"/>
        <w:outlineLvl w:val="2"/>
        <w:rPr>
          <w:rFonts w:ascii="黑体" w:eastAsia="黑体" w:hAnsi="黑体"/>
          <w:sz w:val="32"/>
          <w:szCs w:val="32"/>
          <w:highlight w:val="none"/>
        </w:rPr>
      </w:pPr>
      <w:bookmarkStart w:id="29" w:name="_Toc26704"/>
      <w:bookmarkStart w:id="30" w:name="_Toc227"/>
      <w:r>
        <w:rPr>
          <w:rFonts w:ascii="黑体" w:eastAsia="黑体" w:hAnsi="黑体" w:hint="eastAsia"/>
          <w:sz w:val="32"/>
          <w:szCs w:val="32"/>
          <w:highlight w:val="none"/>
        </w:rPr>
        <w:t>（二）政府采购情况</w:t>
      </w:r>
      <w:bookmarkEnd w:id="29"/>
      <w:bookmarkEnd w:id="30"/>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2022年度政府采购支出总额0.00万元，其中：政府采购货物支出0.00万元、政府采购工程支出0.00万元、政府采购服务支出0.00万元。</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授予中小企业合同金额0.00万元，占政府采购支出总额的0.00%，其中：授予小微企业合同金额0.00万元，占政府采购支出总额的0.00%。</w:t>
      </w:r>
    </w:p>
    <w:p>
      <w:pPr>
        <w:ind w:firstLine="640" w:firstLineChars="200"/>
        <w:outlineLvl w:val="2"/>
        <w:rPr>
          <w:rFonts w:ascii="黑体" w:eastAsia="黑体" w:hAnsi="黑体"/>
          <w:sz w:val="32"/>
          <w:szCs w:val="32"/>
          <w:highlight w:val="none"/>
        </w:rPr>
      </w:pPr>
      <w:bookmarkStart w:id="31" w:name="_Toc4591"/>
      <w:bookmarkStart w:id="32" w:name="_Toc8391"/>
      <w:r>
        <w:rPr>
          <w:rFonts w:ascii="黑体" w:eastAsia="黑体" w:hAnsi="黑体" w:hint="eastAsia"/>
          <w:sz w:val="32"/>
          <w:szCs w:val="32"/>
          <w:highlight w:val="none"/>
        </w:rPr>
        <w:t>（三）国有资产占用情况说明</w:t>
      </w:r>
      <w:bookmarkEnd w:id="31"/>
      <w:bookmarkEnd w:id="32"/>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截止2022年12月31日，固定资产原值78.75万元，房屋0.00平方米，价值0.00万元。车辆1辆，价值19.88万元，其中：副部（省）级及以上领导用车0辆、主要领导干部用车0辆、机要通信用车0辆、应急保障用车1辆、执法执勤用车0辆、特种专业技术用车0辆、离退休干部用车0辆、其他用车0辆，其他用车主要是：我单位无其他用车；单价100万元（含）以上设备（不含车辆）0台（套）。</w:t>
      </w:r>
    </w:p>
    <w:p>
      <w:pPr>
        <w:ind w:firstLine="640" w:firstLineChars="200"/>
        <w:outlineLvl w:val="1"/>
        <w:rPr>
          <w:rFonts w:ascii="黑体" w:eastAsia="黑体" w:hAnsi="黑体" w:cs="宋体"/>
          <w:bCs/>
          <w:kern w:val="0"/>
          <w:sz w:val="32"/>
          <w:szCs w:val="32"/>
          <w:highlight w:val="none"/>
        </w:rPr>
      </w:pPr>
      <w:bookmarkStart w:id="33" w:name="_Toc435"/>
      <w:bookmarkStart w:id="34" w:name="_Toc11283"/>
      <w:r>
        <w:rPr>
          <w:rFonts w:ascii="黑体" w:eastAsia="黑体" w:hAnsi="黑体" w:cs="宋体" w:hint="eastAsia"/>
          <w:bCs/>
          <w:kern w:val="0"/>
          <w:sz w:val="32"/>
          <w:szCs w:val="32"/>
          <w:highlight w:val="none"/>
        </w:rPr>
        <w:t>十一、预算绩效的情况说明</w:t>
      </w:r>
      <w:bookmarkEnd w:id="33"/>
      <w:bookmarkEnd w:id="34"/>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根据预算绩效管理要求，我单位2022年度开展预算绩效评价项目1个，全年预算数10.00万元，全年执行数10.00万元。预算绩效管理取得的成效：一是通过对项目设立的背景、意义、项目内容、项目现状及绩效目标、资金投入、资金管理、组织实施、数量指标、质量指标、时效指标、成本指标和效益指标等进行深入调研和分析，进一步了解兵经费实施情况，并考察项目实施过程和效果；二是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发现的问题及原因：一是不能及时调整和优化本部门后续项目和以后年度预算支出的方向和结构。针对绩效自评中存在的问题，及时调整和优化本部门后续项目和以后年度预算支出的方向和结构，合理配置资源，加强财务管理；二是缺乏有效激励与约束机制，创新机制正在逐步加强，要求财务工作水平越来越高。建立激励与约束机制，强化评价结果在项目申报和预算编制中的有效应用。下一步改进措施：一是建议加强项目实施管理，采取开展调研、中期评估等有效管理措施，促进各项目顺利实施；二是高度重视此项工作，组织有关人员认真学习有关文件要求，对承担单位专项资金绩效监控工作进行相应的要求和督导。具体项目自评情况附项目支出绩效自评表。</w:t>
      </w:r>
    </w:p>
    <w:p>
      <w:pPr>
        <w:ind w:firstLine="560" w:firstLineChars="200"/>
        <w:jc w:val="center"/>
        <w:outlineLvl w:val="0"/>
        <w:rPr>
          <w:rFonts w:ascii="黑体" w:eastAsia="黑体" w:hAnsi="黑体"/>
          <w:sz w:val="32"/>
          <w:szCs w:val="32"/>
          <w:highlight w:val="none"/>
        </w:rPr>
      </w:pPr>
      <w:bookmarkStart w:id="35" w:name="_Toc24143"/>
      <w:bookmarkStart w:id="36" w:name="_Toc3250"/>
      <w:r>
        <w:rPr>
          <w:rFonts w:ascii="黑体"/>
          <w:b/>
          <w:kern w:val="44"/>
          <w:sz w:val="28"/>
          <w:highlight w:val="none"/>
        </w:rPr>
        <w:br w:type="page"/>
      </w:r>
      <w:r>
        <w:rPr>
          <w:rFonts w:ascii="黑体"/>
          <w:b/>
          <w:spacing w:val="40"/>
          <w:sz w:val="28"/>
          <w:highlight w:val="none"/>
        </w:rPr>
        <w:t xml:space="preserve"> </w:t>
      </w:r>
      <w:r>
        <w:rPr>
          <w:rFonts w:ascii="黑体" w:eastAsia="黑体" w:hAnsi="黑体" w:hint="eastAsia"/>
          <w:sz w:val="32"/>
          <w:szCs w:val="32"/>
          <w:highlight w:val="none"/>
        </w:rPr>
        <w:t>第三部分 专业名词解释</w:t>
      </w:r>
      <w:bookmarkEnd w:id="35"/>
      <w:bookmarkEnd w:id="36"/>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财政拨款收入：指同级财政当年拨付的资金。</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ind w:firstLine="560" w:firstLineChars="200"/>
        <w:jc w:val="center"/>
        <w:outlineLvl w:val="0"/>
        <w:rPr>
          <w:rFonts w:ascii="黑体" w:eastAsia="黑体" w:hAnsi="黑体"/>
          <w:sz w:val="32"/>
          <w:szCs w:val="32"/>
          <w:highlight w:val="none"/>
        </w:rPr>
      </w:pPr>
      <w:bookmarkStart w:id="37" w:name="_Toc22784"/>
      <w:bookmarkStart w:id="38" w:name="_Toc28903"/>
      <w:r>
        <w:rPr>
          <w:rFonts w:ascii="黑体"/>
          <w:b/>
          <w:kern w:val="44"/>
          <w:sz w:val="28"/>
          <w:highlight w:val="none"/>
        </w:rPr>
        <w:br w:type="page"/>
      </w:r>
      <w:r>
        <w:rPr>
          <w:rFonts w:ascii="黑体"/>
          <w:b/>
          <w:spacing w:val="40"/>
          <w:sz w:val="28"/>
          <w:highlight w:val="none"/>
        </w:rPr>
        <w:t xml:space="preserve"> </w:t>
      </w:r>
      <w:r>
        <w:rPr>
          <w:rFonts w:ascii="黑体" w:eastAsia="黑体" w:hAnsi="黑体" w:hint="eastAsia"/>
          <w:sz w:val="32"/>
          <w:szCs w:val="32"/>
          <w:highlight w:val="none"/>
        </w:rPr>
        <w:t>第四部分 部门决算报表（见附表）</w:t>
      </w:r>
      <w:bookmarkEnd w:id="37"/>
      <w:bookmarkEnd w:id="38"/>
    </w:p>
    <w:p>
      <w:pPr>
        <w:ind w:firstLine="640" w:firstLineChars="200"/>
        <w:outlineLvl w:val="1"/>
        <w:rPr>
          <w:rFonts w:ascii="黑体" w:eastAsia="黑体" w:hAnsi="黑体" w:cs="宋体"/>
          <w:bCs/>
          <w:kern w:val="0"/>
          <w:sz w:val="32"/>
          <w:szCs w:val="32"/>
          <w:highlight w:val="none"/>
        </w:rPr>
      </w:pPr>
      <w:bookmarkStart w:id="39" w:name="_Toc2183"/>
      <w:bookmarkStart w:id="40" w:name="_Toc6062"/>
      <w:r>
        <w:rPr>
          <w:rFonts w:ascii="黑体" w:eastAsia="黑体" w:hAnsi="黑体" w:cs="宋体" w:hint="eastAsia"/>
          <w:bCs/>
          <w:kern w:val="0"/>
          <w:sz w:val="32"/>
          <w:szCs w:val="32"/>
          <w:highlight w:val="none"/>
        </w:rPr>
        <w:t>一、《收入支出决算总表》</w:t>
      </w:r>
      <w:bookmarkEnd w:id="39"/>
      <w:bookmarkEnd w:id="40"/>
    </w:p>
    <w:p>
      <w:pPr>
        <w:ind w:firstLine="640" w:firstLineChars="200"/>
        <w:outlineLvl w:val="1"/>
        <w:rPr>
          <w:rFonts w:ascii="黑体" w:eastAsia="黑体" w:hAnsi="黑体" w:cs="宋体"/>
          <w:bCs/>
          <w:kern w:val="0"/>
          <w:sz w:val="32"/>
          <w:szCs w:val="32"/>
          <w:highlight w:val="none"/>
        </w:rPr>
      </w:pPr>
      <w:bookmarkStart w:id="41" w:name="_Toc30364"/>
      <w:bookmarkStart w:id="42" w:name="_Toc24532"/>
      <w:r>
        <w:rPr>
          <w:rFonts w:ascii="黑体" w:eastAsia="黑体" w:hAnsi="黑体" w:cs="宋体" w:hint="eastAsia"/>
          <w:bCs/>
          <w:kern w:val="0"/>
          <w:sz w:val="32"/>
          <w:szCs w:val="32"/>
          <w:highlight w:val="none"/>
        </w:rPr>
        <w:t>二、《收入决算表》</w:t>
      </w:r>
      <w:bookmarkEnd w:id="41"/>
      <w:bookmarkEnd w:id="42"/>
    </w:p>
    <w:p>
      <w:pPr>
        <w:ind w:firstLine="640" w:firstLineChars="200"/>
        <w:outlineLvl w:val="1"/>
        <w:rPr>
          <w:rFonts w:ascii="黑体" w:eastAsia="黑体" w:hAnsi="黑体" w:cs="宋体"/>
          <w:bCs/>
          <w:kern w:val="0"/>
          <w:sz w:val="32"/>
          <w:szCs w:val="32"/>
          <w:highlight w:val="none"/>
        </w:rPr>
      </w:pPr>
      <w:bookmarkStart w:id="43" w:name="_Toc32434"/>
      <w:bookmarkStart w:id="44" w:name="_Toc21304"/>
      <w:r>
        <w:rPr>
          <w:rFonts w:ascii="黑体" w:eastAsia="黑体" w:hAnsi="黑体" w:cs="宋体" w:hint="eastAsia"/>
          <w:bCs/>
          <w:kern w:val="0"/>
          <w:sz w:val="32"/>
          <w:szCs w:val="32"/>
          <w:highlight w:val="none"/>
        </w:rPr>
        <w:t>三、《支出决算表》</w:t>
      </w:r>
      <w:bookmarkEnd w:id="43"/>
      <w:bookmarkEnd w:id="44"/>
    </w:p>
    <w:p>
      <w:pPr>
        <w:ind w:firstLine="640" w:firstLineChars="200"/>
        <w:outlineLvl w:val="1"/>
        <w:rPr>
          <w:rFonts w:ascii="黑体" w:eastAsia="黑体" w:hAnsi="黑体" w:cs="宋体"/>
          <w:bCs/>
          <w:kern w:val="0"/>
          <w:sz w:val="32"/>
          <w:szCs w:val="32"/>
          <w:highlight w:val="none"/>
        </w:rPr>
      </w:pPr>
      <w:bookmarkStart w:id="45" w:name="_Toc14238"/>
      <w:bookmarkStart w:id="46" w:name="_Toc28786"/>
      <w:r>
        <w:rPr>
          <w:rFonts w:ascii="黑体" w:eastAsia="黑体" w:hAnsi="黑体" w:cs="宋体" w:hint="eastAsia"/>
          <w:bCs/>
          <w:kern w:val="0"/>
          <w:sz w:val="32"/>
          <w:szCs w:val="32"/>
          <w:highlight w:val="none"/>
        </w:rPr>
        <w:t>四、《财政拨款收入支出决算总表》</w:t>
      </w:r>
      <w:bookmarkEnd w:id="45"/>
      <w:bookmarkEnd w:id="46"/>
    </w:p>
    <w:p>
      <w:pPr>
        <w:ind w:firstLine="640" w:firstLineChars="200"/>
        <w:outlineLvl w:val="1"/>
        <w:rPr>
          <w:rFonts w:ascii="黑体" w:eastAsia="黑体" w:hAnsi="黑体" w:cs="宋体"/>
          <w:bCs/>
          <w:kern w:val="0"/>
          <w:sz w:val="32"/>
          <w:szCs w:val="32"/>
          <w:highlight w:val="none"/>
        </w:rPr>
      </w:pPr>
      <w:bookmarkStart w:id="47" w:name="_Toc14869"/>
      <w:bookmarkStart w:id="48" w:name="_Toc10347"/>
      <w:r>
        <w:rPr>
          <w:rFonts w:ascii="黑体" w:eastAsia="黑体" w:hAnsi="黑体" w:cs="宋体" w:hint="eastAsia"/>
          <w:bCs/>
          <w:kern w:val="0"/>
          <w:sz w:val="32"/>
          <w:szCs w:val="32"/>
          <w:highlight w:val="none"/>
        </w:rPr>
        <w:t>五、《一般公共预算财政拨款支出决算表》</w:t>
      </w:r>
      <w:bookmarkEnd w:id="47"/>
      <w:bookmarkEnd w:id="48"/>
    </w:p>
    <w:p>
      <w:pPr>
        <w:ind w:firstLine="640" w:firstLineChars="200"/>
        <w:outlineLvl w:val="1"/>
        <w:rPr>
          <w:rFonts w:ascii="黑体" w:eastAsia="黑体" w:hAnsi="黑体" w:cs="宋体"/>
          <w:bCs/>
          <w:kern w:val="0"/>
          <w:sz w:val="32"/>
          <w:szCs w:val="32"/>
          <w:highlight w:val="none"/>
        </w:rPr>
      </w:pPr>
      <w:bookmarkStart w:id="49" w:name="_Toc5626"/>
      <w:bookmarkStart w:id="50" w:name="_Toc8884"/>
      <w:r>
        <w:rPr>
          <w:rFonts w:ascii="黑体" w:eastAsia="黑体" w:hAnsi="黑体" w:cs="宋体" w:hint="eastAsia"/>
          <w:bCs/>
          <w:kern w:val="0"/>
          <w:sz w:val="32"/>
          <w:szCs w:val="32"/>
          <w:highlight w:val="none"/>
        </w:rPr>
        <w:t>六、《一般公共预算财政拨款基本支出决算表》</w:t>
      </w:r>
      <w:bookmarkEnd w:id="49"/>
      <w:bookmarkEnd w:id="50"/>
    </w:p>
    <w:p>
      <w:pPr>
        <w:ind w:firstLine="640" w:firstLineChars="200"/>
        <w:outlineLvl w:val="1"/>
        <w:rPr>
          <w:rFonts w:ascii="黑体" w:eastAsia="黑体" w:hAnsi="黑体" w:cs="宋体"/>
          <w:bCs/>
          <w:kern w:val="0"/>
          <w:sz w:val="32"/>
          <w:szCs w:val="32"/>
          <w:highlight w:val="none"/>
        </w:rPr>
      </w:pPr>
      <w:bookmarkStart w:id="51" w:name="_Toc32663"/>
      <w:bookmarkStart w:id="52" w:name="_Toc29106"/>
      <w:r>
        <w:rPr>
          <w:rFonts w:ascii="黑体" w:eastAsia="黑体" w:hAnsi="黑体" w:cs="宋体" w:hint="eastAsia"/>
          <w:bCs/>
          <w:kern w:val="0"/>
          <w:sz w:val="32"/>
          <w:szCs w:val="32"/>
          <w:highlight w:val="none"/>
        </w:rPr>
        <w:t>七、《财政拨款“三公”经费支出决算表》</w:t>
      </w:r>
      <w:bookmarkEnd w:id="51"/>
      <w:bookmarkEnd w:id="52"/>
    </w:p>
    <w:p>
      <w:pPr>
        <w:ind w:firstLine="640" w:firstLineChars="200"/>
        <w:outlineLvl w:val="1"/>
        <w:rPr>
          <w:rFonts w:ascii="黑体" w:eastAsia="黑体" w:hAnsi="黑体" w:cs="宋体"/>
          <w:bCs/>
          <w:kern w:val="0"/>
          <w:sz w:val="32"/>
          <w:szCs w:val="32"/>
          <w:highlight w:val="none"/>
        </w:rPr>
      </w:pPr>
      <w:r>
        <w:rPr>
          <w:rFonts w:ascii="黑体" w:eastAsia="黑体" w:hAnsi="黑体" w:cs="宋体" w:hint="eastAsia"/>
          <w:bCs/>
          <w:kern w:val="0"/>
          <w:sz w:val="32"/>
          <w:szCs w:val="32"/>
          <w:highlight w:val="none"/>
        </w:rPr>
        <w:t>八、《政府性基金预算财政拨款收入支出决算表》</w:t>
      </w:r>
    </w:p>
    <w:p>
      <w:pPr>
        <w:ind w:firstLine="640" w:firstLineChars="200"/>
        <w:outlineLvl w:val="1"/>
        <w:rPr>
          <w:rFonts w:ascii="黑体" w:eastAsia="黑体" w:hAnsi="黑体" w:cs="宋体"/>
          <w:bCs/>
          <w:kern w:val="0"/>
          <w:sz w:val="32"/>
          <w:szCs w:val="32"/>
          <w:highlight w:val="none"/>
        </w:rPr>
      </w:pPr>
      <w:bookmarkStart w:id="53" w:name="_Toc7643"/>
      <w:bookmarkStart w:id="54" w:name="_Toc5453"/>
      <w:r>
        <w:rPr>
          <w:rFonts w:ascii="黑体" w:eastAsia="黑体" w:hAnsi="黑体" w:cs="宋体" w:hint="eastAsia"/>
          <w:bCs/>
          <w:kern w:val="0"/>
          <w:sz w:val="32"/>
          <w:szCs w:val="32"/>
          <w:highlight w:val="none"/>
        </w:rPr>
        <w:t>九、《国有资本经营预算财政拨款收入支出决算表》</w:t>
      </w:r>
      <w:bookmarkEnd w:id="53"/>
      <w:bookmarkEnd w:id="54"/>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pPr>
                          <w:r>
                            <w:rPr>
                              <w:rFonts w:hint="eastAsia"/>
                            </w:rPr>
                            <w:fldChar w:fldCharType="begin"/>
                          </w:r>
                          <w:r>
                            <w:rPr>
                              <w:rFonts w:hint="eastAsia"/>
                            </w:rPr>
                            <w:instrText xml:space="preserve"> PAGE \* MERGEFORMAT</w:instrText>
                          </w:r>
                          <w:r>
                            <w:rPr>
                              <w:rFonts w:hint="eastAsia"/>
                            </w:rPr>
                            <w:fldChar w:fldCharType="separate"/>
                          </w:r>
                          <w:r>
                            <w:t>16</w:t>
                          </w:r>
                          <w:r>
                            <w:rPr>
                              <w:rFonts w:hint="eastAsia"/>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rPr>
                        <w:rFonts w:hint="eastAsia"/>
                      </w:rPr>
                      <w:fldChar w:fldCharType="begin"/>
                    </w:r>
                    <w:r>
                      <w:rPr>
                        <w:rFonts w:hint="eastAsia"/>
                      </w:rPr>
                      <w:instrText xml:space="preserve"> PAGE \* MERGEFORMAT</w:instrText>
                    </w:r>
                    <w:r>
                      <w:rPr>
                        <w:rFonts w:hint="eastAsia"/>
                      </w:rPr>
                      <w:fldChar w:fldCharType="separate"/>
                    </w:r>
                    <w:r>
                      <w:t>16</w:t>
                    </w:r>
                    <w:r>
                      <w:rPr>
                        <w:rFonts w:hint="eastAsia"/>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160"/>
    <w:rsid w:val="0007010B"/>
    <w:rsid w:val="00832160"/>
    <w:rsid w:val="00EC5880"/>
    <w:rsid w:val="0FCF029B"/>
    <w:rsid w:val="193C1FD9"/>
    <w:rsid w:val="2CB510E7"/>
    <w:rsid w:val="3E6E1969"/>
    <w:rsid w:val="42A67CDB"/>
    <w:rsid w:val="585D5F89"/>
    <w:rsid w:val="611457A2"/>
    <w:rsid w:val="67DD3A75"/>
    <w:rsid w:val="69993921"/>
    <w:rsid w:val="769B5E9F"/>
    <w:rsid w:val="7E424F9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CommentText">
    <w:name w:val="annotation text"/>
    <w:basedOn w:val="Normal"/>
    <w:qFormat/>
    <w:pPr>
      <w:jc w:val="left"/>
    </w:pPr>
  </w:style>
  <w:style w:type="paragraph" w:styleId="TOC3">
    <w:name w:val="toc 3"/>
    <w:basedOn w:val="Normal"/>
    <w:next w:val="Normal"/>
    <w:qFormat/>
    <w:pPr>
      <w:ind w:left="840" w:leftChars="400"/>
    </w:p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0" w:color="auto"/>
        <w:left w:val="none" w:sz="0" w:space="0" w:color="auto"/>
        <w:bottom w:val="none" w:sz="0" w:space="0" w:color="auto"/>
        <w:right w:val="none" w:sz="0" w:space="0" w:color="auto"/>
      </w:pBdr>
      <w:tabs>
        <w:tab w:val="center" w:pos="4153"/>
        <w:tab w:val="right" w:pos="8306"/>
      </w:tabs>
      <w:snapToGrid w:val="0"/>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 w:type="paragraph" w:customStyle="1" w:styleId="WPSOffice3">
    <w:name w:val="WPSOffice手动目录 3"/>
    <w:qFormat/>
    <w:pPr>
      <w:ind w:left="400" w:leftChars="400"/>
    </w:pPr>
    <w:rPr>
      <w:rFonts w:ascii="Times New Roman" w:eastAsia="宋体" w:hAnsi="Times New Roman" w:cs="Times New Roman"/>
      <w:lang w:val="en-US" w:eastAsia="zh-CN" w:bidi="ar-SA"/>
    </w:rPr>
  </w:style>
  <w:style w:type="paragraph" w:customStyle="1" w:styleId="WPSOffice2">
    <w:name w:val="WPSOffice手动目录 2"/>
    <w:qFormat/>
    <w:pPr>
      <w:ind w:left="200" w:leftChars="200"/>
    </w:pPr>
    <w:rPr>
      <w:rFonts w:ascii="Times New Roman" w:eastAsia="宋体" w:hAnsi="Times New Roman" w:cs="Times New Roman"/>
      <w:lang w:val="en-US" w:eastAsia="zh-CN" w:bidi="ar-SA"/>
    </w:rPr>
  </w:style>
  <w:style w:type="paragraph" w:customStyle="1" w:styleId="WPSOffice1">
    <w:name w:val="WPSOffice手动目录 1"/>
    <w:qFormat/>
    <w:rPr>
      <w:rFonts w:ascii="Times New Roman" w:eastAsia="宋体" w:hAnsi="Times New Roman" w:cs="Times New Roman"/>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1085</Words>
  <Characters>6185</Characters>
  <Application>Microsoft Office Word</Application>
  <DocSecurity>0</DocSecurity>
  <Lines>51</Lines>
  <Paragraphs>14</Paragraphs>
  <ScaleCrop>false</ScaleCrop>
  <Company>微软中国</Company>
  <LinksUpToDate>false</LinksUpToDate>
  <CharactersWithSpaces>7256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2</cp:revision>
  <dcterms:created xsi:type="dcterms:W3CDTF">2023-09-15T11:18:00Z</dcterms:created>
  <dcterms:modified xsi:type="dcterms:W3CDTF">2023-02-14T11:06:59Z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311AAEC9C2C34A3E8BEE8FE955E436C0</vt:lpwstr>
  </property>
  <property fmtid="{D5CDD505-2E9C-101B-9397-08002B2CF9AE}" pid="3" name="KSOProductBuildVer">
    <vt:lpwstr>2052-11.8.2.8555</vt:lpwstr>
  </property>
</Properties>
</file>