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2800" w:firstLineChars="700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  <w:t>当场处罚决定书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left="4239" w:leftChars="1790" w:right="19" w:rightChars="9" w:hanging="48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（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乌</w:t>
      </w:r>
      <w:r>
        <w:rPr>
          <w:rFonts w:hint="eastAsia" w:ascii="仿宋_GB2312" w:hAnsi="仿宋_GB2312" w:eastAsia="仿宋_GB2312" w:cs="仿宋_GB2312"/>
          <w:color w:val="auto"/>
          <w:sz w:val="24"/>
        </w:rPr>
        <w:t>）文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lang w:eastAsia="zh-CN"/>
        </w:rPr>
        <w:t>综</w:t>
      </w:r>
      <w:r>
        <w:rPr>
          <w:rFonts w:hint="eastAsia" w:ascii="仿宋_GB2312" w:hAnsi="仿宋_GB2312" w:eastAsia="仿宋_GB2312" w:cs="仿宋_GB2312"/>
          <w:color w:val="auto"/>
          <w:sz w:val="24"/>
        </w:rPr>
        <w:t>当罚字〔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24"/>
        </w:rPr>
        <w:t>〕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000012</w:t>
      </w:r>
      <w:r>
        <w:rPr>
          <w:rFonts w:hint="eastAsia" w:ascii="仿宋_GB2312" w:hAnsi="仿宋_GB2312" w:eastAsia="仿宋_GB2312" w:cs="仿宋_GB2312"/>
          <w:color w:val="auto"/>
          <w:sz w:val="24"/>
        </w:rPr>
        <w:t>号</w:t>
      </w:r>
    </w:p>
    <w:tbl>
      <w:tblPr>
        <w:tblStyle w:val="9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076"/>
        <w:gridCol w:w="1835"/>
        <w:gridCol w:w="1689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当 事 人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名称（姓名）</w:t>
            </w:r>
          </w:p>
        </w:tc>
        <w:tc>
          <w:tcPr>
            <w:tcW w:w="5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乌苏市****有限公司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证照（证件）名称及编号（号码）</w:t>
            </w:r>
          </w:p>
        </w:tc>
        <w:tc>
          <w:tcPr>
            <w:tcW w:w="5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营业执照</w:t>
            </w:r>
            <w:r>
              <w:rPr>
                <w:rFonts w:hint="eastAsia"/>
                <w:color w:val="auto"/>
                <w:lang w:val="en-US" w:eastAsia="zh-CN"/>
              </w:rPr>
              <w:t xml:space="preserve"> 统一社会信用代码91654202MADFEKAGXC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等）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卢**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19**********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住所（住址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）</w:t>
            </w:r>
          </w:p>
        </w:tc>
        <w:tc>
          <w:tcPr>
            <w:tcW w:w="5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新疆塔城地区乌苏市*****广场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违法事实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和证据</w:t>
            </w:r>
          </w:p>
        </w:tc>
        <w:tc>
          <w:tcPr>
            <w:tcW w:w="73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2024年12月20日17时05分至2024年12月20日17时21分，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乌苏市文化市场综合执法队对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乌苏市****有限公司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检查，执法人员张怀然（证号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31130221011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）李斌（证号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31130221005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），出示执法证后依法对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乌苏市****有限公司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进行检查，该经营场所正常营业持有《营业执照》统一社会信用代码91654202MADFEKAGXC和《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网络文化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经营许可证》编号为（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654202200037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）证照齐全，执法人员在对该经营场所的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场内巡查制度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检查时发现该经营场所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无巡查制度。当事人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未按规定建立场内巡查制度的行为违反了《互联网上网服务营业场所管理条例》第十九条的规定，执法人员当场下发《责令改正通知书》，要求当事人立即改正。执法人员对现场检查情况进行了拍照取证，执法记录仪记录了执法检查全过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outlineLvl w:val="9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证据有：1.现场检查笔录和当事人的签字认可。2.现场检查照片和执法记录仪全程录像。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处罚理由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和依据</w:t>
            </w:r>
          </w:p>
        </w:tc>
        <w:tc>
          <w:tcPr>
            <w:tcW w:w="73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理由：当事人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未按规定建立场内巡查制度的行为违反了《互联网上网服务营业场所管理条例》第十九条的规定。依据：《互联网上网服务营业场所管理条例》第三十三条第二款的规定给予警告的行政处罚。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处罚时间</w:t>
            </w:r>
          </w:p>
        </w:tc>
        <w:tc>
          <w:tcPr>
            <w:tcW w:w="3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2024年12月20日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处罚地点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处罚内容</w:t>
            </w:r>
          </w:p>
        </w:tc>
        <w:tc>
          <w:tcPr>
            <w:tcW w:w="73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none"/>
                <w:lang w:val="en-US"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89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80" w:leftChars="-38" w:right="-78" w:rightChars="-37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你（单位）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应当自收到本决定书之日起十五日内，到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  <w:lang w:val="en-US" w:eastAsia="zh-CN"/>
              </w:rPr>
              <w:t xml:space="preserve">/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none"/>
                <w:lang w:val="en-US"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或者通过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电子支付系统缴纳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罚款。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CN"/>
              </w:rPr>
              <w:t>逾期不缴纳罚款的，依据《中华人民共和国行政处罚法》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zh-CN"/>
              </w:rPr>
              <w:t>第七十二条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第一款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CN"/>
              </w:rPr>
              <w:t>第（一）项的规定，本机关可每日按罚款数额的3%加处罚款（加处罚款的数额不超出罚款的数额），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4"/>
                <w:lang w:val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依据《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中华人民共和国行政强制法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》第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条的规定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4"/>
                <w:lang w:val="zh-CN"/>
              </w:rPr>
              <w:t>申请人民法院强制执行。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80" w:leftChars="-38" w:right="-78" w:rightChars="-37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你（单位）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如对本处罚决定不服，可在收到本决定书之日起六十日内向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乌苏市人民政府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none"/>
                <w:lang w:eastAsia="zh-CN"/>
              </w:rPr>
              <w:t>或者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  <w:lang w:val="en-US" w:eastAsia="zh-CN"/>
              </w:rPr>
              <w:t>乌苏市人民法院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申请行政复议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行政复议或者行政诉讼期间，本处罚决定不停止执行。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80" w:leftChars="-38" w:right="-78" w:rightChars="-37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逾期不申请行政复议或者提起行政诉讼，又不履行本处罚决定，经催告后仍未履行义务的，依据《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中华人民共和国行政强制法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》第五十四条的规定，本机关可申请人民法院强制执行。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89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78" w:rightChars="-37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执法人员签名（执法证号）：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78" w:rightChars="-37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78" w:rightChars="-37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78" w:rightChars="-37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当事人签名或者盖章：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78" w:rightChars="-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乌苏市文化体育广播电视和旅游局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78" w:rightChars="-37" w:firstLine="6240" w:firstLineChars="26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exact"/>
        <w:textAlignment w:val="auto"/>
        <w:outlineLvl w:val="9"/>
      </w:pPr>
    </w:p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17F7313E"/>
    <w:rsid w:val="16C3549D"/>
    <w:rsid w:val="177033FD"/>
    <w:rsid w:val="17F7313E"/>
    <w:rsid w:val="259057E9"/>
    <w:rsid w:val="27C26A42"/>
    <w:rsid w:val="29091E6F"/>
    <w:rsid w:val="2BBD65BA"/>
    <w:rsid w:val="2DD72121"/>
    <w:rsid w:val="35173278"/>
    <w:rsid w:val="3809687E"/>
    <w:rsid w:val="399F2838"/>
    <w:rsid w:val="3D8B3D2C"/>
    <w:rsid w:val="3E85284D"/>
    <w:rsid w:val="457F7F5A"/>
    <w:rsid w:val="499E7FA5"/>
    <w:rsid w:val="4AA95645"/>
    <w:rsid w:val="4E704ACE"/>
    <w:rsid w:val="54F760BD"/>
    <w:rsid w:val="5D962DC6"/>
    <w:rsid w:val="692F766C"/>
    <w:rsid w:val="709348B3"/>
    <w:rsid w:val="738216DA"/>
    <w:rsid w:val="7A020B03"/>
    <w:rsid w:val="7B8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both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eastAsia="楷体_GB2312"/>
      <w:b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outlineLvl w:val="3"/>
    </w:p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 w:line="560" w:lineRule="exact"/>
      <w:jc w:val="center"/>
      <w:outlineLvl w:val="0"/>
    </w:pPr>
    <w:rPr>
      <w:rFonts w:eastAsia="方正小标宋简体"/>
      <w:sz w:val="44"/>
    </w:rPr>
  </w:style>
  <w:style w:type="paragraph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1072</Characters>
  <Lines>0</Lines>
  <Paragraphs>0</Paragraphs>
  <TotalTime>70</TotalTime>
  <ScaleCrop>false</ScaleCrop>
  <LinksUpToDate>false</LinksUpToDate>
  <CharactersWithSpaces>1147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2024-12-20T10:56:00Z</dcterms:created>
  <dc:creator>MBer</dc:creator>
  <cp:lastModifiedBy>喜文</cp:lastModifiedBy>
  <cp:lastPrinted>2024-12-23T02:25:00Z</cp:lastPrinted>
  <dcterms:modified xsi:type="dcterms:W3CDTF">2024-12-24T11:14:14Z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6880ECCC438247D3AA5EA37C63BA9234_12</vt:lpwstr>
  </property>
</Properties>
</file>