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ind w:left="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lang w:eastAsia="zh-CN"/>
        </w:rPr>
        <w:t>乌苏市</w:t>
      </w:r>
      <w:r>
        <w:rPr>
          <w:rFonts w:hint="eastAsia" w:ascii="Times New Roman" w:hAnsi="方正小标宋简体" w:eastAsia="方正小标宋简体" w:cs="方正小标宋简体"/>
          <w:bCs/>
          <w:sz w:val="44"/>
          <w:szCs w:val="44"/>
        </w:rPr>
        <w:t>市场监督管理局</w:t>
      </w:r>
    </w:p>
    <w:p>
      <w:pPr>
        <w:keepNext w:val="0"/>
        <w:keepLines w:val="0"/>
        <w:pageBreakBefore w:val="0"/>
        <w:overflowPunct/>
        <w:topLinePunct w:val="0"/>
        <w:bidi w:val="0"/>
        <w:spacing w:line="560" w:lineRule="exact"/>
        <w:ind w:left="0"/>
        <w:jc w:val="center"/>
        <w:rPr>
          <w:rFonts w:hint="eastAsia" w:ascii="Times New Roman" w:hAnsi="方正小标宋简体" w:eastAsia="方正小标宋简体" w:cs="方正小标宋简体"/>
          <w:bCs/>
          <w:sz w:val="44"/>
          <w:szCs w:val="44"/>
        </w:rPr>
      </w:pPr>
      <w:r>
        <w:rPr>
          <w:rFonts w:hint="eastAsia" w:ascii="Times New Roman" w:hAnsi="方正小标宋简体" w:eastAsia="方正小标宋简体" w:cs="方正小标宋简体"/>
          <w:bCs/>
          <w:sz w:val="44"/>
          <w:szCs w:val="44"/>
        </w:rPr>
        <w:t>不予行政处罚决定书</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 w:hAnsi="仿宋" w:eastAsia="仿宋" w:cs="Times New Roman"/>
          <w:sz w:val="32"/>
          <w:szCs w:val="32"/>
          <w:u w:val="none"/>
        </w:rPr>
      </w:pPr>
      <w:r>
        <w:rPr>
          <w:rFonts w:hint="eastAsia" w:ascii="仿宋" w:hAnsi="仿宋" w:eastAsia="仿宋" w:cs="Times New Roman"/>
          <w:sz w:val="32"/>
          <w:szCs w:val="32"/>
          <w:u w:val="none"/>
          <w:lang w:eastAsia="zh-CN"/>
        </w:rPr>
        <w:t>乌</w:t>
      </w:r>
      <w:r>
        <w:rPr>
          <w:rFonts w:hint="eastAsia" w:ascii="仿宋" w:hAnsi="仿宋" w:eastAsia="仿宋" w:cs="Times New Roman"/>
          <w:sz w:val="32"/>
          <w:szCs w:val="32"/>
          <w:u w:val="none"/>
        </w:rPr>
        <w:t>市监不罚〔</w:t>
      </w:r>
      <w:r>
        <w:rPr>
          <w:rFonts w:hint="eastAsia" w:ascii="仿宋" w:hAnsi="仿宋" w:eastAsia="仿宋" w:cs="Times New Roman"/>
          <w:sz w:val="32"/>
          <w:szCs w:val="32"/>
          <w:u w:val="none"/>
          <w:lang w:val="en-US" w:eastAsia="zh-CN"/>
        </w:rPr>
        <w:t>2024</w:t>
      </w:r>
      <w:r>
        <w:rPr>
          <w:rFonts w:hint="eastAsia" w:ascii="仿宋" w:hAnsi="仿宋" w:eastAsia="仿宋" w:cs="Times New Roman"/>
          <w:sz w:val="32"/>
          <w:szCs w:val="32"/>
          <w:u w:val="none"/>
        </w:rPr>
        <w:t>〕</w:t>
      </w:r>
      <w:r>
        <w:rPr>
          <w:rFonts w:hint="eastAsia" w:ascii="仿宋" w:hAnsi="仿宋" w:eastAsia="仿宋" w:cs="Times New Roman"/>
          <w:sz w:val="32"/>
          <w:szCs w:val="32"/>
          <w:u w:val="none"/>
          <w:lang w:val="en-US" w:eastAsia="zh-CN"/>
        </w:rPr>
        <w:t>267</w:t>
      </w:r>
      <w:r>
        <w:rPr>
          <w:rFonts w:hint="eastAsia" w:ascii="仿宋" w:hAnsi="仿宋" w:eastAsia="仿宋" w:cs="Times New Roman"/>
          <w:sz w:val="32"/>
          <w:szCs w:val="32"/>
          <w:u w:val="none"/>
        </w:rPr>
        <w:t>号</w:t>
      </w:r>
    </w:p>
    <w:p>
      <w:pPr>
        <w:keepNext w:val="0"/>
        <w:keepLines w:val="0"/>
        <w:pageBreakBefore w:val="0"/>
        <w:widowControl/>
        <w:kinsoku w:val="0"/>
        <w:overflowPunct/>
        <w:topLinePunct w:val="0"/>
        <w:autoSpaceDE w:val="0"/>
        <w:autoSpaceDN w:val="0"/>
        <w:bidi w:val="0"/>
        <w:adjustRightInd w:val="0"/>
        <w:snapToGrid w:val="0"/>
        <w:spacing w:line="560" w:lineRule="exact"/>
        <w:ind w:left="0"/>
        <w:jc w:val="both"/>
        <w:textAlignment w:val="baseline"/>
        <w:rPr>
          <w:rFonts w:ascii="Microsoft JhengHei" w:hAnsi="Arial" w:eastAsia="Arial" w:cs="Arial"/>
          <w:snapToGrid w:val="0"/>
          <w:color w:val="000000"/>
          <w:kern w:val="0"/>
          <w:sz w:val="21"/>
          <w:szCs w:val="21"/>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当事人：</w:t>
      </w:r>
      <w:r>
        <w:rPr>
          <w:rFonts w:hint="eastAsia" w:ascii="仿宋_GB2312" w:hAnsi="仿宋_GB2312" w:eastAsia="仿宋_GB2312" w:cs="仿宋_GB2312"/>
          <w:bCs/>
          <w:sz w:val="32"/>
          <w:szCs w:val="32"/>
          <w:lang w:val="en-US" w:eastAsia="zh-CN"/>
        </w:rPr>
        <w:t>乌苏市韩三娘自助火锅店</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主体资格证照名称：《营业执照》《食品经营许可证》</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kern w:val="0"/>
          <w:sz w:val="32"/>
          <w:szCs w:val="32"/>
          <w:lang w:val="en-US" w:eastAsia="zh-CN"/>
        </w:rPr>
        <w:t>统一社会信用代码：</w:t>
      </w:r>
      <w:r>
        <w:rPr>
          <w:rFonts w:hint="eastAsia" w:ascii="仿宋_GB2312" w:hAnsi="仿宋_GB2312" w:eastAsia="仿宋_GB2312" w:cs="仿宋_GB2312"/>
          <w:bCs/>
          <w:sz w:val="32"/>
          <w:szCs w:val="32"/>
          <w:lang w:val="en-US" w:eastAsia="zh-CN"/>
        </w:rPr>
        <w:t>92654202MAD40BL75U</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住所（住址）：</w:t>
      </w:r>
      <w:r>
        <w:rPr>
          <w:rFonts w:hint="eastAsia" w:ascii="仿宋_GB2312" w:hAnsi="仿宋_GB2312" w:eastAsia="仿宋_GB2312" w:cs="仿宋_GB2312"/>
          <w:bCs/>
          <w:sz w:val="32"/>
          <w:szCs w:val="32"/>
          <w:lang w:val="en-US" w:eastAsia="zh-CN"/>
        </w:rPr>
        <w:t>新疆塔城地区乌苏市新市区街道宜宾路社区黄河东路190号鑫福源广场1-18号</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经营者：</w:t>
      </w:r>
      <w:r>
        <w:rPr>
          <w:rFonts w:hint="eastAsia" w:ascii="仿宋_GB2312" w:hAnsi="仿宋_GB2312" w:eastAsia="仿宋_GB2312" w:cs="仿宋_GB2312"/>
          <w:bCs/>
          <w:sz w:val="32"/>
          <w:szCs w:val="32"/>
          <w:lang w:val="en-US" w:eastAsia="zh-CN"/>
        </w:rPr>
        <w:t>韩**</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val="0"/>
        <w:wordWrap/>
        <w:overflowPunct/>
        <w:topLinePunct w:val="0"/>
        <w:bidi w:val="0"/>
        <w:adjustRightInd/>
        <w:snapToGrid/>
        <w:spacing w:line="560" w:lineRule="exact"/>
        <w:ind w:left="0"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2024年9月14日，乌苏市市场监督管理局新市区市监所执法人员马文雄、刘鹏到新疆塔城地区乌苏市新市区街道宜宾路社区黄河东路190号鑫福源广场1-18号的乌苏市韩三娘自助火锅店开展日常检查，该火锅店正常经营，执法人员向该店经营者</w:t>
      </w:r>
      <w:bookmarkStart w:id="0" w:name="_GoBack"/>
      <w:bookmarkEnd w:id="0"/>
      <w:r>
        <w:rPr>
          <w:rFonts w:hint="eastAsia" w:ascii="仿宋_GB2312" w:hAnsi="仿宋_GB2312" w:eastAsia="仿宋_GB2312" w:cs="仿宋_GB2312"/>
          <w:bCs/>
          <w:sz w:val="32"/>
          <w:szCs w:val="32"/>
          <w:lang w:val="en-US" w:eastAsia="zh-CN"/>
        </w:rPr>
        <w:t>韩**出示执法证并说明来意后，火锅店负责人韩**全程陪同检查，执法人员查看该店经营场所内悬挂的食品经营许可证，发现许可的经营项目为预包装食品（含冷藏冷冻食品）销售；散装食品（含冷藏冷冻食品）销售；热食类食品制售，许可项目中无冷食类食品制售，食品操作间内无冷食类专间或专区，在检查中发现该火锅店自助餐台上有凉菜（其中有凉拌牛肉、青椒皮蛋）。当事人未经许可从事冷食类食品制售</w:t>
      </w:r>
      <w:r>
        <w:rPr>
          <w:rFonts w:hint="eastAsia" w:ascii="仿宋_GB2312" w:hAnsi="仿宋_GB2312" w:eastAsia="仿宋_GB2312" w:cs="仿宋_GB2312"/>
          <w:bCs/>
          <w:sz w:val="32"/>
          <w:szCs w:val="32"/>
          <w:lang w:eastAsia="zh-CN"/>
        </w:rPr>
        <w:t>的行为，违反了《</w:t>
      </w:r>
      <w:r>
        <w:rPr>
          <w:rFonts w:hint="eastAsia" w:ascii="仿宋_GB2312" w:hAnsi="仿宋_GB2312" w:eastAsia="仿宋_GB2312" w:cs="仿宋_GB2312"/>
          <w:bCs/>
          <w:sz w:val="32"/>
          <w:szCs w:val="32"/>
          <w:lang w:val="en-US" w:eastAsia="zh-CN"/>
        </w:rPr>
        <w:t>食品经营许可和备案管理办法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第二十九条</w:t>
      </w:r>
      <w:r>
        <w:rPr>
          <w:rFonts w:hint="eastAsia" w:ascii="仿宋_GB2312" w:hAnsi="仿宋_GB2312" w:eastAsia="仿宋_GB2312" w:cs="仿宋_GB2312"/>
          <w:bCs/>
          <w:sz w:val="32"/>
          <w:szCs w:val="32"/>
          <w:lang w:eastAsia="zh-CN"/>
        </w:rPr>
        <w:t>的规定。为进一步了解情况，经报局领导批准，</w:t>
      </w:r>
      <w:r>
        <w:rPr>
          <w:rFonts w:hint="eastAsia" w:ascii="仿宋_GB2312" w:hAnsi="仿宋_GB2312" w:eastAsia="仿宋_GB2312" w:cs="仿宋_GB2312"/>
          <w:bCs/>
          <w:sz w:val="32"/>
          <w:szCs w:val="32"/>
        </w:rPr>
        <w:t>于202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日立案，并指派</w:t>
      </w:r>
      <w:r>
        <w:rPr>
          <w:rFonts w:hint="eastAsia" w:ascii="仿宋_GB2312" w:hAnsi="仿宋_GB2312" w:eastAsia="仿宋_GB2312" w:cs="仿宋_GB2312"/>
          <w:bCs/>
          <w:sz w:val="32"/>
          <w:szCs w:val="32"/>
          <w:lang w:eastAsia="zh-CN"/>
        </w:rPr>
        <w:t>巴德玛、宋皓</w:t>
      </w:r>
      <w:r>
        <w:rPr>
          <w:rFonts w:hint="eastAsia" w:ascii="仿宋_GB2312" w:hAnsi="仿宋_GB2312" w:eastAsia="仿宋_GB2312" w:cs="仿宋_GB2312"/>
          <w:bCs/>
          <w:sz w:val="32"/>
          <w:szCs w:val="32"/>
        </w:rPr>
        <w:t>对此案进行调查了解。</w:t>
      </w:r>
      <w:r>
        <w:rPr>
          <w:rFonts w:hint="eastAsia" w:ascii="仿宋_GB2312" w:hAnsi="仿宋_GB2312" w:eastAsia="仿宋_GB2312" w:cs="仿宋_GB2312"/>
          <w:bCs/>
          <w:sz w:val="32"/>
          <w:szCs w:val="32"/>
          <w:lang w:val="en-US" w:eastAsia="zh-CN"/>
        </w:rPr>
        <w:t>本案已于2024年10月22日调查终结。</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w:t>
      </w:r>
    </w:p>
    <w:p>
      <w:pPr>
        <w:keepNext w:val="0"/>
        <w:keepLines w:val="0"/>
        <w:pageBreakBefore w:val="0"/>
        <w:widowControl w:val="0"/>
        <w:wordWrap/>
        <w:overflowPunct/>
        <w:topLinePunct w:val="0"/>
        <w:bidi w:val="0"/>
        <w:adjustRightInd/>
        <w:snapToGrid/>
        <w:spacing w:line="560" w:lineRule="exact"/>
        <w:ind w:left="0"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经查，</w:t>
      </w:r>
      <w:r>
        <w:rPr>
          <w:rFonts w:hint="eastAsia" w:ascii="仿宋_GB2312" w:hAnsi="仿宋_GB2312" w:eastAsia="仿宋_GB2312" w:cs="仿宋_GB2312"/>
          <w:bCs/>
          <w:sz w:val="32"/>
          <w:szCs w:val="32"/>
          <w:lang w:val="en-US" w:eastAsia="zh-CN"/>
        </w:rPr>
        <w:t>乌苏市韩三娘自助火锅店</w:t>
      </w:r>
      <w:r>
        <w:rPr>
          <w:rFonts w:hint="eastAsia" w:ascii="仿宋_GB2312" w:hAnsi="仿宋_GB2312" w:eastAsia="仿宋_GB2312" w:cs="仿宋_GB2312"/>
          <w:b w:val="0"/>
          <w:bCs w:val="0"/>
          <w:sz w:val="32"/>
          <w:szCs w:val="32"/>
          <w:u w:val="none"/>
          <w:lang w:eastAsia="zh-CN"/>
        </w:rPr>
        <w:t>注册成立于</w:t>
      </w:r>
      <w:r>
        <w:rPr>
          <w:rFonts w:hint="eastAsia" w:ascii="仿宋_GB2312" w:hAnsi="仿宋_GB2312" w:eastAsia="仿宋_GB2312" w:cs="仿宋_GB2312"/>
          <w:b w:val="0"/>
          <w:bCs w:val="0"/>
          <w:sz w:val="32"/>
          <w:szCs w:val="32"/>
          <w:u w:val="none"/>
          <w:lang w:val="en-US" w:eastAsia="zh-CN"/>
        </w:rPr>
        <w:t>2023年11月10日，主要从事餐饮服务，经营</w:t>
      </w:r>
      <w:r>
        <w:rPr>
          <w:rFonts w:hint="eastAsia" w:ascii="仿宋_GB2312" w:hAnsi="仿宋_GB2312" w:eastAsia="仿宋_GB2312" w:cs="仿宋_GB2312"/>
          <w:b w:val="0"/>
          <w:bCs w:val="0"/>
          <w:sz w:val="32"/>
          <w:szCs w:val="32"/>
          <w:u w:val="none"/>
          <w:lang w:eastAsia="zh-CN"/>
        </w:rPr>
        <w:t>面积</w:t>
      </w:r>
      <w:r>
        <w:rPr>
          <w:rFonts w:hint="eastAsia" w:ascii="仿宋_GB2312" w:hAnsi="仿宋_GB2312" w:eastAsia="仿宋_GB2312" w:cs="仿宋_GB2312"/>
          <w:b w:val="0"/>
          <w:bCs w:val="0"/>
          <w:sz w:val="32"/>
          <w:szCs w:val="32"/>
          <w:u w:val="none"/>
          <w:lang w:val="en-US" w:eastAsia="zh-CN"/>
        </w:rPr>
        <w:t>258</w:t>
      </w:r>
      <w:r>
        <w:rPr>
          <w:rFonts w:hint="eastAsia" w:ascii="仿宋_GB2312" w:hAnsi="仿宋_GB2312" w:eastAsia="仿宋_GB2312" w:cs="仿宋_GB2312"/>
          <w:bCs/>
          <w:sz w:val="32"/>
          <w:szCs w:val="32"/>
          <w:lang w:val="en-US" w:eastAsia="zh-CN"/>
        </w:rPr>
        <w:t>平米。当事人于2024年7月6日在</w:t>
      </w:r>
      <w:r>
        <w:rPr>
          <w:rFonts w:hint="eastAsia" w:ascii="仿宋" w:hAnsi="仿宋" w:eastAsia="仿宋" w:cs="仿宋"/>
          <w:bCs/>
          <w:sz w:val="32"/>
          <w:szCs w:val="32"/>
          <w:lang w:val="en-US" w:eastAsia="zh-CN"/>
        </w:rPr>
        <w:t>《</w:t>
      </w:r>
      <w:r>
        <w:rPr>
          <w:rFonts w:hint="eastAsia" w:ascii="仿宋_GB2312" w:hAnsi="仿宋_GB2312" w:eastAsia="仿宋_GB2312" w:cs="仿宋_GB2312"/>
          <w:bCs/>
          <w:sz w:val="32"/>
          <w:szCs w:val="32"/>
          <w:lang w:val="en-US" w:eastAsia="zh-CN"/>
        </w:rPr>
        <w:t>食品经营许可证</w:t>
      </w:r>
      <w:r>
        <w:rPr>
          <w:rFonts w:hint="eastAsia" w:ascii="仿宋" w:hAnsi="仿宋" w:eastAsia="仿宋" w:cs="仿宋"/>
          <w:bCs/>
          <w:sz w:val="32"/>
          <w:szCs w:val="32"/>
          <w:lang w:val="en-US" w:eastAsia="zh-CN"/>
        </w:rPr>
        <w:t>》经营项目</w:t>
      </w:r>
      <w:r>
        <w:rPr>
          <w:rFonts w:hint="eastAsia" w:ascii="仿宋_GB2312" w:hAnsi="仿宋_GB2312" w:eastAsia="仿宋_GB2312" w:cs="仿宋_GB2312"/>
          <w:bCs/>
          <w:sz w:val="32"/>
          <w:szCs w:val="32"/>
          <w:lang w:val="en-US" w:eastAsia="zh-CN"/>
        </w:rPr>
        <w:t xml:space="preserve">无冷食类食品制售且操作间未设置凉菜专间或凉菜加工专区的情况下，开展了冷食类食品制售，食品经营许可证载明的事项发生变化后，当事人未在变化后十个工作日内向原发证的市场监督管理部门申请变更食品经营许可项目。经调查确认，当事人是以人均119元随便吃的自助消费，所制售凉菜未单独标价收费，故无法确定货值金额和违法所得，当事人在案发后立即停止了冷食类食品制售行为。当事人在现场、调查笔录上签字确认，未提出异议。   </w:t>
      </w:r>
    </w:p>
    <w:p>
      <w:pPr>
        <w:keepNext w:val="0"/>
        <w:keepLines w:val="0"/>
        <w:pageBreakBefore w:val="0"/>
        <w:widowControl w:val="0"/>
        <w:wordWrap/>
        <w:overflowPunct/>
        <w:topLinePunct w:val="0"/>
        <w:bidi w:val="0"/>
        <w:adjustRightInd/>
        <w:snapToGrid/>
        <w:spacing w:line="560" w:lineRule="exact"/>
        <w:ind w:left="0" w:firstLine="640" w:firstLineChars="200"/>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rPr>
        <w:t>上述事实，主要有以下证据证明：</w:t>
      </w:r>
    </w:p>
    <w:p>
      <w:pPr>
        <w:keepNext w:val="0"/>
        <w:keepLines w:val="0"/>
        <w:pageBreakBefore w:val="0"/>
        <w:widowControl w:val="0"/>
        <w:numPr>
          <w:ilvl w:val="0"/>
          <w:numId w:val="1"/>
        </w:numPr>
        <w:wordWrap/>
        <w:overflowPunct/>
        <w:topLinePunct w:val="0"/>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营业执照复印件</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由当事人提供，</w:t>
      </w:r>
      <w:r>
        <w:rPr>
          <w:rFonts w:hint="eastAsia" w:ascii="仿宋_GB2312" w:hAnsi="仿宋_GB2312" w:eastAsia="仿宋_GB2312" w:cs="仿宋_GB2312"/>
          <w:sz w:val="32"/>
          <w:szCs w:val="32"/>
          <w:u w:val="none"/>
        </w:rPr>
        <w:t>证</w:t>
      </w:r>
      <w:r>
        <w:rPr>
          <w:rFonts w:hint="eastAsia" w:ascii="仿宋_GB2312" w:hAnsi="仿宋_GB2312" w:eastAsia="仿宋_GB2312" w:cs="仿宋_GB2312"/>
          <w:sz w:val="32"/>
          <w:szCs w:val="32"/>
          <w:u w:val="none"/>
          <w:lang w:eastAsia="zh-CN"/>
        </w:rPr>
        <w:t>明当事人经营主体资格及经营范围；</w:t>
      </w:r>
    </w:p>
    <w:p>
      <w:pPr>
        <w:keepNext w:val="0"/>
        <w:keepLines w:val="0"/>
        <w:pageBreakBefore w:val="0"/>
        <w:widowControl w:val="0"/>
        <w:numPr>
          <w:ilvl w:val="0"/>
          <w:numId w:val="1"/>
        </w:numPr>
        <w:wordWrap/>
        <w:overflowPunct/>
        <w:topLinePunct w:val="0"/>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食品经营许可证复印件</w:t>
      </w:r>
      <w:r>
        <w:rPr>
          <w:rFonts w:hint="eastAsia" w:ascii="仿宋_GB2312" w:hAnsi="仿宋_GB2312" w:eastAsia="仿宋_GB2312" w:cs="仿宋_GB2312"/>
          <w:sz w:val="32"/>
          <w:szCs w:val="32"/>
          <w:u w:val="none"/>
          <w:lang w:val="en-US" w:eastAsia="zh-CN"/>
        </w:rPr>
        <w:t>1份，由当事人提供，证明</w:t>
      </w:r>
      <w:r>
        <w:rPr>
          <w:rFonts w:hint="eastAsia" w:ascii="仿宋" w:hAnsi="仿宋" w:eastAsia="仿宋" w:cs="仿宋"/>
          <w:sz w:val="32"/>
          <w:szCs w:val="32"/>
          <w:u w:val="none"/>
          <w:lang w:eastAsia="zh-CN"/>
        </w:rPr>
        <w:t>当事人具有从事餐饮服务经营活动的合法资格，并在有效期内；</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1"/>
        </w:numPr>
        <w:wordWrap/>
        <w:overflowPunct/>
        <w:topLinePunct w:val="0"/>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kern w:val="0"/>
          <w:sz w:val="32"/>
          <w:szCs w:val="32"/>
          <w:u w:val="none"/>
          <w:lang w:val="en-US" w:eastAsia="zh-CN" w:bidi="ar-SA"/>
        </w:rPr>
        <w:t>经营者身份证复印件1份，由当事人提供，证明经营者的身份信息与营业执照核准的信息相符；</w:t>
      </w:r>
    </w:p>
    <w:p>
      <w:pPr>
        <w:keepNext w:val="0"/>
        <w:keepLines w:val="0"/>
        <w:pageBreakBefore w:val="0"/>
        <w:widowControl w:val="0"/>
        <w:numPr>
          <w:ilvl w:val="0"/>
          <w:numId w:val="1"/>
        </w:numPr>
        <w:wordWrap/>
        <w:overflowPunct/>
        <w:topLinePunct w:val="0"/>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现场笔录1份，证明</w:t>
      </w:r>
      <w:r>
        <w:rPr>
          <w:rFonts w:hint="eastAsia" w:ascii="仿宋_GB2312" w:hAnsi="仿宋_GB2312" w:eastAsia="仿宋_GB2312" w:cs="仿宋_GB2312"/>
          <w:bCs/>
          <w:sz w:val="32"/>
          <w:szCs w:val="32"/>
          <w:lang w:val="en-US" w:eastAsia="zh-CN"/>
        </w:rPr>
        <w:t>2024年9月14日执法人员现场检查发现</w:t>
      </w:r>
      <w:r>
        <w:rPr>
          <w:rFonts w:hint="eastAsia" w:ascii="仿宋_GB2312" w:hAnsi="仿宋_GB2312" w:eastAsia="仿宋_GB2312" w:cs="仿宋_GB2312"/>
          <w:sz w:val="32"/>
          <w:szCs w:val="32"/>
          <w:u w:val="none"/>
          <w:lang w:val="en-US" w:eastAsia="zh-CN"/>
        </w:rPr>
        <w:t>当事人已取得的食品经营许可证无冷食类食品制售项目，在经营场所制售冷食类食品</w:t>
      </w:r>
      <w:r>
        <w:rPr>
          <w:rFonts w:hint="eastAsia" w:ascii="仿宋_GB2312" w:hAnsi="仿宋_GB2312" w:eastAsia="仿宋_GB2312" w:cs="仿宋_GB2312"/>
          <w:sz w:val="32"/>
          <w:szCs w:val="32"/>
          <w:u w:val="none"/>
          <w:lang w:eastAsia="zh-CN"/>
        </w:rPr>
        <w:t>的事实</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1"/>
        </w:numPr>
        <w:wordWrap/>
        <w:overflowPunct/>
        <w:topLinePunct w:val="0"/>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eastAsia="zh-CN"/>
        </w:rPr>
        <w:t>询问笔录</w:t>
      </w:r>
      <w:r>
        <w:rPr>
          <w:rFonts w:hint="eastAsia" w:ascii="仿宋_GB2312" w:hAnsi="仿宋_GB2312" w:eastAsia="仿宋_GB2312" w:cs="仿宋_GB2312"/>
          <w:sz w:val="32"/>
          <w:szCs w:val="32"/>
          <w:u w:val="none"/>
          <w:lang w:val="en-US" w:eastAsia="zh-CN"/>
        </w:rPr>
        <w:t>1份</w:t>
      </w:r>
      <w:r>
        <w:rPr>
          <w:rFonts w:hint="eastAsia" w:ascii="仿宋_GB2312" w:hAnsi="仿宋_GB2312" w:eastAsia="仿宋_GB2312" w:cs="仿宋_GB2312"/>
          <w:sz w:val="32"/>
          <w:szCs w:val="32"/>
          <w:u w:val="none"/>
          <w:lang w:eastAsia="zh-CN"/>
        </w:rPr>
        <w:t>，证明当事人</w:t>
      </w:r>
      <w:r>
        <w:rPr>
          <w:rFonts w:hint="eastAsia" w:ascii="仿宋_GB2312" w:hAnsi="仿宋_GB2312" w:eastAsia="仿宋_GB2312" w:cs="仿宋_GB2312"/>
          <w:bCs/>
          <w:sz w:val="32"/>
          <w:szCs w:val="32"/>
          <w:lang w:val="en-US" w:eastAsia="zh-CN"/>
        </w:rPr>
        <w:t>未经许可从事冷食类食品制售的时间及无法确定销售数量、销售金额的事实</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1"/>
        </w:numPr>
        <w:wordWrap/>
        <w:overflowPunct/>
        <w:topLinePunct w:val="0"/>
        <w:bidi w:val="0"/>
        <w:adjustRightInd/>
        <w:snapToGrid/>
        <w:spacing w:line="560" w:lineRule="exact"/>
        <w:ind w:left="0" w:leftChars="0" w:firstLine="640" w:firstLineChars="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现场拍摄照片1张，音视频资料1份，证明</w:t>
      </w:r>
      <w:r>
        <w:rPr>
          <w:rFonts w:hint="eastAsia" w:ascii="仿宋_GB2312" w:hAnsi="仿宋_GB2312" w:eastAsia="仿宋_GB2312" w:cs="仿宋_GB2312"/>
          <w:bCs/>
          <w:sz w:val="32"/>
          <w:szCs w:val="32"/>
          <w:lang w:val="en-US" w:eastAsia="zh-CN"/>
        </w:rPr>
        <w:t>2024年9月14日执法人员现场检查发现</w:t>
      </w:r>
      <w:r>
        <w:rPr>
          <w:rFonts w:hint="eastAsia" w:ascii="仿宋_GB2312" w:hAnsi="仿宋_GB2312" w:eastAsia="仿宋_GB2312" w:cs="仿宋_GB2312"/>
          <w:sz w:val="32"/>
          <w:szCs w:val="32"/>
          <w:u w:val="none"/>
          <w:lang w:val="en-US" w:eastAsia="zh-CN"/>
        </w:rPr>
        <w:t>当事人已取得的食品经营许可证无冷食类食品制售项目，在经营场所制售冷食类食品</w:t>
      </w:r>
      <w:r>
        <w:rPr>
          <w:rFonts w:hint="eastAsia" w:ascii="仿宋_GB2312" w:hAnsi="仿宋_GB2312" w:eastAsia="仿宋_GB2312" w:cs="仿宋_GB2312"/>
          <w:sz w:val="32"/>
          <w:szCs w:val="32"/>
          <w:u w:val="none"/>
          <w:lang w:eastAsia="zh-CN"/>
        </w:rPr>
        <w:t>的事实</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wordWrap/>
        <w:overflowPunct/>
        <w:topLinePunct w:val="0"/>
        <w:bidi w:val="0"/>
        <w:adjustRightInd/>
        <w:snapToGrid/>
        <w:spacing w:line="560" w:lineRule="exact"/>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我局于2024年11月4日依法向当事人送达了《行政处罚告知书》（乌市监罚告〔2024〕267号），告知了当事人依法享有陈述、申辩的权利，当事人在法定期限内未提出陈述、申辩，视为放弃此权利。                                                                                                                                               </w:t>
      </w:r>
    </w:p>
    <w:p>
      <w:pPr>
        <w:keepNext w:val="0"/>
        <w:keepLines w:val="0"/>
        <w:pageBreakBefore w:val="0"/>
        <w:widowControl w:val="0"/>
        <w:numPr>
          <w:ilvl w:val="0"/>
          <w:numId w:val="0"/>
        </w:numPr>
        <w:wordWrap/>
        <w:overflowPunct/>
        <w:topLinePunct w:val="0"/>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auto"/>
          <w:sz w:val="32"/>
          <w:szCs w:val="32"/>
          <w:u w:val="none"/>
          <w:lang w:eastAsia="zh-CN"/>
        </w:rPr>
        <w:t>当事人的上述行为违反了</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食</w:t>
      </w:r>
      <w:r>
        <w:rPr>
          <w:rFonts w:hint="eastAsia" w:ascii="仿宋_GB2312" w:hAnsi="仿宋_GB2312" w:eastAsia="仿宋_GB2312" w:cs="仿宋_GB2312"/>
          <w:bCs/>
          <w:sz w:val="32"/>
          <w:szCs w:val="32"/>
          <w:lang w:val="en-US" w:eastAsia="zh-CN"/>
        </w:rPr>
        <w:t>品经营许可和备案管理办法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第二十九条</w:t>
      </w:r>
      <w:r>
        <w:rPr>
          <w:rFonts w:hint="eastAsia" w:ascii="仿宋_GB2312" w:hAnsi="仿宋_GB2312" w:eastAsia="仿宋_GB2312" w:cs="仿宋_GB2312"/>
          <w:kern w:val="1"/>
          <w:sz w:val="32"/>
          <w:szCs w:val="32"/>
          <w:u w:val="none"/>
          <w:lang w:eastAsia="zh-CN"/>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食品经营许可证载明的事项发生变化的，食品经营者应当在变化后十个工作日内向原发证的市场监督管理部门申请变更食品经营许可。食品经营者地址迁移，不在原许可经营场所从事食品经营活动的，应当重新申请食品经营许可。</w:t>
      </w:r>
      <w:r>
        <w:rPr>
          <w:rFonts w:hint="eastAsia" w:ascii="仿宋_GB2312" w:hAnsi="仿宋_GB2312" w:eastAsia="仿宋_GB2312" w:cs="仿宋_GB2312"/>
          <w:sz w:val="32"/>
          <w:szCs w:val="32"/>
          <w:u w:val="none"/>
          <w:lang w:eastAsia="zh-CN"/>
        </w:rPr>
        <w:t xml:space="preserve">”的规定，属违法行为。                                   </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sz w:val="32"/>
          <w:szCs w:val="32"/>
          <w:u w:val="none"/>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根据</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食品经营许可和备案管理办法</w:t>
      </w:r>
      <w:r>
        <w:rPr>
          <w:rFonts w:hint="eastAsia" w:ascii="仿宋_GB2312" w:hAnsi="仿宋_GB2312" w:eastAsia="仿宋_GB2312" w:cs="仿宋_GB2312"/>
          <w:bCs/>
          <w:sz w:val="32"/>
          <w:szCs w:val="32"/>
          <w:lang w:eastAsia="zh-CN"/>
        </w:rPr>
        <w:t>》第五十二条第三款第三项：</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食品经营许可证载明的主体业态、经营项目等许可事项发生变化，食品经营者未按照规定申请变更的，由县级以上地方市场监督管理部门依照《</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eastAsia="zh-CN"/>
        </w:rPr>
        <w:t>中华人民共和国食品安全法</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"http://172.16.13.11:168/golaw?dbnm=gjfg&amp;flid=1116012021006027&amp;lknm=%b5%da%d2%bb%b0%d9%b6%fe%ca%ae%b6%fe%cc%f5" \l "law_firsthit"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eastAsia="zh-CN"/>
        </w:rPr>
        <w:t>第一百二十二条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的规定给予处罚。但是，有下列情形之一，依照《</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"http://172.16.13.11:168/golaw?dbnm=gjfg&amp;flid=1116012021001462"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eastAsia="zh-CN"/>
        </w:rPr>
        <w:t>中华人民共和国行政处罚法</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"http://172.16.13.11:168/golaw?dbnm=gjfg&amp;flid=1116012021001462&amp;lknm=%b5%da%c8%fd%ca%ae%b6%fe%cc%f5" \l "law_firsthit"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eastAsia="zh-CN"/>
        </w:rPr>
        <w:t>第三十二条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none"/>
          <w:lang w:val="en-US" w:eastAsia="zh-CN"/>
        </w:rPr>
        <w:fldChar w:fldCharType="begin"/>
      </w:r>
      <w:r>
        <w:rPr>
          <w:rFonts w:hint="eastAsia" w:ascii="仿宋_GB2312" w:hAnsi="仿宋_GB2312" w:eastAsia="仿宋_GB2312" w:cs="仿宋_GB2312"/>
          <w:sz w:val="32"/>
          <w:szCs w:val="32"/>
          <w:u w:val="none"/>
          <w:lang w:val="en-US" w:eastAsia="zh-CN"/>
        </w:rPr>
        <w:instrText xml:space="preserve"> HYPERLINK "http://172.16.13.11:168/golaw?dbnm=gjfg&amp;flid=1116012021001462&amp;lknm=%b5%da%c8%fd%ca%ae%c8%fd%cc%f5" \l "law_firsthit" \t "http://172.16.13.11:168/_blank" </w:instrText>
      </w:r>
      <w:r>
        <w:rPr>
          <w:rFonts w:hint="eastAsia" w:ascii="仿宋_GB2312" w:hAnsi="仿宋_GB2312" w:eastAsia="仿宋_GB2312" w:cs="仿宋_GB2312"/>
          <w:sz w:val="32"/>
          <w:szCs w:val="32"/>
          <w:u w:val="none"/>
          <w:lang w:val="en-US" w:eastAsia="zh-CN"/>
        </w:rPr>
        <w:fldChar w:fldCharType="separate"/>
      </w:r>
      <w:r>
        <w:rPr>
          <w:rFonts w:hint="eastAsia" w:ascii="仿宋_GB2312" w:hAnsi="仿宋_GB2312" w:eastAsia="仿宋_GB2312" w:cs="仿宋_GB2312"/>
          <w:sz w:val="32"/>
          <w:szCs w:val="32"/>
          <w:u w:val="none"/>
          <w:lang w:eastAsia="zh-CN"/>
        </w:rPr>
        <w:t>第三十三条</w:t>
      </w:r>
      <w:r>
        <w:rPr>
          <w:rFonts w:hint="eastAsia" w:ascii="仿宋_GB2312" w:hAnsi="仿宋_GB2312" w:eastAsia="仿宋_GB2312" w:cs="仿宋_GB2312"/>
          <w:sz w:val="32"/>
          <w:szCs w:val="32"/>
          <w:u w:val="none"/>
          <w:lang w:val="en-US" w:eastAsia="zh-CN"/>
        </w:rPr>
        <w:fldChar w:fldCharType="end"/>
      </w:r>
      <w:r>
        <w:rPr>
          <w:rFonts w:hint="eastAsia" w:ascii="仿宋_GB2312" w:hAnsi="仿宋_GB2312" w:eastAsia="仿宋_GB2312" w:cs="仿宋_GB2312"/>
          <w:sz w:val="32"/>
          <w:szCs w:val="32"/>
          <w:u w:val="none"/>
          <w:lang w:val="en-US" w:eastAsia="zh-CN"/>
        </w:rPr>
        <w:t>的规定从轻、减轻或者不予行政处罚：（三）违法行为轻微，未对消费者人身健康和生命安全等造成危害后果的；”和</w:t>
      </w:r>
      <w:r>
        <w:rPr>
          <w:rFonts w:hint="eastAsia" w:ascii="仿宋_GB2312" w:hAnsi="仿宋_GB2312" w:eastAsia="仿宋_GB2312" w:cs="仿宋_GB2312"/>
          <w:sz w:val="32"/>
          <w:szCs w:val="32"/>
          <w:u w:val="none"/>
          <w:lang w:eastAsia="zh-CN"/>
        </w:rPr>
        <w:t>《中华人民共和国食品安全法》第一百二十二条第一款“</w:t>
      </w:r>
      <w:r>
        <w:rPr>
          <w:rFonts w:hint="eastAsia" w:ascii="仿宋_GB2312" w:hAnsi="仿宋_GB2312" w:eastAsia="仿宋_GB2312" w:cs="仿宋_GB2312"/>
          <w:sz w:val="32"/>
          <w:szCs w:val="32"/>
          <w:u w:val="none"/>
          <w:lang w:val="en-US" w:eastAsia="zh-CN"/>
        </w:rPr>
        <w:t>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r>
        <w:rPr>
          <w:rFonts w:hint="eastAsia" w:ascii="仿宋_GB2312" w:hAnsi="仿宋_GB2312" w:eastAsia="仿宋_GB2312" w:cs="仿宋_GB2312"/>
          <w:sz w:val="32"/>
          <w:szCs w:val="32"/>
          <w:u w:val="none"/>
          <w:lang w:eastAsia="zh-CN"/>
        </w:rPr>
        <w:t>”的规定，</w:t>
      </w:r>
      <w:r>
        <w:rPr>
          <w:rFonts w:hint="eastAsia" w:ascii="仿宋_GB2312" w:hAnsi="仿宋_GB2312" w:eastAsia="仿宋_GB2312" w:cs="仿宋_GB2312"/>
          <w:sz w:val="32"/>
          <w:szCs w:val="32"/>
          <w:u w:val="none"/>
          <w:lang w:val="en-US" w:eastAsia="zh-CN"/>
        </w:rPr>
        <w:t>鉴于当事人系初次违法，积极配合市场监管部门调查，如实陈述违法事实并主动提供证据材料，当事人制售冷食类食品的数量较少，安全风险较低，每日现做现卖保证食品的新鲜，未造成较大的影响，在接受检查后立即下架整改，通过学习法律法规，对自身的违法行为有深刻的认识，并承诺在今后的经营过程中守法经营。依据</w:t>
      </w:r>
      <w:r>
        <w:rPr>
          <w:rFonts w:hint="eastAsia" w:ascii="仿宋_GB2312" w:hAnsi="仿宋_GB2312" w:eastAsia="仿宋_GB2312" w:cs="仿宋_GB2312"/>
          <w:kern w:val="0"/>
          <w:sz w:val="32"/>
          <w:szCs w:val="32"/>
          <w:lang w:val="en-US" w:eastAsia="zh-CN"/>
        </w:rPr>
        <w:t>《中华人民共和国行政处罚法》第三十三条第一款：</w:t>
      </w:r>
      <w:r>
        <w:rPr>
          <w:rFonts w:hint="eastAsia" w:ascii="仿宋_GB2312" w:hAnsi="仿宋_GB2312" w:eastAsia="仿宋_GB2312" w:cs="仿宋_GB2312"/>
          <w:sz w:val="32"/>
          <w:szCs w:val="32"/>
          <w:u w:val="none"/>
          <w:lang w:val="en-US" w:eastAsia="zh-CN"/>
        </w:rPr>
        <w:t>“违法行为轻微并及时改正，没有造成危害后果的，不予行政处罚。初次违法且危害后果轻微并及时改正的，可以不予行政处罚。”的规定，</w:t>
      </w:r>
      <w:r>
        <w:rPr>
          <w:rFonts w:hint="eastAsia" w:ascii="仿宋_GB2312" w:hAnsi="仿宋_GB2312" w:eastAsia="仿宋_GB2312" w:cs="仿宋_GB2312"/>
          <w:sz w:val="32"/>
          <w:szCs w:val="32"/>
          <w:u w:val="none"/>
          <w:lang w:eastAsia="zh-CN"/>
        </w:rPr>
        <w:t>责令当事人改正违法行为，决定对当事人不予行政处罚。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kern w:val="0"/>
          <w:sz w:val="32"/>
          <w:szCs w:val="32"/>
          <w:lang w:val="en-US" w:eastAsia="zh-CN"/>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w:t>
      </w: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依据《中华人民共和国行政处罚法》第三十三条第三款“对当事人的违法依法不予行政处罚的，行政机关应对当事人进行教育。”的规定，对当事人进行教育，具体内容如下：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1、加强对《中华人民共和国食品安全法》相关法律法规的学习，提高餐饮服务水平、增强食品安全的法律意识，切实保障消费者的合法权益。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2、要求经营者落实经营主体责任，确保群众食品消费安全。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righ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乌苏市市场监督管理局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center"/>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2024年12月2日</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kern w:val="0"/>
          <w:sz w:val="32"/>
          <w:szCs w:val="32"/>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color w:val="000000"/>
          <w:sz w:val="32"/>
          <w:szCs w:val="32"/>
          <w:u w:val="none" w:color="auto"/>
          <w:lang w:val="en-US" w:eastAsia="zh-CN"/>
        </w:rPr>
      </w:pPr>
    </w:p>
    <w:p>
      <w:pPr>
        <w:keepNext w:val="0"/>
        <w:keepLines w:val="0"/>
        <w:pageBreakBefore w:val="0"/>
        <w:kinsoku/>
        <w:wordWrap w:val="0"/>
        <w:overflowPunct/>
        <w:topLinePunct w:val="0"/>
        <w:autoSpaceDE/>
        <w:autoSpaceDN/>
        <w:bidi w:val="0"/>
        <w:adjustRightInd/>
        <w:snapToGrid w:val="0"/>
        <w:spacing w:line="560" w:lineRule="exact"/>
        <w:ind w:left="0" w:leftChars="0" w:right="0" w:rightChars="0"/>
        <w:jc w:val="both"/>
        <w:textAlignment w:val="auto"/>
        <w:outlineLvl w:val="9"/>
        <w:rPr>
          <w:rFonts w:hint="eastAsia" w:ascii="仿宋_GB2312" w:hAnsi="仿宋_GB2312" w:eastAsia="仿宋_GB2312" w:cs="仿宋_GB2312"/>
          <w:color w:val="000000"/>
          <w:sz w:val="32"/>
          <w:szCs w:val="32"/>
          <w:u w:val="none" w:color="auto"/>
          <w:lang w:val="en-US" w:eastAsia="zh-CN"/>
        </w:rPr>
      </w:pPr>
      <w:r>
        <w:rPr>
          <w:rFonts w:hint="eastAsia" w:ascii="仿宋_GB2312" w:hAnsi="仿宋_GB2312" w:eastAsia="仿宋_GB2312" w:cs="仿宋_GB2312"/>
          <w:color w:val="000000"/>
          <w:sz w:val="32"/>
          <w:szCs w:val="32"/>
          <w:u w:val="none" w:color="auto"/>
          <w:lang w:val="en-US" w:eastAsia="zh-CN"/>
        </w:rPr>
        <w:t>市场监督管理部门将依法向社会公开行政处罚决定信息</w:t>
      </w:r>
    </w:p>
    <w:p>
      <w:pPr>
        <w:keepNext w:val="0"/>
        <w:keepLines w:val="0"/>
        <w:pageBreakBefore w:val="0"/>
        <w:widowControl/>
        <w:kinsoku w:val="0"/>
        <w:overflowPunct/>
        <w:topLinePunct w:val="0"/>
        <w:autoSpaceDE w:val="0"/>
        <w:autoSpaceDN w:val="0"/>
        <w:bidi w:val="0"/>
        <w:adjustRightInd w:val="0"/>
        <w:snapToGrid w:val="0"/>
        <w:spacing w:line="560" w:lineRule="exact"/>
        <w:ind w:left="0"/>
        <w:jc w:val="both"/>
        <w:textAlignment w:val="center"/>
        <w:rPr>
          <w:rFonts w:ascii="Arial" w:hAnsi="Arial" w:eastAsia="Arial" w:cs="Arial"/>
          <w:snapToGrid w:val="0"/>
          <w:color w:val="000000"/>
          <w:kern w:val="0"/>
          <w:szCs w:val="21"/>
        </w:rPr>
      </w:pPr>
      <w:r>
        <w:rPr>
          <w:rFonts w:ascii="Arial" w:hAnsi="Arial" w:eastAsia="Arial" w:cs="Arial"/>
          <w:snapToGrid w:val="0"/>
          <w:color w:val="000000"/>
          <w:kern w:val="0"/>
          <w:szCs w:val="21"/>
        </w:rPr>
        <w:drawing>
          <wp:inline distT="0" distB="0" distL="0" distR="0">
            <wp:extent cx="5550535" cy="15875"/>
            <wp:effectExtent l="0" t="0" r="0" b="0"/>
            <wp:docPr id="241" name="IM 241"/>
            <wp:cNvGraphicFramePr/>
            <a:graphic xmlns:a="http://schemas.openxmlformats.org/drawingml/2006/main">
              <a:graphicData uri="http://schemas.openxmlformats.org/drawingml/2006/picture">
                <pic:pic xmlns:pic="http://schemas.openxmlformats.org/drawingml/2006/picture">
                  <pic:nvPicPr>
                    <pic:cNvPr id="241" name="IM 241"/>
                    <pic:cNvPicPr/>
                  </pic:nvPicPr>
                  <pic:blipFill>
                    <a:blip r:embed="rId5"/>
                    <a:stretch>
                      <a:fillRect/>
                    </a:stretch>
                  </pic:blipFill>
                  <pic:spPr>
                    <a:xfrm>
                      <a:off x="0" y="0"/>
                      <a:ext cx="5550535" cy="16509"/>
                    </a:xfrm>
                    <a:prstGeom prst="rect">
                      <a:avLst/>
                    </a:prstGeom>
                  </pic:spPr>
                </pic:pic>
              </a:graphicData>
            </a:graphic>
          </wp:inline>
        </w:drawing>
      </w:r>
    </w:p>
    <w:p>
      <w:pPr>
        <w:keepNext w:val="0"/>
        <w:keepLines w:val="0"/>
        <w:pageBreakBefore w:val="0"/>
        <w:widowControl/>
        <w:kinsoku w:val="0"/>
        <w:overflowPunct/>
        <w:topLinePunct w:val="0"/>
        <w:autoSpaceDE w:val="0"/>
        <w:autoSpaceDN w:val="0"/>
        <w:bidi w:val="0"/>
        <w:adjustRightInd w:val="0"/>
        <w:snapToGrid w:val="0"/>
        <w:spacing w:line="560" w:lineRule="exact"/>
        <w:ind w:left="0"/>
        <w:jc w:val="both"/>
        <w:textAlignment w:val="baseline"/>
        <w:rPr>
          <w:rFonts w:hint="eastAsia" w:eastAsia="仿宋"/>
          <w:lang w:eastAsia="zh-CN"/>
        </w:rPr>
      </w:pPr>
      <w:r>
        <w:rPr>
          <w:rFonts w:ascii="仿宋" w:hAnsi="仿宋" w:eastAsia="仿宋" w:cs="仿宋"/>
          <w:snapToGrid w:val="0"/>
          <w:color w:val="000000"/>
          <w:spacing w:val="-10"/>
          <w:kern w:val="0"/>
          <w:sz w:val="32"/>
          <w:szCs w:val="32"/>
        </w:rPr>
        <w:t>本文书一式</w:t>
      </w:r>
      <w:r>
        <w:rPr>
          <w:rFonts w:hint="eastAsia" w:ascii="仿宋" w:hAnsi="仿宋" w:eastAsia="仿宋" w:cs="仿宋"/>
          <w:snapToGrid w:val="0"/>
          <w:color w:val="000000"/>
          <w:spacing w:val="6"/>
          <w:kern w:val="0"/>
          <w:sz w:val="32"/>
          <w:szCs w:val="32"/>
          <w:u w:val="single" w:color="auto"/>
          <w:lang w:eastAsia="zh-CN"/>
        </w:rPr>
        <w:t>四</w:t>
      </w:r>
      <w:r>
        <w:rPr>
          <w:rFonts w:ascii="仿宋" w:hAnsi="仿宋" w:eastAsia="仿宋" w:cs="仿宋"/>
          <w:snapToGrid w:val="0"/>
          <w:color w:val="000000"/>
          <w:spacing w:val="-10"/>
          <w:kern w:val="0"/>
          <w:sz w:val="32"/>
          <w:szCs w:val="32"/>
        </w:rPr>
        <w:t>份，</w:t>
      </w:r>
      <w:r>
        <w:rPr>
          <w:rFonts w:hint="eastAsia" w:ascii="仿宋" w:hAnsi="仿宋" w:eastAsia="仿宋" w:cs="仿宋"/>
          <w:snapToGrid w:val="0"/>
          <w:color w:val="000000"/>
          <w:spacing w:val="20"/>
          <w:kern w:val="0"/>
          <w:sz w:val="32"/>
          <w:szCs w:val="32"/>
          <w:u w:val="single" w:color="auto"/>
          <w:lang w:eastAsia="zh-CN"/>
        </w:rPr>
        <w:t>一</w:t>
      </w:r>
      <w:r>
        <w:rPr>
          <w:rFonts w:ascii="仿宋" w:hAnsi="仿宋" w:eastAsia="仿宋" w:cs="仿宋"/>
          <w:snapToGrid w:val="0"/>
          <w:color w:val="000000"/>
          <w:spacing w:val="-10"/>
          <w:kern w:val="0"/>
          <w:sz w:val="32"/>
          <w:szCs w:val="32"/>
        </w:rPr>
        <w:t>份送达，</w:t>
      </w:r>
      <w:r>
        <w:rPr>
          <w:rFonts w:hint="eastAsia" w:ascii="仿宋" w:hAnsi="仿宋" w:eastAsia="仿宋" w:cs="仿宋"/>
          <w:snapToGrid w:val="0"/>
          <w:color w:val="000000"/>
          <w:spacing w:val="-10"/>
          <w:kern w:val="0"/>
          <w:sz w:val="32"/>
          <w:szCs w:val="32"/>
          <w:u w:val="single"/>
          <w:lang w:eastAsia="zh-CN"/>
        </w:rPr>
        <w:t>三</w:t>
      </w:r>
      <w:r>
        <w:rPr>
          <w:rFonts w:ascii="仿宋" w:hAnsi="仿宋" w:eastAsia="仿宋" w:cs="仿宋"/>
          <w:snapToGrid w:val="0"/>
          <w:color w:val="000000"/>
          <w:spacing w:val="-10"/>
          <w:kern w:val="0"/>
          <w:sz w:val="32"/>
          <w:szCs w:val="32"/>
        </w:rPr>
        <w:t>份归档</w:t>
      </w:r>
      <w:r>
        <w:rPr>
          <w:rFonts w:hint="eastAsia" w:ascii="仿宋" w:hAnsi="仿宋" w:eastAsia="仿宋" w:cs="仿宋"/>
          <w:snapToGrid w:val="0"/>
          <w:color w:val="000000"/>
          <w:spacing w:val="-10"/>
          <w:kern w:val="0"/>
          <w:sz w:val="32"/>
          <w:szCs w:val="32"/>
          <w:lang w:eastAsia="zh-CN"/>
        </w:rPr>
        <w:t>。</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kinsoku w:val="0"/>
      <w:autoSpaceDE w:val="0"/>
      <w:autoSpaceDN w:val="0"/>
      <w:adjustRightInd w:val="0"/>
      <w:snapToGrid w:val="0"/>
      <w:spacing w:line="14" w:lineRule="auto"/>
      <w:jc w:val="left"/>
      <w:textAlignment w:val="baseline"/>
      <w:rPr>
        <w:rFonts w:ascii="Microsoft JhengHei" w:hAnsi="Arial" w:eastAsia="Arial" w:cs="Arial"/>
        <w:snapToGrid w:val="0"/>
        <w:color w:val="000000"/>
        <w:kern w:val="0"/>
        <w:sz w:val="2"/>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9211A1"/>
    <w:multiLevelType w:val="singleLevel"/>
    <w:tmpl w:val="7C9211A1"/>
    <w:lvl w:ilvl="0" w:tentative="0">
      <w:start w:val="1"/>
      <w:numFmt w:val="decimal"/>
      <w:suff w:val="nothing"/>
      <w:lvlText w:val="%1．"/>
      <w:lvlJc w:val="left"/>
      <w:pPr>
        <w:ind w:left="-1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58E16FB2"/>
    <w:rsid w:val="00DC57F7"/>
    <w:rsid w:val="01483184"/>
    <w:rsid w:val="01C97CA1"/>
    <w:rsid w:val="05627C01"/>
    <w:rsid w:val="0C51597A"/>
    <w:rsid w:val="0DBC3817"/>
    <w:rsid w:val="0EA91959"/>
    <w:rsid w:val="10BB36C6"/>
    <w:rsid w:val="1246451B"/>
    <w:rsid w:val="180E6958"/>
    <w:rsid w:val="19EA650F"/>
    <w:rsid w:val="1A4E34E2"/>
    <w:rsid w:val="1B69358D"/>
    <w:rsid w:val="1E3B309E"/>
    <w:rsid w:val="1E4F1630"/>
    <w:rsid w:val="1E8F44C3"/>
    <w:rsid w:val="1F6C111A"/>
    <w:rsid w:val="20DE03B8"/>
    <w:rsid w:val="2335653D"/>
    <w:rsid w:val="240B1D79"/>
    <w:rsid w:val="24D5295B"/>
    <w:rsid w:val="2673766D"/>
    <w:rsid w:val="272762B7"/>
    <w:rsid w:val="29B805A3"/>
    <w:rsid w:val="2FFF534B"/>
    <w:rsid w:val="30925BBF"/>
    <w:rsid w:val="312463E9"/>
    <w:rsid w:val="33BD4665"/>
    <w:rsid w:val="3C620AF2"/>
    <w:rsid w:val="3E6D1878"/>
    <w:rsid w:val="3EC90A0B"/>
    <w:rsid w:val="411D7F3D"/>
    <w:rsid w:val="43DF1F29"/>
    <w:rsid w:val="44455DE8"/>
    <w:rsid w:val="44DF3D8B"/>
    <w:rsid w:val="455A2D00"/>
    <w:rsid w:val="4667001B"/>
    <w:rsid w:val="472F0871"/>
    <w:rsid w:val="4F7F3DFA"/>
    <w:rsid w:val="4F9261E7"/>
    <w:rsid w:val="508E4780"/>
    <w:rsid w:val="50CF02A4"/>
    <w:rsid w:val="529E1798"/>
    <w:rsid w:val="53277565"/>
    <w:rsid w:val="540B4BD6"/>
    <w:rsid w:val="55D26803"/>
    <w:rsid w:val="572D3B16"/>
    <w:rsid w:val="57677F3F"/>
    <w:rsid w:val="57773F0F"/>
    <w:rsid w:val="58E16FB2"/>
    <w:rsid w:val="5F1C682A"/>
    <w:rsid w:val="61E64A14"/>
    <w:rsid w:val="62EC0A77"/>
    <w:rsid w:val="639524C4"/>
    <w:rsid w:val="65105D62"/>
    <w:rsid w:val="664C23E4"/>
    <w:rsid w:val="69D13315"/>
    <w:rsid w:val="6E9544FD"/>
    <w:rsid w:val="73552361"/>
    <w:rsid w:val="73D45E32"/>
    <w:rsid w:val="746A15D9"/>
    <w:rsid w:val="757254DA"/>
    <w:rsid w:val="7A49759E"/>
    <w:rsid w:val="7D4C456D"/>
    <w:rsid w:val="7DC41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2021-07-23T04:50:00Z</dcterms:created>
  <dc:creator>刘涛</dc:creator>
  <cp:lastModifiedBy>喜文</cp:lastModifiedBy>
  <cp:lastPrinted>2024-03-19T05:51:00Z</cp:lastPrinted>
  <dcterms:modified xsi:type="dcterms:W3CDTF">2024-12-30T03:13:52Z</dcterms:modified>
  <dc:title>	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C0BBC977A06844FABB9363CB3354B70C</vt:lpwstr>
  </property>
</Properties>
</file>