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865"/>
      <w:bookmarkStart w:id="1" w:name="_Toc76683363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行政处罚决定书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outlineLvl w:val="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市监处罚〔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258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Mongolian Baiti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000000"/>
          <w:kern w:val="2"/>
          <w:sz w:val="32"/>
          <w:szCs w:val="32"/>
          <w:lang w:val="en-US" w:eastAsia="zh-CN" w:bidi="ar-SA"/>
        </w:rPr>
        <w:pict>
          <v:shape id="直接箭头连接符 1" o:spid="_x0000_s1026" o:spt="32" type="#_x0000_t32" style="position:absolute;left:0pt;margin-left:-3pt;margin-top:1638pt;height:0.05pt;width:453.7pt;z-index:251659264;mso-width-relative:page;mso-height-relative:page;" fillcolor="#FFFFFF" filled="t" o:preferrelative="t" stroked="t" coordsize="21600,21600" o:allowoverlap="f">
            <v:path arrowok="t"/>
            <v:fill on="t" focussize="0,0"/>
            <v:stroke weight="1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乌苏市苏瑞达工贸有限公司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eastAsia="zh-CN"/>
        </w:rPr>
        <w:t>《营业执照》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916542025893246050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新疆塔城地区乌苏市嘉陵江路2号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日，我局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委托新疆维吾尔自治区产品质量检验研究院依法对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乌苏市苏瑞达工贸有限公司销售的溶解乙炔气体进行了抽样检验，现场对厂</w:t>
      </w:r>
      <w:bookmarkStart w:id="3" w:name="_GoBack"/>
      <w:r>
        <w:rPr>
          <w:rFonts w:hint="eastAsia" w:ascii="仿宋_GB2312" w:hAnsi="仿宋_GB2312" w:eastAsia="仿宋_GB2312" w:cs="仿宋_GB2312"/>
          <w:bCs/>
          <w:sz w:val="32"/>
          <w:szCs w:val="32"/>
          <w:highlight w:val="cyan"/>
          <w:lang w:val="en-US" w:eastAsia="zh-CN"/>
        </w:rPr>
        <w:t>区满</w:t>
      </w:r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瓶区55支满瓶溶解乙炔气瓶（充装日期为2024年6月20日）随机抽取3支（编号为：222324、186254、496185），进行乙炔磷化氢、硫化氢项目检验，硝酸银试纸变为棕黑色；抽检人员随机又抽取6支溶解乙炔气瓶（气瓶编号为：203196、037416、034126、030075、220064、898338），开展乙炔磷化氢、硫化氢项目检验，硝酸银试纸仍变为棕黑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报局领导批准，执法人员现场对当事人销售的不符合国家标准的溶解乙炔气体的55支乙炔气瓶实施了查封的行政强制措施，向当事人送达了《实施行政强制措施决定书》（乌市监强制〔2024〕118号），当事人现场签收无异议。2024年9月7日，我局收到新疆维吾尔自治区产品质量检验研究院出具的编号为№:2024X-J-NH06880的检验报告，检验结论为：该批产品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GB 6819-2004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标准检验，判该批产品不合格。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日，执法人员依法向当事人送达了《检验结果告知书》（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市监检结〔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9-9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当事人现场签收无异议。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当事人销售不符合国家标准的溶解乙炔的行为违反了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《中华人民共和国产品质量法》第十三条第一款和第二款的规定，经报局领导批准，于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日立案，并指派张春齐、李翠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对此案进行调查了解，本案已于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日调查终结。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当事人于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年6月25日从新疆昌焰气体制造有限公司购买溶解乙炔气体168瓶，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年8月1日现场抽样时充装日期为2024年6月20日的溶解乙炔气瓶共计55瓶，执法人员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现场对厂区55支满瓶溶解乙炔气体进行抽样检验，经检验：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该批次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溶解乙炔气体不符合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GB 6819-2004标准要求，判定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为不合格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产品，当事人对检验结果无异议。当事人购进的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溶解乙炔气体成本价为50元/瓶，销售价为60元/瓶。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该批经检验不合格的溶解乙炔气体的货值金额为：3300元（55瓶×60元/瓶=3300元），因当事人无法确定充装日期为2024年6月20日的溶解乙炔气体的具体购进、销售数量，故无法计算违法所得。当事人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已构成销售不符合国家标准的溶解乙炔气体的违法行为。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>当事人在现场笔录、调查笔录上签字确认，未提出异议。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乌苏市苏瑞达工贸有限公司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营业执照、危险化学品经营许可证复印件各1份，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由当事人提供，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证明当事人经营主体资格、经营范围及许可内容；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乌苏市苏瑞达工贸有限公司法定代表人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eastAsia="zh-CN"/>
        </w:rPr>
        <w:t>马国强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的身份证复印件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，由当事人提供，证明该公司法定代表人身份信息及与《营业执照》核准的法定代表人信息相符；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对乌苏市苏瑞达工贸有限公司现场检查笔录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笔录（一）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2024年8月1日进行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抽样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的地点、基数和实施查封行政强制措施的情况；笔录（二）证明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2024年9月9日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向当事人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送达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自治区产品质量检验研究院出具的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编号为№:2024X-J-NH06880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eastAsia="zh-CN"/>
        </w:rPr>
        <w:t>《检验报告》，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当事人对检验结果无异议的事实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工业品买卖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合同、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气体供应本复印件各1份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，证明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乌苏市苏瑞达工贸有限公司从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新疆昌焰气体制造有限公司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购买溶解乙炔的数量和事实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出库单1份，由当事人提供，证明当事人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val="en-US" w:eastAsia="zh-CN"/>
        </w:rPr>
        <w:t>销售涉案溶解乙炔的价格的事实；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日对乌苏市苏瑞达工贸有限公司法定代表人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马国强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的调查笔录1份，证明当事人从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新疆昌焰气体制造有限公司购进涉案溶解乙炔气体的进货时间、数量、价格和销售数量、价格的经营情况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新疆维吾尔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自治区产品质量检验研究院出具的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编号为№:2024X-J-NH06880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《检验报告》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1份，证明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2024年8月1日对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销售的涉案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溶解乙炔气体经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抽样检验判定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为不合格产品的事实；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8、现场检查照片4张，音像视频资料2份，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执法人员对当事人经营场所进行现场检查，以及对当事人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销售的涉案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溶解乙炔气体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现场抽样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的事实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我局于2024年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日依法向当事人送达了《行政处罚告知书》（乌市监罚告〔2024〕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val="en-US" w:eastAsia="zh-CN"/>
        </w:rPr>
        <w:t>258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号），告知了当事人依法享有陈述、申辩的权利，当事人在法定期限内未提出陈述、申辩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视为放弃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 xml:space="preserve">权利。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当事人的上述行为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违反了《中华人民共和国产品质量法》第十三条第一款“可能危及人体健康和人身、财产安全的工业产品，必须符合保障人体健康和人身、财产安全的国家标准、行业标准；未制定国家标准、行业标准的，必须符合保障人体健康和人身、财产安全的要求。”和第二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“禁止生产、销售不符合保障人体健康和人身、财产安全的标准和要求的工业产品。具体管理办法由国务院规定”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 xml:space="preserve">定，属于违法行为。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鉴于当事人积极配合案件调查，态度端正，如实陈述违法事实并主动提供证据材料，并承诺今后守法经营。参照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《新疆维吾尔自治区 新疆生产建设兵团市场监督管理行政处罚裁量基准（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）》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第五章 产品质量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生产许可管理 第一节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/>
        </w:rPr>
        <w:t>《中华人民共和国产品质量法》“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序号1，违法行为：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 w:eastAsia="zh-CN"/>
        </w:rPr>
        <w:t>生产、销售不符合保障人体健康和人身、财产安全的国家标准、行业标准的产品的行为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，有下列情形之一的：（1）产品已售出且未能全部收回、召回的；（2）没有其他从轻、从重的情形的；裁量基准：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 w:eastAsia="zh-CN"/>
        </w:rPr>
        <w:t>（1）责令停止生产、销售；（2）没收违法生产、销售的产品；（3）并处违法生产、销售产品货值金额1.6 倍以上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2.4倍以下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 w:eastAsia="zh-CN"/>
        </w:rPr>
        <w:t>的罚款；（4）有违法所得的，并处没收违法所得。”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CN" w:eastAsia="zh-CN"/>
        </w:rPr>
        <w:t>规定，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综合考虑个案情况、当事人主客观情况等相关因素，责令当事人改正违法经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行为，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决定给予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一般行政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 xml:space="preserve">处罚。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对当事人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销售不符合国家标准的溶解乙炔的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行为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中华人民共和国产品质量法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四十九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生产、销售不符合保障人体健康和人身、财产安全的国家标准、行业标准的产品的，责令停止生产、销售，没收违法生产、销售的产品，并处违法生产、销售产品（包括已售出和未售出的产品，下同）货值金额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cyan"/>
          <w:lang w:eastAsia="zh-CN"/>
        </w:rPr>
        <w:t>等值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以上三倍以下的罚款；有违法所得的，并处没收违法所得；情节严重的，吊销营业执照；构成犯罪的，依法追究刑事责任。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责令当事人改正违法经营行为，决定对当事人处罚如下：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一、没收不符合国家标准的溶解乙炔气体55瓶；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货值金额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倍的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罚款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6600元；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罚没款合计：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6600元。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当事人应当自收到本行政处罚决定书之日起十五日内，将罚没款缴至中国建设银行塔城地区分行乌苏新区支行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地址：乌苏市新市区长江路141号，用户名：乌苏市财政局，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：65001642200052500066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。到期不缴纳罚款的，依据《中华人民共和国行政处罚法》第七十二条的规定，本局将每日按罚款数额的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3%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 xml:space="preserve">加处罚款，并依法申请人民法院强制执行。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如不服本行政处罚决定，可以在收到本行政处罚决定书之日起六十日内向乌苏市人民政府（地址：乌苏市新市区长江路139号财政大楼三楼行政复议办公室）申请行政复议；也可以在六个月内依法向乌苏市人民法院（地址：乌苏市新市区长江路140号）提起行政诉讼。申请行政复议或者提起行政诉讼期间，行政处罚不停止执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乌苏市市场监督管理局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</w:rPr>
        <w:t>（市场监督管理部门将依法向社会公开行政处罚决定信息）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pict>
          <v:line id="直接连接符 2" o:spid="_x0000_s1027" o:spt="20" style="position:absolute;left:0pt;margin-left:-10.45pt;margin-top:27.05pt;height:0.05pt;width:437.05pt;z-index:25166131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pict>
          <v:line id="直接连接符 4" o:spid="_x0000_s1028" o:spt="20" style="position:absolute;left:0pt;margin-left:12pt;margin-top:1650.35pt;height:0.1pt;width:453.75pt;z-index:251662336;mso-width-relative:page;mso-height-relative:page;" fillcolor="#FFFFFF" filled="f" o:preferrelative="t" stroked="t" coordsize="21600,21600">
            <v:path arrowok="t"/>
            <v:fill on="f" color2="#FFFFFF" focussize="0,0"/>
            <v:stroke weight="0.737007874015748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份归档。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pict>
          <v:line id="直接连接符 3" o:spid="_x0000_s1029" o:spt="20" style="position:absolute;left:0pt;margin-left:0pt;margin-top:1638.35pt;height:0.1pt;width:453.75pt;z-index:251660288;mso-width-relative:page;mso-height-relative:page;" fillcolor="#FFFFFF" filled="f" o:preferrelative="t" stroked="t" coordsize="21600,21600">
            <v:path arrowok="t"/>
            <v:fill on="f" color2="#FFFFFF" focussize="0,0"/>
            <v:stroke weight="0.737007874015748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B1C19"/>
    <w:multiLevelType w:val="singleLevel"/>
    <w:tmpl w:val="C52B1C1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VhMGI1ZmUzNGRlZTQ0OTEzMDRkNWVjMmRmNTBlNTIifQ=="/>
  </w:docVars>
  <w:rsids>
    <w:rsidRoot w:val="19C8581D"/>
    <w:rsid w:val="00ED0522"/>
    <w:rsid w:val="0116312F"/>
    <w:rsid w:val="02B73E03"/>
    <w:rsid w:val="03EC63FF"/>
    <w:rsid w:val="04463FC8"/>
    <w:rsid w:val="054737CE"/>
    <w:rsid w:val="06130F41"/>
    <w:rsid w:val="079C0384"/>
    <w:rsid w:val="091266F1"/>
    <w:rsid w:val="09886330"/>
    <w:rsid w:val="098C2285"/>
    <w:rsid w:val="0A917E91"/>
    <w:rsid w:val="0C4A71B8"/>
    <w:rsid w:val="0CF31BCF"/>
    <w:rsid w:val="0D1D3810"/>
    <w:rsid w:val="0D7F17B3"/>
    <w:rsid w:val="0E4B1D6B"/>
    <w:rsid w:val="0FAF1102"/>
    <w:rsid w:val="100C48AC"/>
    <w:rsid w:val="1088482A"/>
    <w:rsid w:val="10CF41FE"/>
    <w:rsid w:val="10EF36B3"/>
    <w:rsid w:val="14A06D86"/>
    <w:rsid w:val="1782289D"/>
    <w:rsid w:val="18833745"/>
    <w:rsid w:val="18A516FB"/>
    <w:rsid w:val="19464546"/>
    <w:rsid w:val="19C8581D"/>
    <w:rsid w:val="1CFE5B1D"/>
    <w:rsid w:val="20920EFC"/>
    <w:rsid w:val="22DB4AB1"/>
    <w:rsid w:val="235A2339"/>
    <w:rsid w:val="235A678A"/>
    <w:rsid w:val="23A040C4"/>
    <w:rsid w:val="23A737DF"/>
    <w:rsid w:val="25773475"/>
    <w:rsid w:val="26696485"/>
    <w:rsid w:val="27E733C6"/>
    <w:rsid w:val="282E5A86"/>
    <w:rsid w:val="286F1EF7"/>
    <w:rsid w:val="2CEA7669"/>
    <w:rsid w:val="2F890149"/>
    <w:rsid w:val="2F89790B"/>
    <w:rsid w:val="30D653AF"/>
    <w:rsid w:val="312C0EA1"/>
    <w:rsid w:val="313F6598"/>
    <w:rsid w:val="35697986"/>
    <w:rsid w:val="35743D23"/>
    <w:rsid w:val="3ADC2758"/>
    <w:rsid w:val="3AF678CC"/>
    <w:rsid w:val="3B181801"/>
    <w:rsid w:val="3C9005F2"/>
    <w:rsid w:val="3D3417D8"/>
    <w:rsid w:val="3D3440FA"/>
    <w:rsid w:val="3F6413E1"/>
    <w:rsid w:val="406475D5"/>
    <w:rsid w:val="40EA1C0C"/>
    <w:rsid w:val="40EE3E95"/>
    <w:rsid w:val="42240442"/>
    <w:rsid w:val="425F0D40"/>
    <w:rsid w:val="42F25864"/>
    <w:rsid w:val="44EC561F"/>
    <w:rsid w:val="4508505B"/>
    <w:rsid w:val="461B5D11"/>
    <w:rsid w:val="473C66FB"/>
    <w:rsid w:val="47C8123B"/>
    <w:rsid w:val="487D0836"/>
    <w:rsid w:val="4A332D07"/>
    <w:rsid w:val="4A995259"/>
    <w:rsid w:val="4B021F3B"/>
    <w:rsid w:val="4D9023D0"/>
    <w:rsid w:val="4E0E15E1"/>
    <w:rsid w:val="4E596E78"/>
    <w:rsid w:val="4E6F410B"/>
    <w:rsid w:val="4F7B60EA"/>
    <w:rsid w:val="4FE428F7"/>
    <w:rsid w:val="500E2246"/>
    <w:rsid w:val="50345982"/>
    <w:rsid w:val="53243903"/>
    <w:rsid w:val="54A35F7E"/>
    <w:rsid w:val="553C65F0"/>
    <w:rsid w:val="55AB262D"/>
    <w:rsid w:val="58682355"/>
    <w:rsid w:val="59583D51"/>
    <w:rsid w:val="5B3F1D42"/>
    <w:rsid w:val="5CAE7DE7"/>
    <w:rsid w:val="5CBE30C2"/>
    <w:rsid w:val="5CE45DAA"/>
    <w:rsid w:val="5EAC2FB1"/>
    <w:rsid w:val="5EC3462B"/>
    <w:rsid w:val="5ED07DFE"/>
    <w:rsid w:val="5F4840CA"/>
    <w:rsid w:val="606B19BF"/>
    <w:rsid w:val="610D6D0A"/>
    <w:rsid w:val="62623873"/>
    <w:rsid w:val="63895A8B"/>
    <w:rsid w:val="6904039B"/>
    <w:rsid w:val="694E22E1"/>
    <w:rsid w:val="69AB0F9E"/>
    <w:rsid w:val="6BFC15B7"/>
    <w:rsid w:val="6CD53445"/>
    <w:rsid w:val="6D373C2D"/>
    <w:rsid w:val="6D5927FF"/>
    <w:rsid w:val="6DC73E14"/>
    <w:rsid w:val="6DD83B98"/>
    <w:rsid w:val="6F245507"/>
    <w:rsid w:val="716F71A9"/>
    <w:rsid w:val="738833AE"/>
    <w:rsid w:val="74715218"/>
    <w:rsid w:val="74BD4884"/>
    <w:rsid w:val="75894856"/>
    <w:rsid w:val="76B864E6"/>
    <w:rsid w:val="76E01C9C"/>
    <w:rsid w:val="786875E9"/>
    <w:rsid w:val="7888497A"/>
    <w:rsid w:val="7A0152E0"/>
    <w:rsid w:val="7CC17E78"/>
    <w:rsid w:val="7CC36FD9"/>
    <w:rsid w:val="7CC737E6"/>
    <w:rsid w:val="7DBA6AEF"/>
    <w:rsid w:val="7F207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2775</Words>
  <Characters>3038</Characters>
  <Lines>0</Lines>
  <Paragraphs>0</Paragraphs>
  <TotalTime>5</TotalTime>
  <ScaleCrop>false</ScaleCrop>
  <LinksUpToDate>false</LinksUpToDate>
  <CharactersWithSpaces>3255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2021-08-02T08:42:00Z</dcterms:created>
  <dc:creator>莺歌燕舞</dc:creator>
  <cp:lastModifiedBy>喜文</cp:lastModifiedBy>
  <cp:lastPrinted>2024-11-13T04:26:00Z</cp:lastPrinted>
  <dcterms:modified xsi:type="dcterms:W3CDTF">2024-12-30T03:57:50Z</dcterms:modified>
  <dc:title>乌苏市市场监督管理局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993074A8FD9E475D919210852D73BD2E</vt:lpwstr>
  </property>
</Properties>
</file>