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bidi w:val="0"/>
        <w:spacing w:line="560" w:lineRule="exact"/>
        <w:ind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overflowPunct/>
        <w:bidi w:val="0"/>
        <w:spacing w:line="560" w:lineRule="exact"/>
        <w:ind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overflowPunct/>
        <w:bidi w:val="0"/>
        <w:snapToGrid w:val="0"/>
        <w:spacing w:line="560" w:lineRule="exact"/>
        <w:ind w:right="0"/>
        <w:jc w:val="center"/>
        <w:textAlignment w:val="auto"/>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none"/>
          <w:lang w:val="en-US" w:eastAsia="zh-CN"/>
        </w:rPr>
        <w:t>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2024</w:t>
      </w:r>
      <w:r>
        <w:rPr>
          <w:rFonts w:hint="eastAsia" w:ascii="仿宋_GB2312" w:hAnsi="仿宋_GB2312" w:eastAsia="仿宋_GB2312" w:cs="仿宋_GB2312"/>
          <w:bCs/>
          <w:color w:val="000000"/>
          <w:sz w:val="32"/>
          <w:szCs w:val="32"/>
          <w:u w:val="none"/>
        </w:rPr>
        <w:t xml:space="preserve">〕 </w:t>
      </w:r>
      <w:r>
        <w:rPr>
          <w:rFonts w:hint="eastAsia" w:ascii="仿宋_GB2312" w:hAnsi="仿宋_GB2312" w:eastAsia="仿宋_GB2312" w:cs="仿宋_GB2312"/>
          <w:bCs/>
          <w:color w:val="000000"/>
          <w:sz w:val="32"/>
          <w:szCs w:val="32"/>
          <w:u w:val="none"/>
          <w:lang w:val="en-US" w:eastAsia="zh-CN"/>
        </w:rPr>
        <w:t>270</w:t>
      </w:r>
      <w:r>
        <w:rPr>
          <w:rFonts w:hint="eastAsia" w:ascii="仿宋_GB2312" w:hAnsi="仿宋_GB2312" w:eastAsia="仿宋_GB2312" w:cs="仿宋_GB2312"/>
          <w:bCs/>
          <w:color w:val="000000"/>
          <w:sz w:val="32"/>
          <w:szCs w:val="32"/>
          <w:u w:val="none"/>
        </w:rPr>
        <w:t xml:space="preserve"> 号</w:t>
      </w:r>
    </w:p>
    <w:p>
      <w:pPr>
        <w:keepNext w:val="0"/>
        <w:keepLines w:val="0"/>
        <w:pageBreakBefore w:val="0"/>
        <w:widowControl/>
        <w:kinsoku/>
        <w:overflowPunct/>
        <w:bidi w:val="0"/>
        <w:snapToGrid w:val="0"/>
        <w:spacing w:line="560" w:lineRule="exact"/>
        <w:ind w:left="0" w:right="0" w:firstLine="640" w:firstLineChars="200"/>
        <w:jc w:val="both"/>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overflowPunct/>
        <w:bidi w:val="0"/>
        <w:spacing w:line="560" w:lineRule="exact"/>
        <w:ind w:right="0"/>
        <w:jc w:val="both"/>
        <w:textAlignment w:val="auto"/>
        <w:rPr>
          <w:rFonts w:hint="eastAsia" w:ascii="Times New Roman" w:hAnsi="Times New Roman" w:eastAsia="仿宋_GB2312" w:cs="Mongolian Baiti"/>
          <w:bCs/>
          <w:sz w:val="32"/>
          <w:szCs w:val="32"/>
          <w:u w:val="none" w:color="auto"/>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kern w:val="0"/>
          <w:sz w:val="32"/>
          <w:szCs w:val="32"/>
          <w:lang w:val="en-US" w:eastAsia="zh-CN"/>
        </w:rPr>
        <w:t>乌苏市明盛时代超市有限公司</w:t>
      </w:r>
      <w:r>
        <w:rPr>
          <w:rFonts w:hint="eastAsia" w:ascii="仿宋_GB2312" w:hAnsi="Times New Roman" w:eastAsia="仿宋_GB2312"/>
          <w:sz w:val="32"/>
          <w:szCs w:val="32"/>
          <w:u w:val="none" w:color="auto"/>
        </w:rPr>
        <w:t xml:space="preserve">     </w:t>
      </w:r>
      <w:r>
        <w:rPr>
          <w:rFonts w:hint="eastAsia" w:ascii="仿宋_GB2312" w:hAnsi="Times New Roman" w:eastAsia="仿宋_GB2312"/>
          <w:sz w:val="32"/>
          <w:szCs w:val="32"/>
          <w:u w:val="none" w:color="auto"/>
          <w:lang w:val="en-US" w:eastAsia="zh-CN"/>
        </w:rPr>
        <w:t xml:space="preserve">                             </w:t>
      </w:r>
      <w:r>
        <w:rPr>
          <w:rFonts w:hint="eastAsia" w:ascii="Times New Roman" w:hAnsi="Times New Roman" w:eastAsia="仿宋_GB2312" w:cs="Mongolian Baiti"/>
          <w:kern w:val="1"/>
          <w:sz w:val="32"/>
          <w:szCs w:val="32"/>
          <w:u w:val="none" w:color="auto"/>
        </w:rPr>
        <w:t xml:space="preserve">   </w:t>
      </w:r>
    </w:p>
    <w:p>
      <w:pPr>
        <w:keepNext w:val="0"/>
        <w:keepLines w:val="0"/>
        <w:pageBreakBefore w:val="0"/>
        <w:widowControl w:val="0"/>
        <w:kinsoku/>
        <w:wordWrap/>
        <w:overflowPunct/>
        <w:topLinePunct w:val="0"/>
        <w:autoSpaceDE/>
        <w:autoSpaceDN/>
        <w:bidi w:val="0"/>
        <w:spacing w:line="560" w:lineRule="exact"/>
        <w:ind w:right="0"/>
        <w:jc w:val="both"/>
        <w:textAlignment w:val="auto"/>
        <w:rPr>
          <w:rFonts w:hint="eastAsia" w:ascii="Times New Roman" w:hAnsi="Times New Roman" w:eastAsia="仿宋_GB2312" w:cs="Mongolian Baiti"/>
          <w:kern w:val="1"/>
          <w:sz w:val="32"/>
          <w:szCs w:val="32"/>
          <w:u w:val="none" w:color="auto"/>
          <w:lang w:val="en-US" w:eastAsia="zh-CN"/>
        </w:rPr>
      </w:pPr>
      <w:r>
        <w:rPr>
          <w:rFonts w:hint="eastAsia" w:ascii="Times New Roman" w:hAnsi="Times New Roman" w:eastAsia="仿宋_GB2312" w:cs="微软雅黑"/>
          <w:bCs/>
          <w:kern w:val="1"/>
          <w:sz w:val="32"/>
          <w:szCs w:val="32"/>
          <w:u w:val="none" w:color="auto"/>
        </w:rPr>
        <w:t>主体资格证照</w:t>
      </w:r>
      <w:r>
        <w:rPr>
          <w:rFonts w:hint="eastAsia" w:ascii="Times New Roman" w:hAnsi="Times New Roman" w:eastAsia="仿宋_GB2312" w:cs="Mongolian Baiti"/>
          <w:kern w:val="1"/>
          <w:sz w:val="32"/>
          <w:szCs w:val="32"/>
          <w:u w:val="none" w:color="auto"/>
        </w:rPr>
        <w:t>名称：</w:t>
      </w:r>
      <w:r>
        <w:rPr>
          <w:rFonts w:hint="eastAsia" w:ascii="Times New Roman" w:hAnsi="Times New Roman" w:eastAsia="仿宋_GB2312" w:cs="Mongolian Baiti"/>
          <w:kern w:val="1"/>
          <w:sz w:val="32"/>
          <w:szCs w:val="32"/>
          <w:u w:val="none" w:color="auto"/>
          <w:lang w:eastAsia="zh-CN"/>
        </w:rPr>
        <w:t>《营业执照》</w:t>
      </w:r>
    </w:p>
    <w:p>
      <w:pPr>
        <w:keepNext w:val="0"/>
        <w:keepLines w:val="0"/>
        <w:pageBreakBefore w:val="0"/>
        <w:widowControl w:val="0"/>
        <w:kinsoku/>
        <w:wordWrap/>
        <w:overflowPunct/>
        <w:topLinePunct w:val="0"/>
        <w:autoSpaceDE/>
        <w:autoSpaceDN/>
        <w:bidi w:val="0"/>
        <w:snapToGrid/>
        <w:spacing w:line="560" w:lineRule="exact"/>
        <w:ind w:right="0"/>
        <w:jc w:val="both"/>
        <w:textAlignment w:val="auto"/>
        <w:rPr>
          <w:rFonts w:hint="default" w:ascii="仿宋_GB2312" w:hAnsi="仿宋_GB2312" w:eastAsia="仿宋_GB2312" w:cs="仿宋_GB2312"/>
          <w:w w:val="100"/>
          <w:kern w:val="1"/>
          <w:sz w:val="32"/>
          <w:szCs w:val="32"/>
          <w:u w:val="none" w:color="auto"/>
          <w:lang w:val="en-US"/>
        </w:rPr>
      </w:pPr>
      <w:r>
        <w:rPr>
          <w:rFonts w:hint="eastAsia" w:ascii="Times New Roman" w:hAnsi="Times New Roman" w:eastAsia="仿宋_GB2312" w:cs="Mongolian Baiti"/>
          <w:kern w:val="1"/>
          <w:sz w:val="32"/>
          <w:szCs w:val="32"/>
          <w:u w:val="none" w:color="auto"/>
        </w:rPr>
        <w:t>统一社会信用代码：</w:t>
      </w:r>
      <w:r>
        <w:rPr>
          <w:rFonts w:hint="eastAsia" w:ascii="仿宋_GB2312" w:hAnsi="仿宋_GB2312" w:eastAsia="仿宋_GB2312" w:cs="仿宋_GB2312"/>
          <w:snapToGrid w:val="0"/>
          <w:color w:val="000000"/>
          <w:spacing w:val="0"/>
          <w:kern w:val="0"/>
          <w:sz w:val="32"/>
          <w:szCs w:val="32"/>
          <w:u w:val="none"/>
          <w:lang w:eastAsia="zh-CN"/>
        </w:rPr>
        <w:t>91654202MA7AAWT212</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spacing w:line="560" w:lineRule="exact"/>
        <w:ind w:right="0"/>
        <w:jc w:val="both"/>
        <w:textAlignment w:val="auto"/>
        <w:rPr>
          <w:rFonts w:hint="eastAsia" w:ascii="仿宋_GB2312" w:hAnsi="仿宋_GB2312" w:eastAsia="仿宋_GB2312" w:cs="仿宋_GB2312"/>
          <w:spacing w:val="0"/>
          <w:sz w:val="32"/>
          <w:szCs w:val="32"/>
          <w:u w:val="none" w:color="auto"/>
          <w:lang w:val="en-US" w:eastAsia="zh-CN"/>
        </w:rPr>
      </w:pPr>
      <w:r>
        <w:rPr>
          <w:rFonts w:hint="eastAsia" w:ascii="Times New Roman" w:hAnsi="Times New Roman" w:eastAsia="仿宋_GB2312" w:cs="Mongolian Baiti"/>
          <w:kern w:val="1"/>
          <w:sz w:val="32"/>
          <w:szCs w:val="32"/>
          <w:u w:val="none" w:color="auto"/>
        </w:rPr>
        <w:t>住所（住址）：</w:t>
      </w:r>
      <w:r>
        <w:rPr>
          <w:rFonts w:hint="eastAsia" w:ascii="仿宋_GB2312" w:hAnsi="仿宋_GB2312" w:eastAsia="仿宋_GB2312" w:cs="仿宋_GB2312"/>
          <w:snapToGrid w:val="0"/>
          <w:color w:val="000000"/>
          <w:spacing w:val="0"/>
          <w:kern w:val="0"/>
          <w:sz w:val="32"/>
          <w:szCs w:val="32"/>
          <w:u w:val="none"/>
          <w:lang w:val="en-US" w:eastAsia="zh-CN"/>
        </w:rPr>
        <w:t>新疆塔城地区乌苏市新市区街道青岛路001号明盛时代广场地下室</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spacing w:line="560" w:lineRule="exact"/>
        <w:ind w:right="0"/>
        <w:jc w:val="both"/>
        <w:textAlignment w:val="auto"/>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kern w:val="1"/>
          <w:sz w:val="32"/>
          <w:szCs w:val="32"/>
          <w:u w:val="none" w:color="auto"/>
        </w:rPr>
        <w:t>法定代表人：</w:t>
      </w:r>
      <w:r>
        <w:rPr>
          <w:rFonts w:hint="eastAsia" w:ascii="仿宋_GB2312" w:hAnsi="仿宋_GB2312" w:eastAsia="仿宋_GB2312" w:cs="仿宋_GB2312"/>
          <w:snapToGrid w:val="0"/>
          <w:color w:val="000000"/>
          <w:spacing w:val="0"/>
          <w:kern w:val="0"/>
          <w:sz w:val="32"/>
          <w:szCs w:val="32"/>
          <w:u w:val="none"/>
          <w:lang w:val="en-US" w:eastAsia="zh-CN"/>
        </w:rPr>
        <w:t>王**</w:t>
      </w:r>
      <w:r>
        <w:rPr>
          <w:rFonts w:hint="eastAsia" w:ascii="仿宋_GB2312" w:hAnsi="仿宋_GB2312" w:eastAsia="仿宋_GB2312" w:cs="仿宋_GB2312"/>
          <w:kern w:val="1"/>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lang w:val="en-US" w:eastAsia="zh-CN"/>
        </w:rPr>
        <w:t xml:space="preserve">                      </w:t>
      </w:r>
    </w:p>
    <w:p>
      <w:pPr>
        <w:pStyle w:val="2"/>
        <w:keepNext w:val="0"/>
        <w:keepLines w:val="0"/>
        <w:pageBreakBefore w:val="0"/>
        <w:tabs>
          <w:tab w:val="left" w:pos="9060"/>
        </w:tabs>
        <w:kinsoku/>
        <w:overflowPunct/>
        <w:bidi w:val="0"/>
        <w:spacing w:line="560" w:lineRule="exact"/>
        <w:ind w:left="0" w:right="0" w:firstLine="640" w:firstLineChars="200"/>
        <w:jc w:val="both"/>
        <w:textAlignment w:val="auto"/>
        <w:rPr>
          <w:rFonts w:hint="default" w:ascii="Times New Roman" w:eastAsia="仿宋_GB2312" w:cs="仿宋_GB2312"/>
          <w:color w:val="000000"/>
          <w:u w:val="none" w:color="auto"/>
          <w:lang w:val="en-US" w:eastAsia="zh-CN"/>
        </w:rPr>
      </w:pPr>
      <w:r>
        <w:rPr>
          <w:rFonts w:hint="eastAsia" w:ascii="仿宋_GB2312" w:hAnsi="仿宋_GB2312" w:eastAsia="仿宋_GB2312" w:cs="仿宋_GB2312"/>
          <w:color w:val="000000"/>
          <w:u w:val="none" w:color="auto"/>
          <w:lang w:val="en-US" w:eastAsia="zh-CN"/>
        </w:rPr>
        <w:t>2</w:t>
      </w:r>
      <w:r>
        <w:rPr>
          <w:rFonts w:hint="eastAsia" w:ascii="仿宋_GB2312" w:hAnsi="仿宋_GB2312" w:eastAsia="仿宋_GB2312" w:cs="仿宋_GB2312"/>
          <w:snapToGrid w:val="0"/>
          <w:color w:val="000000"/>
          <w:spacing w:val="0"/>
          <w:kern w:val="0"/>
          <w:sz w:val="32"/>
          <w:szCs w:val="32"/>
          <w:u w:val="none"/>
          <w:lang w:val="en-US" w:eastAsia="zh-CN"/>
        </w:rPr>
        <w:t>024年8月19日，我局执法人员孙紫玮、加依娜来到位于乌苏市新市区街道济宁路006号瑞邦丽景小区41幢1单元1-08号的乌苏市明盛时代超市有限公司进行日常监督检查时，该超市正常营业，执法人员出示执法证件说明来意，法定代表人王兴华在现场全程配合检查。执法人员对该超市化妆品销售区进行检查，在货架第二层随机抽取了洗发露1瓶，外包装标示：产品名称：滇紅植康草本植萃洗发屑洗发露水润去屑型，备案人：滇紅植康（广州）生物科技有限公司，地址：</w:t>
      </w:r>
      <w:bookmarkStart w:id="3" w:name="_GoBack"/>
      <w:r>
        <w:rPr>
          <w:rFonts w:hint="eastAsia" w:ascii="仿宋_GB2312" w:hAnsi="仿宋_GB2312" w:eastAsia="仿宋_GB2312" w:cs="仿宋_GB2312"/>
          <w:snapToGrid w:val="0"/>
          <w:color w:val="000000"/>
          <w:spacing w:val="0"/>
          <w:kern w:val="0"/>
          <w:sz w:val="32"/>
          <w:szCs w:val="32"/>
          <w:highlight w:val="yellow"/>
          <w:u w:val="none"/>
          <w:lang w:val="en-US" w:eastAsia="zh-CN"/>
        </w:rPr>
        <w:t>广州市华都区金熙二街4号1112号（空港花都</w:t>
      </w:r>
      <w:bookmarkEnd w:id="3"/>
      <w:r>
        <w:rPr>
          <w:rFonts w:hint="eastAsia" w:ascii="仿宋_GB2312" w:hAnsi="仿宋_GB2312" w:eastAsia="仿宋_GB2312" w:cs="仿宋_GB2312"/>
          <w:snapToGrid w:val="0"/>
          <w:color w:val="000000"/>
          <w:spacing w:val="0"/>
          <w:kern w:val="0"/>
          <w:sz w:val="32"/>
          <w:szCs w:val="32"/>
          <w:u w:val="none"/>
          <w:lang w:val="en-US" w:eastAsia="zh-CN"/>
        </w:rPr>
        <w:t>）生产企业：广州美思生物技术有限公司；化妆品生产许可证编号：粤妆20170099，执行标准：GB/T29679，备案号：粤G妆网备字2022200630，产地：广东·广州。生产批号和限期使用日期见标示（生产批次信息：A2304161 2027/04/15）。执法人员现场查看该超市购进该批次洗发露的进货查验记录制度履行情况，当事人现场提供了进货票据、</w:t>
      </w:r>
      <w:r>
        <w:rPr>
          <w:rFonts w:hint="eastAsia" w:ascii="仿宋_GB2312" w:hAnsi="仿宋_GB2312" w:eastAsia="仿宋_GB2312" w:cs="仿宋_GB2312"/>
          <w:kern w:val="0"/>
          <w:sz w:val="32"/>
          <w:szCs w:val="32"/>
          <w:lang w:val="en-US" w:eastAsia="zh-CN"/>
        </w:rPr>
        <w:t>供货商的主体登记证明、销售记录，</w:t>
      </w:r>
      <w:r>
        <w:rPr>
          <w:rFonts w:hint="eastAsia" w:ascii="仿宋_GB2312" w:hAnsi="仿宋_GB2312" w:eastAsia="仿宋_GB2312" w:cs="仿宋_GB2312"/>
          <w:snapToGrid w:val="0"/>
          <w:color w:val="000000"/>
          <w:spacing w:val="0"/>
          <w:kern w:val="0"/>
          <w:sz w:val="32"/>
          <w:szCs w:val="32"/>
          <w:u w:val="none"/>
          <w:lang w:val="en-US" w:eastAsia="zh-CN"/>
        </w:rPr>
        <w:t>不能提供该批次洗发露的化妆品备案凭证、生产厂家《化妆品生产许可证》、</w:t>
      </w:r>
      <w:r>
        <w:rPr>
          <w:rFonts w:hint="eastAsia" w:ascii="仿宋_GB2312" w:hAnsi="仿宋_GB2312" w:eastAsia="仿宋_GB2312" w:cs="仿宋_GB2312"/>
          <w:kern w:val="0"/>
          <w:sz w:val="32"/>
          <w:szCs w:val="32"/>
          <w:lang w:val="en-US" w:eastAsia="zh-CN"/>
        </w:rPr>
        <w:t>同批号洗发露出厂检验合格证明，也未如实记录进货查验记录台账并保存相关凭证。执法人员在现场通过国家药品监督管理局官网查询到该洗发露在2023年6月21日已注销备案。根据该洗发露限用日期2027/04/15和查询信息初步判定为该产品于备案注销日期后生产。</w:t>
      </w:r>
      <w:r>
        <w:rPr>
          <w:rFonts w:hint="eastAsia" w:ascii="仿宋_GB2312" w:hAnsi="仿宋_GB2312" w:eastAsia="仿宋_GB2312" w:cs="仿宋_GB2312"/>
          <w:snapToGrid w:val="0"/>
          <w:color w:val="000000"/>
          <w:spacing w:val="0"/>
          <w:kern w:val="0"/>
          <w:sz w:val="32"/>
          <w:szCs w:val="32"/>
          <w:u w:val="none"/>
          <w:lang w:val="en-US" w:eastAsia="zh-CN"/>
        </w:rPr>
        <w:t>执法人员现场向当事人送达了《责令改正通知书》（乌市监责改</w:t>
      </w:r>
      <w:r>
        <w:rPr>
          <w:rFonts w:hint="eastAsia" w:ascii="仿宋_GB2312" w:hAnsi="Mongolian Baiti" w:eastAsia="仿宋_GB2312" w:cs="Mongolian Baiti"/>
          <w:color w:val="00000A"/>
          <w:sz w:val="32"/>
          <w:szCs w:val="32"/>
          <w:u w:val="none"/>
        </w:rPr>
        <w:t>〔</w:t>
      </w:r>
      <w:r>
        <w:rPr>
          <w:rFonts w:hint="eastAsia" w:ascii="仿宋_GB2312" w:hAnsi="Mongolian Baiti" w:eastAsia="仿宋_GB2312" w:cs="Mongolian Baiti"/>
          <w:color w:val="00000A"/>
          <w:sz w:val="32"/>
          <w:szCs w:val="32"/>
          <w:u w:val="none"/>
          <w:lang w:val="en-US" w:eastAsia="zh-CN"/>
        </w:rPr>
        <w:t>2024</w:t>
      </w:r>
      <w:r>
        <w:rPr>
          <w:rFonts w:hint="eastAsia" w:ascii="仿宋_GB2312" w:hAnsi="Mongolian Baiti" w:eastAsia="仿宋_GB2312" w:cs="Mongolian Baiti"/>
          <w:color w:val="00000A"/>
          <w:sz w:val="32"/>
          <w:szCs w:val="32"/>
          <w:u w:val="none"/>
        </w:rPr>
        <w:t>〕</w:t>
      </w:r>
      <w:r>
        <w:rPr>
          <w:rFonts w:hint="eastAsia" w:ascii="仿宋_GB2312" w:hAnsi="Mongolian Baiti" w:eastAsia="仿宋_GB2312" w:cs="Mongolian Baiti"/>
          <w:color w:val="00000A"/>
          <w:sz w:val="32"/>
          <w:szCs w:val="32"/>
          <w:u w:val="none"/>
          <w:lang w:val="en-US" w:eastAsia="zh-CN"/>
        </w:rPr>
        <w:t>8-19号</w:t>
      </w:r>
      <w:r>
        <w:rPr>
          <w:rFonts w:hint="eastAsia" w:ascii="仿宋_GB2312" w:hAnsi="仿宋_GB2312" w:eastAsia="仿宋_GB2312" w:cs="仿宋_GB2312"/>
          <w:snapToGrid w:val="0"/>
          <w:color w:val="000000"/>
          <w:spacing w:val="0"/>
          <w:kern w:val="0"/>
          <w:sz w:val="32"/>
          <w:szCs w:val="32"/>
          <w:u w:val="none"/>
          <w:lang w:val="en-US" w:eastAsia="zh-CN"/>
        </w:rPr>
        <w:t>），电话请示局领导批准后，对当事人销售的滇紅植康草本植萃洗发屑洗发露（水润去屑型）采取了先行登记保存措施，执法人员向当事人下发了《先行登记保存证据通知书》（乌市监先登〔2024〕819号），2024年8月26日执法人员依法对2024年8月19日现场检查时先行登记保存的滇紅植康草本植萃洗发屑洗发露水润去屑型实施扣押的行政强制措施，并当场向当事人下发了《实施行政强制措施决定书》（乌市监强制﹝2024﹞126-1号），当事人现场签收。当事人的上述行为违反了《化妆品监督管理条例》第四条第二款、第十七条和第三十八条第一款的规定，为进一步了解情况，经报局领导批准，于2024年9月25日立案，并指派巴德玛、加依娜对此案进行调查了解。经协查备案人滇紅植康（广州）生物科技有限公司确认涉案产品已于2023年6月19日申请注销备案，注销后未再生产，也非其公司委托代工厂生产。本案已于2024年10月21日调查终结。</w:t>
      </w:r>
      <w:r>
        <w:rPr>
          <w:rFonts w:hint="eastAsia" w:ascii="Times New Roman" w:hAnsi="Times New Roman" w:eastAsia="仿宋_GB2312" w:cs="Mongolian Baiti"/>
          <w:kern w:val="1"/>
          <w:sz w:val="32"/>
          <w:szCs w:val="32"/>
          <w:u w:val="none" w:color="auto"/>
        </w:rPr>
        <w:t xml:space="preserve">                       </w:t>
      </w:r>
      <w:r>
        <w:rPr>
          <w:rFonts w:hint="eastAsia" w:ascii="Times New Roman" w:eastAsia="仿宋_GB2312" w:cs="Mongolian Baiti"/>
          <w:kern w:val="1"/>
          <w:sz w:val="32"/>
          <w:szCs w:val="32"/>
          <w:u w:val="none" w:color="auto"/>
          <w:lang w:val="en-US" w:eastAsia="zh-CN"/>
        </w:rPr>
        <w:t xml:space="preserve">                                   </w:t>
      </w:r>
    </w:p>
    <w:p>
      <w:pPr>
        <w:keepNext w:val="0"/>
        <w:keepLines w:val="0"/>
        <w:pageBreakBefore w:val="0"/>
        <w:widowControl w:val="0"/>
        <w:kinsoku/>
        <w:wordWrap w:val="0"/>
        <w:overflowPunct/>
        <w:topLinePunct/>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snapToGrid w:val="0"/>
          <w:color w:val="000000"/>
          <w:spacing w:val="0"/>
          <w:kern w:val="0"/>
          <w:sz w:val="32"/>
          <w:szCs w:val="32"/>
          <w:u w:val="none"/>
        </w:rPr>
        <w:t>经</w:t>
      </w:r>
      <w:r>
        <w:rPr>
          <w:rFonts w:hint="eastAsia" w:ascii="仿宋_GB2312" w:hAnsi="仿宋_GB2312" w:eastAsia="仿宋_GB2312" w:cs="仿宋_GB2312"/>
          <w:snapToGrid w:val="0"/>
          <w:color w:val="000000"/>
          <w:spacing w:val="0"/>
          <w:kern w:val="0"/>
          <w:sz w:val="32"/>
          <w:szCs w:val="32"/>
          <w:u w:val="none"/>
          <w:lang w:eastAsia="zh-CN"/>
        </w:rPr>
        <w:t>调</w:t>
      </w:r>
      <w:r>
        <w:rPr>
          <w:rFonts w:hint="eastAsia" w:ascii="仿宋_GB2312" w:hAnsi="仿宋_GB2312" w:eastAsia="仿宋_GB2312" w:cs="仿宋_GB2312"/>
          <w:snapToGrid w:val="0"/>
          <w:color w:val="000000"/>
          <w:spacing w:val="0"/>
          <w:kern w:val="0"/>
          <w:sz w:val="32"/>
          <w:szCs w:val="32"/>
          <w:u w:val="none"/>
        </w:rPr>
        <w:t>查，</w:t>
      </w:r>
      <w:r>
        <w:rPr>
          <w:rFonts w:hint="eastAsia" w:ascii="仿宋_GB2312" w:hAnsi="仿宋_GB2312" w:eastAsia="仿宋_GB2312" w:cs="仿宋_GB2312"/>
          <w:snapToGrid w:val="0"/>
          <w:color w:val="000000"/>
          <w:spacing w:val="0"/>
          <w:kern w:val="0"/>
          <w:sz w:val="32"/>
          <w:szCs w:val="32"/>
          <w:u w:val="none"/>
          <w:lang w:val="en-US" w:eastAsia="zh-CN"/>
        </w:rPr>
        <w:t>乌苏市明盛时代超市有限公司于</w:t>
      </w:r>
      <w:r>
        <w:rPr>
          <w:rFonts w:hint="eastAsia" w:ascii="仿宋_GB2312" w:hAnsi="仿宋_GB2312" w:eastAsia="仿宋_GB2312" w:cs="仿宋_GB2312"/>
          <w:snapToGrid w:val="0"/>
          <w:color w:val="000000"/>
          <w:spacing w:val="0"/>
          <w:kern w:val="0"/>
          <w:sz w:val="32"/>
          <w:szCs w:val="32"/>
          <w:u w:val="none"/>
        </w:rPr>
        <w:t>202</w:t>
      </w:r>
      <w:r>
        <w:rPr>
          <w:rFonts w:hint="eastAsia" w:ascii="仿宋_GB2312" w:hAnsi="仿宋_GB2312" w:eastAsia="仿宋_GB2312" w:cs="仿宋_GB2312"/>
          <w:snapToGrid w:val="0"/>
          <w:color w:val="000000"/>
          <w:spacing w:val="0"/>
          <w:kern w:val="0"/>
          <w:sz w:val="32"/>
          <w:szCs w:val="32"/>
          <w:u w:val="none"/>
          <w:lang w:val="en-US" w:eastAsia="zh-CN"/>
        </w:rPr>
        <w:t>4</w:t>
      </w:r>
      <w:r>
        <w:rPr>
          <w:rFonts w:hint="eastAsia" w:ascii="仿宋_GB2312" w:hAnsi="仿宋_GB2312" w:eastAsia="仿宋_GB2312" w:cs="仿宋_GB2312"/>
          <w:snapToGrid w:val="0"/>
          <w:color w:val="000000"/>
          <w:spacing w:val="0"/>
          <w:kern w:val="0"/>
          <w:sz w:val="32"/>
          <w:szCs w:val="32"/>
          <w:u w:val="none"/>
        </w:rPr>
        <w:t>年</w:t>
      </w:r>
      <w:r>
        <w:rPr>
          <w:rFonts w:hint="eastAsia" w:ascii="仿宋_GB2312" w:hAnsi="仿宋_GB2312" w:eastAsia="仿宋_GB2312" w:cs="仿宋_GB2312"/>
          <w:snapToGrid w:val="0"/>
          <w:color w:val="000000"/>
          <w:spacing w:val="0"/>
          <w:kern w:val="0"/>
          <w:sz w:val="32"/>
          <w:szCs w:val="32"/>
          <w:u w:val="none"/>
          <w:lang w:val="en-US" w:eastAsia="zh-CN"/>
        </w:rPr>
        <w:t>3</w:t>
      </w:r>
      <w:r>
        <w:rPr>
          <w:rFonts w:hint="eastAsia" w:ascii="仿宋_GB2312" w:hAnsi="仿宋_GB2312" w:eastAsia="仿宋_GB2312" w:cs="仿宋_GB2312"/>
          <w:snapToGrid w:val="0"/>
          <w:color w:val="000000"/>
          <w:spacing w:val="0"/>
          <w:kern w:val="0"/>
          <w:sz w:val="32"/>
          <w:szCs w:val="32"/>
          <w:u w:val="none"/>
        </w:rPr>
        <w:t>月</w:t>
      </w:r>
      <w:r>
        <w:rPr>
          <w:rFonts w:hint="eastAsia" w:ascii="仿宋_GB2312" w:hAnsi="仿宋_GB2312" w:eastAsia="仿宋_GB2312" w:cs="仿宋_GB2312"/>
          <w:snapToGrid w:val="0"/>
          <w:color w:val="000000"/>
          <w:spacing w:val="0"/>
          <w:kern w:val="0"/>
          <w:sz w:val="32"/>
          <w:szCs w:val="32"/>
          <w:u w:val="none"/>
          <w:lang w:val="en-US" w:eastAsia="zh-CN"/>
        </w:rPr>
        <w:t>16</w:t>
      </w:r>
      <w:r>
        <w:rPr>
          <w:rFonts w:hint="eastAsia" w:ascii="仿宋_GB2312" w:hAnsi="仿宋_GB2312" w:eastAsia="仿宋_GB2312" w:cs="仿宋_GB2312"/>
          <w:snapToGrid w:val="0"/>
          <w:color w:val="000000"/>
          <w:spacing w:val="0"/>
          <w:kern w:val="0"/>
          <w:sz w:val="32"/>
          <w:szCs w:val="32"/>
          <w:u w:val="none"/>
        </w:rPr>
        <w:t>日</w:t>
      </w:r>
      <w:r>
        <w:rPr>
          <w:rFonts w:hint="eastAsia" w:ascii="仿宋_GB2312" w:hAnsi="仿宋_GB2312" w:eastAsia="仿宋_GB2312" w:cs="仿宋_GB2312"/>
          <w:snapToGrid w:val="0"/>
          <w:color w:val="000000"/>
          <w:spacing w:val="0"/>
          <w:kern w:val="0"/>
          <w:sz w:val="32"/>
          <w:szCs w:val="32"/>
          <w:u w:val="none"/>
          <w:lang w:val="en-US" w:eastAsia="zh-CN"/>
        </w:rPr>
        <w:t>从郑州旭旭商贸有限公司购进滇紅植康草本植萃洗发屑洗发露（水润去屑型）12瓶，进货单价为20元/瓶，销售价格为35元 /瓶，标签标示生产许可证编号：粤妆20170099，产地：广东 广州，生产批号和限期使用日期见标示：生产批次信息：A2304161 2027/04/15，当事人购进上述洗发露时未查验产品的化妆品备案凭证、生产厂家《化妆品生产许可证》、同批次检验报告，</w:t>
      </w:r>
      <w:r>
        <w:rPr>
          <w:rFonts w:hint="eastAsia" w:ascii="仿宋_GB2312" w:hAnsi="仿宋_GB2312" w:eastAsia="仿宋_GB2312" w:cs="仿宋_GB2312"/>
          <w:sz w:val="32"/>
          <w:szCs w:val="32"/>
          <w:lang w:val="en-US" w:eastAsia="zh-CN"/>
        </w:rPr>
        <w:t>也未建立进货查验记录。截至2024</w:t>
      </w:r>
      <w:r>
        <w:rPr>
          <w:rFonts w:hint="eastAsia" w:ascii="仿宋_GB2312" w:hAnsi="仿宋_GB2312" w:eastAsia="仿宋_GB2312" w:cs="仿宋_GB2312"/>
          <w:snapToGrid w:val="0"/>
          <w:color w:val="000000"/>
          <w:spacing w:val="0"/>
          <w:kern w:val="0"/>
          <w:sz w:val="32"/>
          <w:szCs w:val="32"/>
          <w:u w:val="none"/>
          <w:lang w:val="en-US" w:eastAsia="zh-CN"/>
        </w:rPr>
        <w:t>年8月19日，我局执法人员检查发现时，当事人销售的该批次洗发露剩余1瓶，当事人现场提供了进货票据、</w:t>
      </w:r>
      <w:r>
        <w:rPr>
          <w:rFonts w:hint="eastAsia" w:ascii="仿宋_GB2312" w:hAnsi="仿宋_GB2312" w:eastAsia="仿宋_GB2312" w:cs="仿宋_GB2312"/>
          <w:kern w:val="0"/>
          <w:sz w:val="32"/>
          <w:szCs w:val="32"/>
          <w:lang w:val="en-US" w:eastAsia="zh-CN"/>
        </w:rPr>
        <w:t>供货商的主体登记证明，</w:t>
      </w:r>
      <w:r>
        <w:rPr>
          <w:rFonts w:hint="eastAsia" w:ascii="仿宋_GB2312" w:hAnsi="仿宋_GB2312" w:eastAsia="仿宋_GB2312" w:cs="仿宋_GB2312"/>
          <w:snapToGrid w:val="0"/>
          <w:color w:val="000000"/>
          <w:spacing w:val="0"/>
          <w:kern w:val="0"/>
          <w:sz w:val="32"/>
          <w:szCs w:val="32"/>
          <w:u w:val="none"/>
          <w:lang w:val="en-US" w:eastAsia="zh-CN"/>
        </w:rPr>
        <w:t>不能提供该批次洗发露的化妆品备案凭证、生产厂家《化妆品生产许可证》及</w:t>
      </w:r>
      <w:r>
        <w:rPr>
          <w:rFonts w:hint="eastAsia" w:ascii="仿宋_GB2312" w:hAnsi="仿宋_GB2312" w:eastAsia="仿宋_GB2312" w:cs="仿宋_GB2312"/>
          <w:kern w:val="0"/>
          <w:sz w:val="32"/>
          <w:szCs w:val="32"/>
          <w:lang w:val="en-US" w:eastAsia="zh-CN"/>
        </w:rPr>
        <w:t>同批次洗发露出厂检验合格证明。</w:t>
      </w:r>
      <w:r>
        <w:rPr>
          <w:rFonts w:hint="eastAsia" w:ascii="仿宋_GB2312" w:hAnsi="仿宋_GB2312" w:eastAsia="仿宋_GB2312" w:cs="仿宋_GB2312"/>
          <w:snapToGrid w:val="0"/>
          <w:color w:val="000000"/>
          <w:spacing w:val="0"/>
          <w:kern w:val="0"/>
          <w:sz w:val="32"/>
          <w:szCs w:val="32"/>
          <w:u w:val="none"/>
          <w:lang w:val="en-US" w:eastAsia="zh-CN"/>
        </w:rPr>
        <w:t>经协查该批次产品非备案人滇紅植康（广州）生物科技有限公司生产，也非其公司委托代工厂生产。</w:t>
      </w:r>
      <w:r>
        <w:rPr>
          <w:rFonts w:hint="eastAsia" w:ascii="仿宋_GB2312" w:hAnsi="仿宋_GB2312" w:eastAsia="仿宋_GB2312" w:cs="仿宋_GB2312"/>
          <w:kern w:val="0"/>
          <w:sz w:val="32"/>
          <w:szCs w:val="32"/>
          <w:lang w:val="en-US" w:eastAsia="zh-CN"/>
        </w:rPr>
        <w:t>上述未经备案的</w:t>
      </w:r>
      <w:r>
        <w:rPr>
          <w:rFonts w:hint="eastAsia" w:ascii="仿宋_GB2312" w:hAnsi="仿宋_GB2312" w:eastAsia="仿宋_GB2312" w:cs="仿宋_GB2312"/>
          <w:snapToGrid w:val="0"/>
          <w:color w:val="000000"/>
          <w:spacing w:val="0"/>
          <w:kern w:val="0"/>
          <w:sz w:val="32"/>
          <w:szCs w:val="32"/>
          <w:u w:val="none"/>
          <w:lang w:val="en-US" w:eastAsia="zh-CN"/>
        </w:rPr>
        <w:t>滇紅植康草本植萃洗发露水润去屑型货值金额为12瓶</w:t>
      </w:r>
      <w:r>
        <w:rPr>
          <w:rFonts w:hint="eastAsia" w:ascii="仿宋_GB2312" w:hAnsi="仿宋_GB2312" w:eastAsia="仿宋_GB2312" w:cs="仿宋_GB2312"/>
          <w:color w:val="auto"/>
          <w:kern w:val="0"/>
          <w:sz w:val="32"/>
          <w:szCs w:val="32"/>
          <w:lang w:val="en-US" w:eastAsia="zh-CN"/>
        </w:rPr>
        <w:t>×35元/瓶=420元。</w:t>
      </w:r>
      <w:r>
        <w:rPr>
          <w:rFonts w:hint="eastAsia" w:ascii="仿宋_GB2312" w:hAnsi="仿宋_GB2312" w:eastAsia="仿宋_GB2312" w:cs="仿宋_GB2312"/>
          <w:kern w:val="0"/>
          <w:sz w:val="32"/>
          <w:szCs w:val="32"/>
          <w:lang w:val="en-US" w:eastAsia="zh-CN"/>
        </w:rPr>
        <w:t>当事人于2024年6月19日、2024年7月12日</w:t>
      </w:r>
      <w:r>
        <w:rPr>
          <w:rFonts w:hint="eastAsia" w:ascii="仿宋_GB2312" w:hAnsi="仿宋_GB2312" w:eastAsia="仿宋_GB2312" w:cs="仿宋_GB2312"/>
          <w:snapToGrid w:val="0"/>
          <w:color w:val="000000"/>
          <w:spacing w:val="0"/>
          <w:kern w:val="0"/>
          <w:sz w:val="32"/>
          <w:szCs w:val="32"/>
          <w:u w:val="none"/>
          <w:lang w:val="en-US" w:eastAsia="zh-CN"/>
        </w:rPr>
        <w:t>各销售1瓶</w:t>
      </w:r>
      <w:r>
        <w:rPr>
          <w:rFonts w:hint="eastAsia" w:ascii="仿宋_GB2312" w:hAnsi="仿宋_GB2312" w:eastAsia="仿宋_GB2312" w:cs="仿宋_GB2312"/>
          <w:kern w:val="0"/>
          <w:sz w:val="32"/>
          <w:szCs w:val="32"/>
          <w:lang w:val="en-US" w:eastAsia="zh-CN"/>
        </w:rPr>
        <w:t>，2024年7月26日销售9瓶</w:t>
      </w:r>
      <w:r>
        <w:rPr>
          <w:rFonts w:hint="eastAsia" w:ascii="仿宋_GB2312" w:hAnsi="仿宋_GB2312" w:eastAsia="仿宋_GB2312" w:cs="仿宋_GB2312"/>
          <w:snapToGrid w:val="0"/>
          <w:color w:val="000000"/>
          <w:spacing w:val="0"/>
          <w:kern w:val="0"/>
          <w:sz w:val="32"/>
          <w:szCs w:val="32"/>
          <w:u w:val="none"/>
          <w:lang w:val="en-US" w:eastAsia="zh-CN"/>
        </w:rPr>
        <w:t>，截至执法人员检查时共计销售11瓶，依据《工商行政管理机关行政处罚案件违法所得认定办法》第四条“违法销售商品的违法所得按违法销售商品的销售收入扣除所售商品的购进价款计算。”的规定，当事人销售的该批未经备案的洗发露的</w:t>
      </w:r>
      <w:r>
        <w:rPr>
          <w:rFonts w:hint="eastAsia" w:ascii="仿宋_GB2312" w:hAnsi="仿宋_GB2312" w:eastAsia="仿宋_GB2312" w:cs="仿宋_GB2312"/>
          <w:kern w:val="0"/>
          <w:sz w:val="32"/>
          <w:szCs w:val="32"/>
          <w:lang w:val="en-US" w:eastAsia="zh-CN"/>
        </w:rPr>
        <w:t>违</w:t>
      </w:r>
      <w:r>
        <w:rPr>
          <w:rFonts w:hint="eastAsia" w:ascii="仿宋_GB2312" w:hAnsi="仿宋_GB2312" w:eastAsia="仿宋_GB2312" w:cs="仿宋_GB2312"/>
          <w:color w:val="auto"/>
          <w:kern w:val="0"/>
          <w:sz w:val="32"/>
          <w:szCs w:val="32"/>
          <w:lang w:val="en-US" w:eastAsia="zh-CN"/>
        </w:rPr>
        <w:t>法所得为165元（35元/瓶-20元/瓶）×11瓶=165元。</w:t>
      </w:r>
    </w:p>
    <w:p>
      <w:pPr>
        <w:keepNext w:val="0"/>
        <w:keepLines w:val="0"/>
        <w:pageBreakBefore w:val="0"/>
        <w:widowControl w:val="0"/>
        <w:kinsoku/>
        <w:wordWrap w:val="0"/>
        <w:overflowPunct/>
        <w:topLinePunct/>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u w:val="none"/>
        </w:rPr>
      </w:pPr>
      <w:r>
        <w:rPr>
          <w:rFonts w:hint="eastAsia" w:ascii="仿宋_GB2312" w:hAnsi="仿宋_GB2312" w:eastAsia="仿宋_GB2312" w:cs="仿宋_GB2312"/>
          <w:snapToGrid w:val="0"/>
          <w:color w:val="000000"/>
          <w:spacing w:val="0"/>
          <w:kern w:val="0"/>
          <w:sz w:val="32"/>
          <w:szCs w:val="32"/>
          <w:u w:val="none"/>
          <w:lang w:val="en-US" w:eastAsia="zh-CN"/>
        </w:rPr>
        <w:t>上述事实，主要有以下证据证明：</w:t>
      </w:r>
    </w:p>
    <w:p>
      <w:pPr>
        <w:keepNext w:val="0"/>
        <w:keepLines w:val="0"/>
        <w:pageBreakBefore w:val="0"/>
        <w:widowControl w:val="0"/>
        <w:kinsoku/>
        <w:wordWrap w:val="0"/>
        <w:overflowPunct/>
        <w:topLinePunct/>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u w:val="none"/>
        </w:rPr>
      </w:pPr>
      <w:r>
        <w:rPr>
          <w:rFonts w:hint="eastAsia" w:ascii="仿宋_GB2312" w:hAnsi="仿宋_GB2312" w:eastAsia="仿宋_GB2312" w:cs="仿宋_GB2312"/>
          <w:snapToGrid w:val="0"/>
          <w:color w:val="000000"/>
          <w:spacing w:val="0"/>
          <w:kern w:val="0"/>
          <w:sz w:val="32"/>
          <w:szCs w:val="32"/>
          <w:u w:val="none"/>
        </w:rPr>
        <w:t>1</w:t>
      </w:r>
      <w:r>
        <w:rPr>
          <w:rFonts w:hint="eastAsia" w:ascii="仿宋_GB2312" w:hAnsi="仿宋_GB2312" w:eastAsia="仿宋_GB2312" w:cs="仿宋_GB2312"/>
          <w:snapToGrid w:val="0"/>
          <w:color w:val="000000"/>
          <w:spacing w:val="0"/>
          <w:kern w:val="0"/>
          <w:sz w:val="32"/>
          <w:szCs w:val="32"/>
          <w:u w:val="none"/>
          <w:lang w:eastAsia="zh-CN"/>
        </w:rPr>
        <w:t>、</w:t>
      </w:r>
      <w:r>
        <w:rPr>
          <w:rFonts w:hint="eastAsia" w:ascii="仿宋_GB2312" w:hAnsi="仿宋_GB2312" w:eastAsia="仿宋_GB2312" w:cs="仿宋_GB2312"/>
          <w:snapToGrid w:val="0"/>
          <w:color w:val="000000"/>
          <w:spacing w:val="0"/>
          <w:kern w:val="0"/>
          <w:sz w:val="32"/>
          <w:szCs w:val="32"/>
          <w:u w:val="none"/>
        </w:rPr>
        <w:t>《营业执照》复印件1份，</w:t>
      </w:r>
      <w:r>
        <w:rPr>
          <w:rFonts w:hint="eastAsia" w:ascii="仿宋_GB2312" w:hAnsi="仿宋_GB2312" w:eastAsia="仿宋_GB2312" w:cs="仿宋_GB2312"/>
          <w:snapToGrid w:val="0"/>
          <w:color w:val="000000"/>
          <w:spacing w:val="0"/>
          <w:kern w:val="0"/>
          <w:sz w:val="32"/>
          <w:szCs w:val="32"/>
          <w:u w:val="none"/>
          <w:lang w:eastAsia="zh-CN"/>
        </w:rPr>
        <w:t>由当事人提供，</w:t>
      </w:r>
      <w:r>
        <w:rPr>
          <w:rFonts w:hint="eastAsia" w:ascii="仿宋_GB2312" w:hAnsi="仿宋_GB2312" w:eastAsia="仿宋_GB2312" w:cs="仿宋_GB2312"/>
          <w:snapToGrid w:val="0"/>
          <w:color w:val="000000"/>
          <w:spacing w:val="0"/>
          <w:kern w:val="0"/>
          <w:sz w:val="32"/>
          <w:szCs w:val="32"/>
          <w:u w:val="none"/>
        </w:rPr>
        <w:t xml:space="preserve">证明当事人经营主体资格及经营范围；   </w:t>
      </w:r>
    </w:p>
    <w:p>
      <w:pPr>
        <w:keepNext w:val="0"/>
        <w:keepLines w:val="0"/>
        <w:pageBreakBefore w:val="0"/>
        <w:widowControl w:val="0"/>
        <w:kinsoku/>
        <w:wordWrap w:val="0"/>
        <w:overflowPunct/>
        <w:topLinePunct/>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u w:val="none"/>
        </w:rPr>
      </w:pPr>
      <w:r>
        <w:rPr>
          <w:rFonts w:hint="eastAsia" w:ascii="仿宋_GB2312" w:hAnsi="仿宋_GB2312" w:eastAsia="仿宋_GB2312" w:cs="仿宋_GB2312"/>
          <w:snapToGrid w:val="0"/>
          <w:color w:val="000000"/>
          <w:spacing w:val="0"/>
          <w:kern w:val="0"/>
          <w:sz w:val="32"/>
          <w:szCs w:val="32"/>
          <w:u w:val="none"/>
        </w:rPr>
        <w:t>2、</w:t>
      </w:r>
      <w:r>
        <w:rPr>
          <w:rFonts w:hint="eastAsia" w:ascii="仿宋_GB2312" w:hAnsi="仿宋_GB2312" w:eastAsia="仿宋_GB2312" w:cs="仿宋_GB2312"/>
          <w:snapToGrid w:val="0"/>
          <w:color w:val="000000"/>
          <w:spacing w:val="0"/>
          <w:kern w:val="0"/>
          <w:sz w:val="32"/>
          <w:szCs w:val="32"/>
          <w:u w:val="none"/>
          <w:lang w:eastAsia="zh-CN"/>
        </w:rPr>
        <w:t>法定代表人</w:t>
      </w:r>
      <w:r>
        <w:rPr>
          <w:rFonts w:hint="eastAsia" w:ascii="仿宋_GB2312" w:hAnsi="仿宋_GB2312" w:eastAsia="仿宋_GB2312" w:cs="仿宋_GB2312"/>
          <w:snapToGrid w:val="0"/>
          <w:color w:val="000000"/>
          <w:spacing w:val="0"/>
          <w:kern w:val="0"/>
          <w:sz w:val="32"/>
          <w:szCs w:val="32"/>
          <w:u w:val="none"/>
        </w:rPr>
        <w:t>身份证复印件</w:t>
      </w:r>
      <w:r>
        <w:rPr>
          <w:rFonts w:hint="eastAsia" w:ascii="仿宋_GB2312" w:hAnsi="仿宋_GB2312" w:eastAsia="仿宋_GB2312" w:cs="仿宋_GB2312"/>
          <w:snapToGrid w:val="0"/>
          <w:color w:val="000000"/>
          <w:spacing w:val="0"/>
          <w:kern w:val="0"/>
          <w:sz w:val="32"/>
          <w:szCs w:val="32"/>
          <w:u w:val="none"/>
          <w:lang w:val="en-US" w:eastAsia="zh-CN"/>
        </w:rPr>
        <w:t>1</w:t>
      </w:r>
      <w:r>
        <w:rPr>
          <w:rFonts w:hint="eastAsia" w:ascii="仿宋_GB2312" w:hAnsi="仿宋_GB2312" w:eastAsia="仿宋_GB2312" w:cs="仿宋_GB2312"/>
          <w:snapToGrid w:val="0"/>
          <w:color w:val="000000"/>
          <w:spacing w:val="0"/>
          <w:kern w:val="0"/>
          <w:sz w:val="32"/>
          <w:szCs w:val="32"/>
          <w:u w:val="none"/>
        </w:rPr>
        <w:t>份，</w:t>
      </w:r>
      <w:r>
        <w:rPr>
          <w:rFonts w:hint="eastAsia" w:ascii="仿宋_GB2312" w:hAnsi="仿宋_GB2312" w:eastAsia="仿宋_GB2312" w:cs="仿宋_GB2312"/>
          <w:snapToGrid w:val="0"/>
          <w:color w:val="000000"/>
          <w:spacing w:val="0"/>
          <w:kern w:val="0"/>
          <w:sz w:val="32"/>
          <w:szCs w:val="32"/>
          <w:u w:val="none"/>
          <w:lang w:eastAsia="zh-CN"/>
        </w:rPr>
        <w:t>由当事人提供，</w:t>
      </w:r>
      <w:r>
        <w:rPr>
          <w:rFonts w:hint="eastAsia" w:ascii="仿宋_GB2312" w:hAnsi="仿宋_GB2312" w:eastAsia="仿宋_GB2312" w:cs="仿宋_GB2312"/>
          <w:snapToGrid w:val="0"/>
          <w:color w:val="000000"/>
          <w:spacing w:val="0"/>
          <w:kern w:val="0"/>
          <w:sz w:val="32"/>
          <w:szCs w:val="32"/>
          <w:u w:val="none"/>
        </w:rPr>
        <w:t>证明</w:t>
      </w:r>
      <w:r>
        <w:rPr>
          <w:rFonts w:hint="eastAsia" w:ascii="仿宋_GB2312" w:hAnsi="仿宋_GB2312" w:eastAsia="仿宋_GB2312" w:cs="仿宋_GB2312"/>
          <w:snapToGrid w:val="0"/>
          <w:color w:val="000000"/>
          <w:spacing w:val="0"/>
          <w:kern w:val="0"/>
          <w:sz w:val="32"/>
          <w:szCs w:val="32"/>
          <w:u w:val="none"/>
          <w:lang w:eastAsia="zh-CN"/>
        </w:rPr>
        <w:t>法定代表人</w:t>
      </w:r>
      <w:r>
        <w:rPr>
          <w:rFonts w:hint="eastAsia" w:ascii="仿宋_GB2312" w:hAnsi="仿宋_GB2312" w:eastAsia="仿宋_GB2312" w:cs="仿宋_GB2312"/>
          <w:snapToGrid w:val="0"/>
          <w:color w:val="000000"/>
          <w:spacing w:val="0"/>
          <w:kern w:val="0"/>
          <w:sz w:val="32"/>
          <w:szCs w:val="32"/>
          <w:u w:val="none"/>
        </w:rPr>
        <w:t>身份信息与《营业执照》</w:t>
      </w:r>
      <w:r>
        <w:rPr>
          <w:rFonts w:hint="eastAsia" w:ascii="仿宋_GB2312" w:hAnsi="仿宋_GB2312" w:eastAsia="仿宋_GB2312" w:cs="仿宋_GB2312"/>
          <w:snapToGrid w:val="0"/>
          <w:color w:val="000000"/>
          <w:spacing w:val="0"/>
          <w:kern w:val="0"/>
          <w:sz w:val="32"/>
          <w:szCs w:val="32"/>
          <w:u w:val="none"/>
          <w:lang w:eastAsia="zh-CN"/>
        </w:rPr>
        <w:t>登记</w:t>
      </w:r>
      <w:r>
        <w:rPr>
          <w:rFonts w:hint="eastAsia" w:ascii="仿宋_GB2312" w:hAnsi="仿宋_GB2312" w:eastAsia="仿宋_GB2312" w:cs="仿宋_GB2312"/>
          <w:snapToGrid w:val="0"/>
          <w:color w:val="000000"/>
          <w:spacing w:val="0"/>
          <w:kern w:val="0"/>
          <w:sz w:val="32"/>
          <w:szCs w:val="32"/>
          <w:u w:val="none"/>
        </w:rPr>
        <w:t xml:space="preserve">信息相符；   </w:t>
      </w:r>
    </w:p>
    <w:p>
      <w:pPr>
        <w:keepNext w:val="0"/>
        <w:keepLines w:val="0"/>
        <w:pageBreakBefore w:val="0"/>
        <w:widowControl w:val="0"/>
        <w:kinsoku/>
        <w:wordWrap w:val="0"/>
        <w:overflowPunct/>
        <w:topLinePunct/>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u w:val="none"/>
          <w:lang w:val="en-US" w:eastAsia="zh-CN"/>
        </w:rPr>
      </w:pPr>
      <w:r>
        <w:rPr>
          <w:rFonts w:hint="eastAsia" w:ascii="仿宋_GB2312" w:hAnsi="仿宋_GB2312" w:eastAsia="仿宋_GB2312" w:cs="仿宋_GB2312"/>
          <w:snapToGrid w:val="0"/>
          <w:color w:val="000000"/>
          <w:spacing w:val="0"/>
          <w:kern w:val="0"/>
          <w:sz w:val="32"/>
          <w:szCs w:val="32"/>
          <w:u w:val="none"/>
        </w:rPr>
        <w:t>3、现场笔录</w:t>
      </w:r>
      <w:r>
        <w:rPr>
          <w:rFonts w:hint="eastAsia" w:ascii="仿宋_GB2312" w:hAnsi="仿宋_GB2312" w:eastAsia="仿宋_GB2312" w:cs="仿宋_GB2312"/>
          <w:snapToGrid w:val="0"/>
          <w:color w:val="000000"/>
          <w:spacing w:val="0"/>
          <w:kern w:val="0"/>
          <w:sz w:val="32"/>
          <w:szCs w:val="32"/>
          <w:u w:val="none"/>
          <w:lang w:val="en-US" w:eastAsia="zh-CN"/>
        </w:rPr>
        <w:t>2</w:t>
      </w:r>
      <w:r>
        <w:rPr>
          <w:rFonts w:hint="eastAsia" w:ascii="仿宋_GB2312" w:hAnsi="仿宋_GB2312" w:eastAsia="仿宋_GB2312" w:cs="仿宋_GB2312"/>
          <w:snapToGrid w:val="0"/>
          <w:color w:val="000000"/>
          <w:spacing w:val="0"/>
          <w:kern w:val="0"/>
          <w:sz w:val="32"/>
          <w:szCs w:val="32"/>
          <w:u w:val="none"/>
        </w:rPr>
        <w:t>份，</w:t>
      </w:r>
      <w:r>
        <w:rPr>
          <w:rFonts w:hint="eastAsia" w:ascii="仿宋_GB2312" w:hAnsi="仿宋_GB2312" w:eastAsia="仿宋_GB2312" w:cs="仿宋_GB2312"/>
          <w:snapToGrid w:val="0"/>
          <w:color w:val="000000"/>
          <w:spacing w:val="0"/>
          <w:kern w:val="0"/>
          <w:sz w:val="32"/>
          <w:szCs w:val="32"/>
          <w:u w:val="none"/>
          <w:lang w:eastAsia="zh-CN"/>
        </w:rPr>
        <w:t>笔录（一）</w:t>
      </w:r>
      <w:r>
        <w:rPr>
          <w:rFonts w:hint="eastAsia" w:ascii="仿宋_GB2312" w:hAnsi="仿宋_GB2312" w:eastAsia="仿宋_GB2312" w:cs="仿宋_GB2312"/>
          <w:snapToGrid w:val="0"/>
          <w:color w:val="000000"/>
          <w:spacing w:val="0"/>
          <w:kern w:val="0"/>
          <w:sz w:val="32"/>
          <w:szCs w:val="32"/>
          <w:u w:val="none"/>
        </w:rPr>
        <w:t>证明</w:t>
      </w:r>
      <w:r>
        <w:rPr>
          <w:rFonts w:hint="eastAsia" w:ascii="仿宋_GB2312" w:hAnsi="仿宋_GB2312" w:eastAsia="仿宋_GB2312" w:cs="仿宋_GB2312"/>
          <w:snapToGrid w:val="0"/>
          <w:color w:val="000000"/>
          <w:spacing w:val="0"/>
          <w:kern w:val="0"/>
          <w:sz w:val="32"/>
          <w:szCs w:val="32"/>
          <w:u w:val="none"/>
          <w:lang w:val="en-US" w:eastAsia="zh-CN"/>
        </w:rPr>
        <w:t>2024年8月19日执法人员现场检查情况以及</w:t>
      </w:r>
      <w:r>
        <w:rPr>
          <w:rFonts w:hint="eastAsia" w:ascii="仿宋_GB2312" w:hAnsi="仿宋_GB2312" w:eastAsia="仿宋_GB2312" w:cs="仿宋_GB2312"/>
          <w:snapToGrid w:val="0"/>
          <w:color w:val="000000"/>
          <w:spacing w:val="0"/>
          <w:kern w:val="0"/>
          <w:sz w:val="32"/>
          <w:szCs w:val="32"/>
          <w:u w:val="none"/>
        </w:rPr>
        <w:t>当事人</w:t>
      </w:r>
      <w:r>
        <w:rPr>
          <w:rFonts w:hint="eastAsia" w:ascii="仿宋_GB2312" w:hAnsi="仿宋_GB2312" w:eastAsia="仿宋_GB2312" w:cs="仿宋_GB2312"/>
          <w:snapToGrid w:val="0"/>
          <w:color w:val="000000"/>
          <w:spacing w:val="0"/>
          <w:kern w:val="0"/>
          <w:sz w:val="32"/>
          <w:szCs w:val="32"/>
          <w:u w:val="none"/>
          <w:lang w:eastAsia="zh-CN"/>
        </w:rPr>
        <w:t>未严格建立并执行进货查验记录制度且销售未经备案的普通化妆品的事实</w:t>
      </w:r>
      <w:r>
        <w:rPr>
          <w:rFonts w:hint="eastAsia" w:ascii="仿宋_GB2312" w:hAnsi="仿宋_GB2312" w:eastAsia="仿宋_GB2312" w:cs="仿宋_GB2312"/>
          <w:snapToGrid w:val="0"/>
          <w:color w:val="000000"/>
          <w:spacing w:val="0"/>
          <w:kern w:val="0"/>
          <w:sz w:val="32"/>
          <w:szCs w:val="32"/>
          <w:u w:val="none"/>
        </w:rPr>
        <w:t>；</w:t>
      </w:r>
      <w:r>
        <w:rPr>
          <w:rFonts w:hint="eastAsia" w:ascii="仿宋_GB2312" w:hAnsi="仿宋_GB2312" w:eastAsia="仿宋_GB2312" w:cs="仿宋_GB2312"/>
          <w:snapToGrid w:val="0"/>
          <w:color w:val="000000"/>
          <w:spacing w:val="0"/>
          <w:kern w:val="0"/>
          <w:sz w:val="32"/>
          <w:szCs w:val="32"/>
          <w:u w:val="none"/>
          <w:lang w:eastAsia="zh-CN"/>
        </w:rPr>
        <w:t>笔录（二）证明</w:t>
      </w:r>
      <w:r>
        <w:rPr>
          <w:rFonts w:hint="eastAsia" w:ascii="仿宋_GB2312" w:hAnsi="仿宋_GB2312" w:eastAsia="仿宋_GB2312" w:cs="仿宋_GB2312"/>
          <w:snapToGrid w:val="0"/>
          <w:color w:val="000000"/>
          <w:spacing w:val="0"/>
          <w:kern w:val="0"/>
          <w:sz w:val="32"/>
          <w:szCs w:val="32"/>
          <w:u w:val="none"/>
          <w:lang w:val="en-US" w:eastAsia="zh-CN"/>
        </w:rPr>
        <w:t>2024年8月26日我局执法人员对先行登记保存的洗发露实施扣押行政措施的情况；</w:t>
      </w:r>
    </w:p>
    <w:p>
      <w:pPr>
        <w:keepNext w:val="0"/>
        <w:keepLines w:val="0"/>
        <w:pageBreakBefore w:val="0"/>
        <w:widowControl w:val="0"/>
        <w:kinsoku/>
        <w:wordWrap w:val="0"/>
        <w:overflowPunct/>
        <w:topLinePunct/>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u w:val="none"/>
        </w:rPr>
      </w:pPr>
      <w:r>
        <w:rPr>
          <w:rFonts w:hint="eastAsia" w:ascii="仿宋_GB2312" w:hAnsi="仿宋_GB2312" w:eastAsia="仿宋_GB2312" w:cs="仿宋_GB2312"/>
          <w:snapToGrid w:val="0"/>
          <w:color w:val="000000"/>
          <w:spacing w:val="0"/>
          <w:kern w:val="0"/>
          <w:sz w:val="32"/>
          <w:szCs w:val="32"/>
          <w:u w:val="none"/>
        </w:rPr>
        <w:t>4、询问笔录1份，证明当事人</w:t>
      </w:r>
      <w:r>
        <w:rPr>
          <w:rFonts w:hint="eastAsia" w:ascii="仿宋_GB2312" w:hAnsi="仿宋_GB2312" w:eastAsia="仿宋_GB2312" w:cs="仿宋_GB2312"/>
          <w:snapToGrid w:val="0"/>
          <w:color w:val="000000"/>
          <w:spacing w:val="0"/>
          <w:kern w:val="0"/>
          <w:sz w:val="32"/>
          <w:szCs w:val="32"/>
          <w:u w:val="none"/>
          <w:lang w:eastAsia="zh-CN"/>
        </w:rPr>
        <w:t>未严格建立并执行进货查验记录制度且销售未经备案的普通化妆品的</w:t>
      </w:r>
      <w:r>
        <w:rPr>
          <w:rFonts w:hint="eastAsia" w:ascii="仿宋_GB2312" w:hAnsi="仿宋_GB2312" w:eastAsia="仿宋_GB2312" w:cs="仿宋_GB2312"/>
          <w:snapToGrid w:val="0"/>
          <w:color w:val="000000"/>
          <w:spacing w:val="0"/>
          <w:kern w:val="0"/>
          <w:sz w:val="32"/>
          <w:szCs w:val="32"/>
          <w:u w:val="none"/>
        </w:rPr>
        <w:t>事实，以及</w:t>
      </w:r>
      <w:r>
        <w:rPr>
          <w:rFonts w:hint="eastAsia" w:ascii="仿宋_GB2312" w:hAnsi="仿宋_GB2312" w:eastAsia="仿宋_GB2312" w:cs="仿宋_GB2312"/>
          <w:snapToGrid w:val="0"/>
          <w:color w:val="000000"/>
          <w:spacing w:val="0"/>
          <w:kern w:val="0"/>
          <w:sz w:val="32"/>
          <w:szCs w:val="32"/>
          <w:u w:val="none"/>
          <w:lang w:eastAsia="zh-CN"/>
        </w:rPr>
        <w:t>涉案化妆品</w:t>
      </w:r>
      <w:r>
        <w:rPr>
          <w:rFonts w:hint="eastAsia" w:ascii="仿宋_GB2312" w:hAnsi="仿宋_GB2312" w:eastAsia="仿宋_GB2312" w:cs="仿宋_GB2312"/>
          <w:snapToGrid w:val="0"/>
          <w:color w:val="000000"/>
          <w:spacing w:val="0"/>
          <w:kern w:val="0"/>
          <w:sz w:val="32"/>
          <w:szCs w:val="32"/>
          <w:u w:val="none"/>
        </w:rPr>
        <w:t>进货渠道、数量、价格</w:t>
      </w:r>
      <w:r>
        <w:rPr>
          <w:rFonts w:hint="eastAsia" w:ascii="仿宋_GB2312" w:hAnsi="仿宋_GB2312" w:eastAsia="仿宋_GB2312" w:cs="仿宋_GB2312"/>
          <w:snapToGrid w:val="0"/>
          <w:color w:val="000000"/>
          <w:spacing w:val="0"/>
          <w:kern w:val="0"/>
          <w:sz w:val="32"/>
          <w:szCs w:val="32"/>
          <w:u w:val="none"/>
          <w:lang w:eastAsia="zh-CN"/>
        </w:rPr>
        <w:t>和销售数量、价格</w:t>
      </w:r>
      <w:r>
        <w:rPr>
          <w:rFonts w:hint="eastAsia" w:ascii="仿宋_GB2312" w:hAnsi="仿宋_GB2312" w:eastAsia="仿宋_GB2312" w:cs="仿宋_GB2312"/>
          <w:snapToGrid w:val="0"/>
          <w:color w:val="000000"/>
          <w:spacing w:val="0"/>
          <w:kern w:val="0"/>
          <w:sz w:val="32"/>
          <w:szCs w:val="32"/>
          <w:u w:val="none"/>
        </w:rPr>
        <w:t xml:space="preserve">； </w:t>
      </w:r>
    </w:p>
    <w:p>
      <w:pPr>
        <w:keepNext w:val="0"/>
        <w:keepLines w:val="0"/>
        <w:pageBreakBefore w:val="0"/>
        <w:widowControl w:val="0"/>
        <w:kinsoku/>
        <w:wordWrap w:val="0"/>
        <w:overflowPunct/>
        <w:topLinePunct/>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u w:val="none"/>
          <w:lang w:eastAsia="zh-CN"/>
        </w:rPr>
      </w:pPr>
      <w:r>
        <w:rPr>
          <w:rFonts w:hint="eastAsia" w:ascii="仿宋_GB2312" w:hAnsi="仿宋_GB2312" w:eastAsia="仿宋_GB2312" w:cs="仿宋_GB2312"/>
          <w:snapToGrid w:val="0"/>
          <w:color w:val="000000"/>
          <w:spacing w:val="0"/>
          <w:kern w:val="0"/>
          <w:sz w:val="32"/>
          <w:szCs w:val="32"/>
          <w:u w:val="none"/>
        </w:rPr>
        <w:t>5、现场拍摄照片</w:t>
      </w:r>
      <w:r>
        <w:rPr>
          <w:rFonts w:hint="eastAsia" w:ascii="仿宋_GB2312" w:hAnsi="仿宋_GB2312" w:eastAsia="仿宋_GB2312" w:cs="仿宋_GB2312"/>
          <w:snapToGrid w:val="0"/>
          <w:color w:val="000000"/>
          <w:spacing w:val="0"/>
          <w:kern w:val="0"/>
          <w:sz w:val="32"/>
          <w:szCs w:val="32"/>
          <w:u w:val="none"/>
          <w:lang w:val="en-US" w:eastAsia="zh-CN"/>
        </w:rPr>
        <w:t>4</w:t>
      </w:r>
      <w:r>
        <w:rPr>
          <w:rFonts w:hint="eastAsia" w:ascii="仿宋_GB2312" w:hAnsi="仿宋_GB2312" w:eastAsia="仿宋_GB2312" w:cs="仿宋_GB2312"/>
          <w:snapToGrid w:val="0"/>
          <w:color w:val="000000"/>
          <w:spacing w:val="0"/>
          <w:kern w:val="0"/>
          <w:sz w:val="32"/>
          <w:szCs w:val="32"/>
          <w:u w:val="none"/>
        </w:rPr>
        <w:t>张，</w:t>
      </w:r>
      <w:r>
        <w:rPr>
          <w:rFonts w:hint="eastAsia" w:ascii="仿宋_GB2312" w:hAnsi="仿宋_GB2312" w:eastAsia="仿宋_GB2312" w:cs="仿宋_GB2312"/>
          <w:snapToGrid w:val="0"/>
          <w:color w:val="000000"/>
          <w:spacing w:val="0"/>
          <w:kern w:val="0"/>
          <w:sz w:val="32"/>
          <w:szCs w:val="32"/>
          <w:u w:val="none"/>
          <w:lang w:val="en-US" w:eastAsia="zh-CN"/>
        </w:rPr>
        <w:t>音像视频资料1份，</w:t>
      </w:r>
      <w:r>
        <w:rPr>
          <w:rFonts w:hint="eastAsia" w:ascii="仿宋_GB2312" w:hAnsi="仿宋_GB2312" w:eastAsia="仿宋_GB2312" w:cs="仿宋_GB2312"/>
          <w:snapToGrid w:val="0"/>
          <w:color w:val="000000"/>
          <w:spacing w:val="0"/>
          <w:kern w:val="0"/>
          <w:sz w:val="32"/>
          <w:szCs w:val="32"/>
          <w:u w:val="none"/>
        </w:rPr>
        <w:t>证明执法人员</w:t>
      </w:r>
      <w:r>
        <w:rPr>
          <w:rFonts w:hint="eastAsia" w:ascii="仿宋_GB2312" w:hAnsi="仿宋_GB2312" w:eastAsia="仿宋_GB2312" w:cs="仿宋_GB2312"/>
          <w:snapToGrid w:val="0"/>
          <w:color w:val="000000"/>
          <w:spacing w:val="0"/>
          <w:kern w:val="0"/>
          <w:sz w:val="32"/>
          <w:szCs w:val="32"/>
          <w:u w:val="none"/>
          <w:lang w:eastAsia="zh-CN"/>
        </w:rPr>
        <w:t>2024</w:t>
      </w:r>
      <w:r>
        <w:rPr>
          <w:rFonts w:hint="eastAsia" w:ascii="仿宋_GB2312" w:hAnsi="仿宋_GB2312" w:eastAsia="仿宋_GB2312" w:cs="仿宋_GB2312"/>
          <w:snapToGrid w:val="0"/>
          <w:color w:val="000000"/>
          <w:spacing w:val="0"/>
          <w:kern w:val="0"/>
          <w:sz w:val="32"/>
          <w:szCs w:val="32"/>
          <w:u w:val="none"/>
        </w:rPr>
        <w:t>年</w:t>
      </w:r>
      <w:r>
        <w:rPr>
          <w:rFonts w:hint="eastAsia" w:ascii="仿宋_GB2312" w:hAnsi="仿宋_GB2312" w:eastAsia="仿宋_GB2312" w:cs="仿宋_GB2312"/>
          <w:snapToGrid w:val="0"/>
          <w:color w:val="000000"/>
          <w:spacing w:val="0"/>
          <w:kern w:val="0"/>
          <w:sz w:val="32"/>
          <w:szCs w:val="32"/>
          <w:u w:val="none"/>
          <w:lang w:val="en-US" w:eastAsia="zh-CN"/>
        </w:rPr>
        <w:t>8</w:t>
      </w:r>
      <w:r>
        <w:rPr>
          <w:rFonts w:hint="eastAsia" w:ascii="仿宋_GB2312" w:hAnsi="仿宋_GB2312" w:eastAsia="仿宋_GB2312" w:cs="仿宋_GB2312"/>
          <w:snapToGrid w:val="0"/>
          <w:color w:val="000000"/>
          <w:spacing w:val="0"/>
          <w:kern w:val="0"/>
          <w:sz w:val="32"/>
          <w:szCs w:val="32"/>
          <w:u w:val="none"/>
        </w:rPr>
        <w:t>月</w:t>
      </w:r>
      <w:r>
        <w:rPr>
          <w:rFonts w:hint="eastAsia" w:ascii="仿宋_GB2312" w:hAnsi="仿宋_GB2312" w:eastAsia="仿宋_GB2312" w:cs="仿宋_GB2312"/>
          <w:snapToGrid w:val="0"/>
          <w:color w:val="000000"/>
          <w:spacing w:val="0"/>
          <w:kern w:val="0"/>
          <w:sz w:val="32"/>
          <w:szCs w:val="32"/>
          <w:u w:val="none"/>
          <w:lang w:val="en-US" w:eastAsia="zh-CN"/>
        </w:rPr>
        <w:t>19</w:t>
      </w:r>
      <w:r>
        <w:rPr>
          <w:rFonts w:hint="eastAsia" w:ascii="仿宋_GB2312" w:hAnsi="仿宋_GB2312" w:eastAsia="仿宋_GB2312" w:cs="仿宋_GB2312"/>
          <w:snapToGrid w:val="0"/>
          <w:color w:val="000000"/>
          <w:spacing w:val="0"/>
          <w:kern w:val="0"/>
          <w:sz w:val="32"/>
          <w:szCs w:val="32"/>
          <w:u w:val="none"/>
        </w:rPr>
        <w:t>日</w:t>
      </w:r>
      <w:r>
        <w:rPr>
          <w:rFonts w:hint="eastAsia" w:ascii="仿宋_GB2312" w:hAnsi="仿宋_GB2312" w:eastAsia="仿宋_GB2312" w:cs="仿宋_GB2312"/>
          <w:snapToGrid w:val="0"/>
          <w:color w:val="000000"/>
          <w:spacing w:val="0"/>
          <w:kern w:val="0"/>
          <w:sz w:val="32"/>
          <w:szCs w:val="32"/>
          <w:u w:val="none"/>
          <w:lang w:val="en-US" w:eastAsia="zh-CN"/>
        </w:rPr>
        <w:t>在乌苏市明盛时代超市有限公司的</w:t>
      </w:r>
      <w:r>
        <w:rPr>
          <w:rFonts w:hint="eastAsia" w:ascii="仿宋_GB2312" w:hAnsi="仿宋_GB2312" w:eastAsia="仿宋_GB2312" w:cs="仿宋_GB2312"/>
          <w:snapToGrid w:val="0"/>
          <w:color w:val="000000"/>
          <w:spacing w:val="0"/>
          <w:kern w:val="0"/>
          <w:sz w:val="32"/>
          <w:szCs w:val="32"/>
          <w:u w:val="none"/>
        </w:rPr>
        <w:t>检查经过</w:t>
      </w:r>
      <w:r>
        <w:rPr>
          <w:rFonts w:hint="eastAsia" w:ascii="仿宋_GB2312" w:hAnsi="仿宋_GB2312" w:eastAsia="仿宋_GB2312" w:cs="仿宋_GB2312"/>
          <w:snapToGrid w:val="0"/>
          <w:color w:val="000000"/>
          <w:spacing w:val="0"/>
          <w:kern w:val="0"/>
          <w:sz w:val="32"/>
          <w:szCs w:val="32"/>
          <w:u w:val="none"/>
          <w:lang w:eastAsia="zh-CN"/>
        </w:rPr>
        <w:t>；</w:t>
      </w:r>
    </w:p>
    <w:p>
      <w:pPr>
        <w:keepNext w:val="0"/>
        <w:keepLines w:val="0"/>
        <w:pageBreakBefore w:val="0"/>
        <w:widowControl w:val="0"/>
        <w:kinsoku/>
        <w:wordWrap w:val="0"/>
        <w:overflowPunct/>
        <w:topLinePunct/>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u w:val="none"/>
          <w:lang w:val="en-US" w:eastAsia="zh-CN"/>
        </w:rPr>
      </w:pPr>
      <w:r>
        <w:rPr>
          <w:rFonts w:hint="eastAsia" w:ascii="仿宋_GB2312" w:hAnsi="仿宋_GB2312" w:eastAsia="仿宋_GB2312" w:cs="仿宋_GB2312"/>
          <w:snapToGrid w:val="0"/>
          <w:color w:val="000000"/>
          <w:spacing w:val="0"/>
          <w:kern w:val="0"/>
          <w:sz w:val="32"/>
          <w:szCs w:val="32"/>
          <w:u w:val="none"/>
          <w:lang w:val="en-US" w:eastAsia="zh-CN"/>
        </w:rPr>
        <w:t>6、当事人提供的滇紅植康草本植萃洗发屑洗发露（水润去屑型）化妆品的进货票据复印件1份，由当事人提供，证明当事人购进涉案化妆品的进货时间、数量、价格等信息；</w:t>
      </w:r>
    </w:p>
    <w:p>
      <w:pPr>
        <w:keepNext w:val="0"/>
        <w:keepLines w:val="0"/>
        <w:pageBreakBefore w:val="0"/>
        <w:widowControl w:val="0"/>
        <w:kinsoku/>
        <w:wordWrap w:val="0"/>
        <w:overflowPunct/>
        <w:topLinePunct/>
        <w:autoSpaceDE/>
        <w:autoSpaceDN/>
        <w:bidi w:val="0"/>
        <w:snapToGrid/>
        <w:spacing w:line="560" w:lineRule="exact"/>
        <w:ind w:left="0" w:right="0" w:firstLine="640" w:firstLineChars="200"/>
        <w:jc w:val="both"/>
        <w:textAlignment w:val="auto"/>
        <w:rPr>
          <w:rFonts w:hint="default" w:ascii="仿宋_GB2312" w:hAnsi="仿宋_GB2312" w:eastAsia="仿宋_GB2312" w:cs="仿宋_GB2312"/>
          <w:snapToGrid w:val="0"/>
          <w:color w:val="000000"/>
          <w:spacing w:val="0"/>
          <w:kern w:val="0"/>
          <w:sz w:val="32"/>
          <w:szCs w:val="32"/>
          <w:u w:val="none"/>
          <w:lang w:val="en-US" w:eastAsia="zh-CN"/>
        </w:rPr>
      </w:pPr>
      <w:r>
        <w:rPr>
          <w:rFonts w:hint="eastAsia" w:ascii="仿宋_GB2312" w:hAnsi="仿宋_GB2312" w:eastAsia="仿宋_GB2312" w:cs="仿宋_GB2312"/>
          <w:snapToGrid w:val="0"/>
          <w:color w:val="000000"/>
          <w:spacing w:val="0"/>
          <w:kern w:val="0"/>
          <w:sz w:val="32"/>
          <w:szCs w:val="32"/>
          <w:u w:val="none"/>
          <w:lang w:val="en-US" w:eastAsia="zh-CN"/>
        </w:rPr>
        <w:t>7、当事人提供的供货商的营业执照复印件1份，证明供货商的</w:t>
      </w:r>
      <w:r>
        <w:rPr>
          <w:rFonts w:hint="eastAsia" w:ascii="仿宋_GB2312" w:hAnsi="仿宋_GB2312" w:eastAsia="仿宋_GB2312" w:cs="仿宋_GB2312"/>
          <w:snapToGrid w:val="0"/>
          <w:color w:val="000000"/>
          <w:spacing w:val="0"/>
          <w:kern w:val="0"/>
          <w:sz w:val="32"/>
          <w:szCs w:val="32"/>
          <w:u w:val="none"/>
        </w:rPr>
        <w:t xml:space="preserve">经营主体资格及经营范围； </w:t>
      </w:r>
    </w:p>
    <w:p>
      <w:pPr>
        <w:keepNext w:val="0"/>
        <w:keepLines w:val="0"/>
        <w:pageBreakBefore w:val="0"/>
        <w:widowControl w:val="0"/>
        <w:kinsoku/>
        <w:wordWrap w:val="0"/>
        <w:overflowPunct/>
        <w:topLinePunct/>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u w:val="none"/>
          <w:lang w:val="en-US" w:eastAsia="zh-CN"/>
        </w:rPr>
      </w:pPr>
      <w:r>
        <w:rPr>
          <w:rFonts w:hint="eastAsia" w:ascii="仿宋_GB2312" w:hAnsi="仿宋_GB2312" w:eastAsia="仿宋_GB2312" w:cs="仿宋_GB2312"/>
          <w:snapToGrid w:val="0"/>
          <w:color w:val="000000"/>
          <w:spacing w:val="0"/>
          <w:kern w:val="0"/>
          <w:sz w:val="32"/>
          <w:szCs w:val="32"/>
          <w:u w:val="none"/>
          <w:lang w:val="en-US" w:eastAsia="zh-CN"/>
        </w:rPr>
        <w:t xml:space="preserve">8、当事人补充提供的同批号涉案洗发露出厂检验合格证明、厂家《化妆品生产许可证》、厂家《营业执照》复印件3份，证明涉案洗发露的产品信息； </w:t>
      </w:r>
    </w:p>
    <w:p>
      <w:pPr>
        <w:keepNext w:val="0"/>
        <w:keepLines w:val="0"/>
        <w:pageBreakBefore w:val="0"/>
        <w:widowControl w:val="0"/>
        <w:kinsoku/>
        <w:wordWrap w:val="0"/>
        <w:overflowPunct/>
        <w:topLinePunct/>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u w:val="none"/>
          <w:lang w:val="en-US" w:eastAsia="zh-CN"/>
        </w:rPr>
      </w:pPr>
      <w:r>
        <w:rPr>
          <w:rFonts w:hint="eastAsia" w:ascii="仿宋_GB2312" w:hAnsi="仿宋_GB2312" w:eastAsia="仿宋_GB2312" w:cs="仿宋_GB2312"/>
          <w:snapToGrid w:val="0"/>
          <w:color w:val="000000"/>
          <w:spacing w:val="0"/>
          <w:kern w:val="0"/>
          <w:sz w:val="32"/>
          <w:szCs w:val="32"/>
          <w:u w:val="none"/>
          <w:lang w:val="en-US" w:eastAsia="zh-CN"/>
        </w:rPr>
        <w:t>9、当事人提供的销售记录1份，证明当事人销售涉案洗发露的时间、数量、销售金额的情况；</w:t>
      </w:r>
    </w:p>
    <w:p>
      <w:pPr>
        <w:keepNext w:val="0"/>
        <w:keepLines w:val="0"/>
        <w:pageBreakBefore w:val="0"/>
        <w:widowControl w:val="0"/>
        <w:kinsoku/>
        <w:wordWrap w:val="0"/>
        <w:overflowPunct/>
        <w:topLinePunct/>
        <w:autoSpaceDE/>
        <w:autoSpaceDN/>
        <w:bidi w:val="0"/>
        <w:snapToGrid/>
        <w:spacing w:line="560" w:lineRule="exact"/>
        <w:ind w:left="0" w:right="0" w:firstLine="640" w:firstLineChars="200"/>
        <w:jc w:val="both"/>
        <w:textAlignment w:val="auto"/>
        <w:rPr>
          <w:rFonts w:hint="default" w:ascii="仿宋_GB2312" w:hAnsi="仿宋_GB2312" w:eastAsia="仿宋_GB2312" w:cs="仿宋_GB2312"/>
          <w:snapToGrid w:val="0"/>
          <w:color w:val="000000"/>
          <w:spacing w:val="0"/>
          <w:kern w:val="0"/>
          <w:sz w:val="32"/>
          <w:szCs w:val="32"/>
          <w:u w:val="none"/>
          <w:lang w:val="en-US" w:eastAsia="zh-CN"/>
        </w:rPr>
      </w:pPr>
      <w:r>
        <w:rPr>
          <w:rFonts w:hint="eastAsia" w:ascii="仿宋_GB2312" w:hAnsi="仿宋_GB2312" w:eastAsia="仿宋_GB2312" w:cs="仿宋_GB2312"/>
          <w:snapToGrid w:val="0"/>
          <w:color w:val="000000"/>
          <w:spacing w:val="0"/>
          <w:kern w:val="0"/>
          <w:sz w:val="32"/>
          <w:szCs w:val="32"/>
          <w:u w:val="none"/>
          <w:lang w:val="en-US" w:eastAsia="zh-CN"/>
        </w:rPr>
        <w:t>10.《关于协助调查滇紅植康草本植萃洗头屑洗发露有关情况的函》和《关于协查滇紅植康（广州）生物科技有限公司的回复》复印件各一份，证明当事人销售的涉案批次洗发露经协查非备案人滇紅植康（广州）生物科技有限公司生产的事实。</w:t>
      </w:r>
    </w:p>
    <w:p>
      <w:pPr>
        <w:pStyle w:val="2"/>
        <w:keepNext w:val="0"/>
        <w:keepLines w:val="0"/>
        <w:pageBreakBefore w:val="0"/>
        <w:tabs>
          <w:tab w:val="left" w:pos="9060"/>
        </w:tabs>
        <w:kinsoku/>
        <w:overflowPunct/>
        <w:bidi w:val="0"/>
        <w:spacing w:line="560" w:lineRule="exact"/>
        <w:ind w:left="0" w:right="0" w:firstLine="640" w:firstLineChars="200"/>
        <w:jc w:val="both"/>
        <w:textAlignment w:val="auto"/>
        <w:rPr>
          <w:rFonts w:hint="eastAsia" w:ascii="Times New Roman" w:eastAsia="仿宋_GB2312" w:cs="仿宋_GB2312"/>
          <w:color w:val="000000"/>
          <w:u w:val="none" w:color="auto"/>
        </w:rPr>
      </w:pPr>
      <w:r>
        <w:rPr>
          <w:rFonts w:hint="eastAsia" w:ascii="仿宋_GB2312" w:hAnsi="仿宋_GB2312" w:eastAsia="仿宋_GB2312" w:cs="仿宋_GB2312"/>
          <w:color w:val="000000"/>
          <w:u w:val="none" w:color="auto"/>
        </w:rPr>
        <w:t>我局于</w:t>
      </w:r>
      <w:r>
        <w:rPr>
          <w:rFonts w:hint="eastAsia" w:ascii="仿宋_GB2312" w:hAnsi="仿宋_GB2312" w:eastAsia="仿宋_GB2312" w:cs="仿宋_GB2312"/>
          <w:color w:val="000000"/>
          <w:u w:val="none" w:color="auto"/>
          <w:lang w:val="en-US" w:eastAsia="zh-CN"/>
        </w:rPr>
        <w:t>2024年11月12日</w:t>
      </w:r>
      <w:r>
        <w:rPr>
          <w:rFonts w:hint="eastAsia" w:ascii="仿宋_GB2312" w:hAnsi="仿宋_GB2312" w:eastAsia="仿宋_GB2312" w:cs="仿宋_GB2312"/>
          <w:color w:val="000000"/>
          <w:u w:val="none" w:color="auto"/>
        </w:rPr>
        <w:t>依法向当事人送达了《行政处罚告知书》（乌市监罚告〔202</w:t>
      </w:r>
      <w:r>
        <w:rPr>
          <w:rFonts w:hint="eastAsia" w:ascii="仿宋_GB2312" w:hAnsi="仿宋_GB2312" w:eastAsia="仿宋_GB2312" w:cs="仿宋_GB2312"/>
          <w:color w:val="000000"/>
          <w:u w:val="none" w:color="auto"/>
          <w:lang w:val="en-US" w:eastAsia="zh-CN"/>
        </w:rPr>
        <w:t>4</w:t>
      </w:r>
      <w:r>
        <w:rPr>
          <w:rFonts w:hint="eastAsia" w:ascii="仿宋_GB2312" w:hAnsi="仿宋_GB2312" w:eastAsia="仿宋_GB2312" w:cs="仿宋_GB2312"/>
          <w:color w:val="000000"/>
          <w:u w:val="none" w:color="auto"/>
        </w:rPr>
        <w:t>〕</w:t>
      </w:r>
      <w:r>
        <w:rPr>
          <w:rFonts w:hint="eastAsia" w:ascii="仿宋_GB2312" w:hAnsi="仿宋_GB2312" w:eastAsia="仿宋_GB2312" w:cs="仿宋_GB2312"/>
          <w:color w:val="000000"/>
          <w:u w:val="none" w:color="auto"/>
          <w:lang w:val="en-US" w:eastAsia="zh-CN"/>
        </w:rPr>
        <w:t>270</w:t>
      </w:r>
      <w:r>
        <w:rPr>
          <w:rFonts w:hint="eastAsia" w:ascii="仿宋_GB2312" w:hAnsi="仿宋_GB2312" w:eastAsia="仿宋_GB2312" w:cs="仿宋_GB2312"/>
          <w:color w:val="000000"/>
          <w:u w:val="none" w:color="auto"/>
        </w:rPr>
        <w:t xml:space="preserve">号），告知了当事人依法享有陈述、申辩的权利，当事人在法定期限内未提出陈述、申辩，视为放弃此权利。   </w:t>
      </w:r>
      <w:r>
        <w:rPr>
          <w:rFonts w:hint="eastAsia" w:ascii="Times New Roman" w:eastAsia="仿宋_GB2312" w:cs="仿宋_GB2312"/>
          <w:color w:val="000000"/>
          <w:u w:val="none" w:color="auto"/>
        </w:rPr>
        <w:t xml:space="preserve">                       </w:t>
      </w:r>
    </w:p>
    <w:p>
      <w:pPr>
        <w:pStyle w:val="2"/>
        <w:keepNext w:val="0"/>
        <w:keepLines w:val="0"/>
        <w:pageBreakBefore w:val="0"/>
        <w:tabs>
          <w:tab w:val="left" w:pos="9060"/>
        </w:tabs>
        <w:kinsoku/>
        <w:overflowPunct/>
        <w:bidi w:val="0"/>
        <w:spacing w:line="560" w:lineRule="exact"/>
        <w:ind w:left="0" w:right="0" w:firstLine="640" w:firstLineChars="200"/>
        <w:jc w:val="both"/>
        <w:textAlignment w:val="auto"/>
        <w:rPr>
          <w:rFonts w:hint="default" w:ascii="Times New Roman" w:eastAsia="仿宋_GB2312" w:cs="仿宋_GB2312"/>
          <w:color w:val="000000"/>
          <w:u w:val="none" w:color="auto"/>
          <w:lang w:val="en-US" w:eastAsia="zh-CN"/>
        </w:rPr>
      </w:pPr>
      <w:r>
        <w:rPr>
          <w:rFonts w:hint="eastAsia" w:ascii="仿宋_GB2312" w:eastAsia="仿宋_GB2312" w:cs="Mongolian Baiti"/>
          <w:kern w:val="1"/>
          <w:u w:val="none" w:color="auto"/>
        </w:rPr>
        <w:t>本局认为，</w:t>
      </w:r>
      <w:r>
        <w:rPr>
          <w:rFonts w:hint="eastAsia" w:ascii="仿宋_GB2312" w:hAnsi="仿宋_GB2312" w:eastAsia="仿宋_GB2312" w:cs="仿宋_GB2312"/>
          <w:sz w:val="32"/>
          <w:szCs w:val="32"/>
          <w:u w:val="none" w:color="auto"/>
        </w:rPr>
        <w:t>当事人的上述行为违反了</w:t>
      </w:r>
      <w:r>
        <w:rPr>
          <w:rFonts w:hint="eastAsia" w:ascii="仿宋_GB2312" w:hAnsi="仿宋_GB2312" w:eastAsia="仿宋_GB2312" w:cs="仿宋_GB2312"/>
          <w:snapToGrid w:val="0"/>
          <w:color w:val="000000"/>
          <w:spacing w:val="0"/>
          <w:kern w:val="0"/>
          <w:sz w:val="32"/>
          <w:szCs w:val="32"/>
          <w:u w:val="none"/>
          <w:lang w:val="en-US" w:eastAsia="zh-CN"/>
        </w:rPr>
        <w:t>《化妆品监督管理条例》第四条第二款“化妆品分为特殊化妆品和普通化妆品。国家对特殊化妆品实行注册管理，对普通化妆品实行备案管理。”、第十七条“特殊化妆品经国务院药品监督管理部门注册后方可生产、进口。国产普通化妆品应当在上市销售前向备案人所在地省、自治区直辖市人民政府药品监督管理部门备案。进口普通化妆品应当在进口前向国务院药品监督管理部门备案的规定”和第三十八条第一款“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w:t>
      </w:r>
      <w:r>
        <w:rPr>
          <w:rFonts w:hint="eastAsia" w:ascii="仿宋_GB2312" w:hAnsi="仿宋_GB2312" w:eastAsia="仿宋_GB2312" w:cs="仿宋_GB2312"/>
          <w:snapToGrid w:val="0"/>
          <w:color w:val="000000"/>
          <w:spacing w:val="0"/>
          <w:kern w:val="0"/>
          <w:sz w:val="32"/>
          <w:szCs w:val="32"/>
          <w:u w:val="none"/>
        </w:rPr>
        <w:t>属违法行为。</w:t>
      </w:r>
      <w:r>
        <w:rPr>
          <w:rFonts w:hint="eastAsia" w:ascii="仿宋_GB2312" w:hAnsi="仿宋_GB2312" w:eastAsia="仿宋_GB2312" w:cs="仿宋_GB2312"/>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snapToGrid w:val="0"/>
          <w:color w:val="000000"/>
          <w:spacing w:val="0"/>
          <w:kern w:val="0"/>
          <w:sz w:val="32"/>
          <w:szCs w:val="32"/>
          <w:u w:val="none"/>
          <w:lang w:eastAsia="zh-CN"/>
        </w:rPr>
        <w:t>鉴于当事人系初次违法，在案件</w:t>
      </w:r>
      <w:r>
        <w:rPr>
          <w:rFonts w:hint="eastAsia" w:ascii="仿宋_GB2312" w:hAnsi="仿宋_GB2312" w:eastAsia="仿宋_GB2312" w:cs="仿宋_GB2312"/>
          <w:snapToGrid w:val="0"/>
          <w:color w:val="000000"/>
          <w:spacing w:val="0"/>
          <w:kern w:val="0"/>
          <w:sz w:val="32"/>
          <w:szCs w:val="32"/>
          <w:u w:val="none"/>
          <w:lang w:val="en-US" w:eastAsia="zh-CN"/>
        </w:rPr>
        <w:t>办理</w:t>
      </w:r>
      <w:r>
        <w:rPr>
          <w:rFonts w:hint="eastAsia" w:ascii="仿宋_GB2312" w:hAnsi="仿宋_GB2312" w:eastAsia="仿宋_GB2312" w:cs="仿宋_GB2312"/>
          <w:snapToGrid w:val="0"/>
          <w:color w:val="000000"/>
          <w:spacing w:val="0"/>
          <w:kern w:val="0"/>
          <w:sz w:val="32"/>
          <w:szCs w:val="32"/>
          <w:u w:val="none"/>
          <w:lang w:eastAsia="zh-CN"/>
        </w:rPr>
        <w:t>过程中态度端正，</w:t>
      </w:r>
      <w:r>
        <w:rPr>
          <w:rFonts w:hint="eastAsia" w:ascii="仿宋_GB2312" w:hAnsi="仿宋_GB2312" w:eastAsia="仿宋_GB2312" w:cs="仿宋_GB2312"/>
          <w:snapToGrid w:val="0"/>
          <w:color w:val="000000"/>
          <w:spacing w:val="0"/>
          <w:kern w:val="0"/>
          <w:sz w:val="32"/>
          <w:szCs w:val="32"/>
          <w:u w:val="none"/>
        </w:rPr>
        <w:t>积极配合市场监督管理部门的调查，</w:t>
      </w:r>
      <w:r>
        <w:rPr>
          <w:rFonts w:hint="eastAsia" w:ascii="仿宋_GB2312" w:hAnsi="仿宋_GB2312" w:eastAsia="仿宋_GB2312" w:cs="仿宋_GB2312"/>
          <w:snapToGrid w:val="0"/>
          <w:color w:val="000000"/>
          <w:spacing w:val="0"/>
          <w:kern w:val="0"/>
          <w:sz w:val="32"/>
          <w:szCs w:val="32"/>
          <w:u w:val="none"/>
          <w:lang w:eastAsia="zh-CN"/>
        </w:rPr>
        <w:t>如实陈述违法</w:t>
      </w:r>
      <w:r>
        <w:rPr>
          <w:rFonts w:hint="eastAsia" w:ascii="仿宋_GB2312" w:hAnsi="仿宋_GB2312" w:eastAsia="仿宋_GB2312" w:cs="仿宋_GB2312"/>
          <w:snapToGrid w:val="0"/>
          <w:color w:val="000000"/>
          <w:spacing w:val="0"/>
          <w:kern w:val="0"/>
          <w:sz w:val="32"/>
          <w:szCs w:val="32"/>
          <w:u w:val="none"/>
          <w:lang w:val="en-US" w:eastAsia="zh-CN"/>
        </w:rPr>
        <w:t>事实</w:t>
      </w:r>
      <w:r>
        <w:rPr>
          <w:rFonts w:hint="eastAsia" w:ascii="仿宋_GB2312" w:hAnsi="仿宋_GB2312" w:eastAsia="仿宋_GB2312" w:cs="仿宋_GB2312"/>
          <w:snapToGrid w:val="0"/>
          <w:color w:val="000000"/>
          <w:spacing w:val="0"/>
          <w:kern w:val="0"/>
          <w:sz w:val="32"/>
          <w:szCs w:val="32"/>
          <w:u w:val="none"/>
          <w:lang w:eastAsia="zh-CN"/>
        </w:rPr>
        <w:t>，未严格执行进货查验记录制度且销售未经备案的普通化妆品</w:t>
      </w:r>
      <w:r>
        <w:rPr>
          <w:rFonts w:hint="eastAsia" w:ascii="仿宋_GB2312" w:hAnsi="仿宋_GB2312" w:eastAsia="仿宋_GB2312" w:cs="仿宋_GB2312"/>
          <w:snapToGrid w:val="0"/>
          <w:color w:val="000000"/>
          <w:spacing w:val="0"/>
          <w:kern w:val="0"/>
          <w:sz w:val="32"/>
          <w:szCs w:val="32"/>
          <w:u w:val="none"/>
        </w:rPr>
        <w:t>的违法行为未造成</w:t>
      </w:r>
      <w:r>
        <w:rPr>
          <w:rFonts w:hint="eastAsia" w:ascii="仿宋_GB2312" w:hAnsi="仿宋_GB2312" w:eastAsia="仿宋_GB2312" w:cs="仿宋_GB2312"/>
          <w:snapToGrid w:val="0"/>
          <w:color w:val="000000"/>
          <w:spacing w:val="0"/>
          <w:kern w:val="0"/>
          <w:sz w:val="32"/>
          <w:szCs w:val="32"/>
          <w:u w:val="none"/>
          <w:lang w:eastAsia="zh-CN"/>
        </w:rPr>
        <w:t>社会危害后果</w:t>
      </w:r>
      <w:r>
        <w:rPr>
          <w:rFonts w:hint="eastAsia" w:ascii="仿宋_GB2312" w:hAnsi="仿宋_GB2312" w:eastAsia="仿宋_GB2312" w:cs="仿宋_GB2312"/>
          <w:snapToGrid w:val="0"/>
          <w:color w:val="000000"/>
          <w:spacing w:val="0"/>
          <w:kern w:val="0"/>
          <w:sz w:val="32"/>
          <w:szCs w:val="32"/>
          <w:u w:val="none"/>
        </w:rPr>
        <w:t>，通过学习法律法规，对自</w:t>
      </w:r>
      <w:r>
        <w:rPr>
          <w:rFonts w:hint="eastAsia" w:ascii="仿宋_GB2312" w:hAnsi="仿宋_GB2312" w:eastAsia="仿宋_GB2312" w:cs="仿宋_GB2312"/>
          <w:snapToGrid w:val="0"/>
          <w:color w:val="000000"/>
          <w:spacing w:val="0"/>
          <w:kern w:val="0"/>
          <w:sz w:val="32"/>
          <w:szCs w:val="32"/>
          <w:u w:val="none"/>
          <w:lang w:eastAsia="zh-CN"/>
        </w:rPr>
        <w:t>身</w:t>
      </w:r>
      <w:r>
        <w:rPr>
          <w:rFonts w:hint="eastAsia" w:ascii="仿宋_GB2312" w:hAnsi="仿宋_GB2312" w:eastAsia="仿宋_GB2312" w:cs="仿宋_GB2312"/>
          <w:snapToGrid w:val="0"/>
          <w:color w:val="000000"/>
          <w:spacing w:val="0"/>
          <w:kern w:val="0"/>
          <w:sz w:val="32"/>
          <w:szCs w:val="32"/>
          <w:u w:val="none"/>
        </w:rPr>
        <w:t>的违法行为有深刻的认识，并</w:t>
      </w:r>
      <w:r>
        <w:rPr>
          <w:rFonts w:hint="eastAsia" w:ascii="仿宋_GB2312" w:hAnsi="仿宋_GB2312" w:eastAsia="仿宋_GB2312" w:cs="仿宋_GB2312"/>
          <w:snapToGrid w:val="0"/>
          <w:color w:val="000000"/>
          <w:spacing w:val="0"/>
          <w:kern w:val="0"/>
          <w:sz w:val="32"/>
          <w:szCs w:val="32"/>
          <w:u w:val="none"/>
          <w:lang w:eastAsia="zh-CN"/>
        </w:rPr>
        <w:t>积极改正违法行为，</w:t>
      </w:r>
      <w:r>
        <w:rPr>
          <w:rFonts w:hint="eastAsia" w:ascii="仿宋_GB2312" w:hAnsi="仿宋_GB2312" w:eastAsia="仿宋_GB2312" w:cs="仿宋_GB2312"/>
          <w:snapToGrid w:val="0"/>
          <w:color w:val="000000"/>
          <w:spacing w:val="0"/>
          <w:kern w:val="0"/>
          <w:sz w:val="32"/>
          <w:szCs w:val="32"/>
          <w:u w:val="none"/>
        </w:rPr>
        <w:t>承诺在今后的经营过程中守法</w:t>
      </w:r>
      <w:r>
        <w:rPr>
          <w:rFonts w:hint="eastAsia" w:ascii="仿宋_GB2312" w:hAnsi="仿宋_GB2312" w:eastAsia="仿宋_GB2312" w:cs="仿宋_GB2312"/>
          <w:snapToGrid w:val="0"/>
          <w:color w:val="000000"/>
          <w:spacing w:val="0"/>
          <w:kern w:val="0"/>
          <w:sz w:val="32"/>
          <w:szCs w:val="32"/>
          <w:u w:val="none"/>
          <w:lang w:eastAsia="zh-CN"/>
        </w:rPr>
        <w:t>经营。</w:t>
      </w:r>
      <w:r>
        <w:rPr>
          <w:rFonts w:hint="eastAsia" w:ascii="仿宋_GB2312" w:hAnsi="仿宋_GB2312" w:eastAsia="仿宋_GB2312" w:cs="仿宋_GB2312"/>
          <w:kern w:val="0"/>
          <w:sz w:val="32"/>
          <w:szCs w:val="32"/>
          <w:lang w:eastAsia="zh-CN"/>
        </w:rPr>
        <w:t>当事人的上述情况符合</w:t>
      </w:r>
      <w:r>
        <w:rPr>
          <w:rFonts w:hint="eastAsia" w:ascii="仿宋_GB2312" w:hAnsi="仿宋_GB2312" w:eastAsia="仿宋_GB2312" w:cs="仿宋_GB2312"/>
          <w:kern w:val="0"/>
          <w:sz w:val="32"/>
          <w:szCs w:val="32"/>
        </w:rPr>
        <w:t>《新疆维吾尔自治区药品监督管理局行政处罚裁量权适用规定》第十</w:t>
      </w:r>
      <w:r>
        <w:rPr>
          <w:rFonts w:hint="eastAsia" w:ascii="仿宋_GB2312" w:hAnsi="仿宋_GB2312" w:eastAsia="仿宋_GB2312" w:cs="仿宋_GB2312"/>
          <w:kern w:val="0"/>
          <w:sz w:val="32"/>
          <w:szCs w:val="32"/>
          <w:lang w:eastAsia="zh-CN"/>
        </w:rPr>
        <w:t>七</w:t>
      </w:r>
      <w:r>
        <w:rPr>
          <w:rFonts w:hint="eastAsia" w:ascii="仿宋_GB2312" w:hAnsi="仿宋_GB2312" w:eastAsia="仿宋_GB2312" w:cs="仿宋_GB2312"/>
          <w:kern w:val="0"/>
          <w:sz w:val="32"/>
          <w:szCs w:val="32"/>
        </w:rPr>
        <w:t>条：“符合下列情形之一的，可以从轻或者减轻行政处罚：（一）违法行为轻微，社会危害性较小的；（四）积极配合药品监督管理部门调查，如实陈述违法事实并主动提供证据材料的；”的规定，</w:t>
      </w:r>
      <w:r>
        <w:rPr>
          <w:rFonts w:hint="eastAsia" w:ascii="仿宋_GB2312" w:hAnsi="仿宋_GB2312" w:eastAsia="仿宋_GB2312" w:cs="仿宋_GB2312"/>
          <w:b w:val="0"/>
          <w:bCs w:val="0"/>
          <w:color w:val="auto"/>
          <w:kern w:val="0"/>
          <w:sz w:val="32"/>
          <w:szCs w:val="32"/>
        </w:rPr>
        <w:t>综合考虑个案情况、当事人主客观情况等相关因素，</w:t>
      </w:r>
      <w:r>
        <w:rPr>
          <w:rFonts w:hint="eastAsia" w:ascii="仿宋_GB2312" w:hAnsi="仿宋_GB2312" w:eastAsia="仿宋_GB2312" w:cs="仿宋_GB2312"/>
          <w:b w:val="0"/>
          <w:bCs w:val="0"/>
          <w:color w:val="auto"/>
          <w:kern w:val="0"/>
          <w:sz w:val="32"/>
          <w:szCs w:val="32"/>
          <w:lang w:eastAsia="zh-CN"/>
        </w:rPr>
        <w:t>决定</w:t>
      </w:r>
      <w:r>
        <w:rPr>
          <w:rFonts w:hint="eastAsia" w:ascii="仿宋_GB2312" w:hAnsi="仿宋_GB2312" w:eastAsia="仿宋_GB2312" w:cs="仿宋_GB2312"/>
          <w:b w:val="0"/>
          <w:bCs w:val="0"/>
          <w:kern w:val="0"/>
          <w:sz w:val="32"/>
          <w:szCs w:val="32"/>
          <w:lang w:eastAsia="zh-CN"/>
        </w:rPr>
        <w:t>给予当事人</w:t>
      </w:r>
      <w:r>
        <w:rPr>
          <w:rFonts w:hint="eastAsia" w:ascii="仿宋_GB2312" w:hAnsi="仿宋_GB2312" w:eastAsia="仿宋_GB2312" w:cs="仿宋_GB2312"/>
          <w:b w:val="0"/>
          <w:bCs w:val="0"/>
          <w:kern w:val="0"/>
          <w:sz w:val="32"/>
          <w:szCs w:val="32"/>
        </w:rPr>
        <w:t>减轻行</w:t>
      </w:r>
      <w:r>
        <w:rPr>
          <w:rFonts w:hint="eastAsia" w:ascii="仿宋_GB2312" w:hAnsi="仿宋_GB2312" w:eastAsia="仿宋_GB2312" w:cs="仿宋_GB2312"/>
          <w:kern w:val="0"/>
          <w:sz w:val="32"/>
          <w:szCs w:val="32"/>
        </w:rPr>
        <w:t>政处罚。</w:t>
      </w:r>
    </w:p>
    <w:p>
      <w:pPr>
        <w:pStyle w:val="2"/>
        <w:keepNext w:val="0"/>
        <w:keepLines w:val="0"/>
        <w:pageBreakBefore w:val="0"/>
        <w:tabs>
          <w:tab w:val="left" w:pos="9060"/>
        </w:tabs>
        <w:kinsoku/>
        <w:overflowPunct/>
        <w:bidi w:val="0"/>
        <w:spacing w:line="56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u w:val="none"/>
        </w:rPr>
      </w:pPr>
      <w:r>
        <w:rPr>
          <w:rFonts w:hint="eastAsia" w:ascii="Times New Roman" w:hAnsi="Times New Roman" w:eastAsia="仿宋_GB2312" w:cs="Mongolian Baiti"/>
          <w:kern w:val="1"/>
          <w:sz w:val="32"/>
          <w:szCs w:val="32"/>
          <w:u w:val="none" w:color="auto"/>
        </w:rPr>
        <w:t>综上，</w:t>
      </w:r>
      <w:r>
        <w:rPr>
          <w:rFonts w:hint="eastAsia" w:ascii="仿宋_GB2312" w:hAnsi="仿宋_GB2312" w:eastAsia="仿宋_GB2312" w:cs="仿宋_GB2312"/>
          <w:kern w:val="0"/>
          <w:sz w:val="32"/>
          <w:szCs w:val="32"/>
        </w:rPr>
        <w:t>对当事人</w:t>
      </w:r>
      <w:r>
        <w:rPr>
          <w:rFonts w:hint="eastAsia" w:ascii="仿宋_GB2312" w:hAnsi="仿宋_GB2312" w:eastAsia="仿宋_GB2312" w:cs="仿宋_GB2312"/>
          <w:kern w:val="0"/>
          <w:sz w:val="32"/>
          <w:szCs w:val="32"/>
          <w:lang w:eastAsia="zh-CN"/>
        </w:rPr>
        <w:t>未严格</w:t>
      </w:r>
      <w:r>
        <w:rPr>
          <w:rFonts w:hint="eastAsia" w:ascii="仿宋_GB2312" w:hAnsi="仿宋_GB2312" w:eastAsia="仿宋_GB2312" w:cs="仿宋_GB2312"/>
          <w:kern w:val="0"/>
          <w:sz w:val="32"/>
          <w:szCs w:val="32"/>
        </w:rPr>
        <w:t>建立并执行进货查验记录制度的行为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napToGrid w:val="0"/>
          <w:color w:val="000000"/>
          <w:spacing w:val="0"/>
          <w:kern w:val="0"/>
          <w:sz w:val="32"/>
          <w:szCs w:val="32"/>
          <w:u w:val="none"/>
        </w:rPr>
        <w:t>依据《化妆品监督管理条例》</w:t>
      </w:r>
      <w:r>
        <w:rPr>
          <w:rFonts w:hint="eastAsia" w:ascii="仿宋_GB2312" w:hAnsi="仿宋_GB2312" w:eastAsia="仿宋_GB2312" w:cs="仿宋_GB2312"/>
          <w:kern w:val="0"/>
          <w:sz w:val="32"/>
          <w:szCs w:val="32"/>
        </w:rPr>
        <w:t>第六十二条第一款第二项</w:t>
      </w:r>
      <w:r>
        <w:rPr>
          <w:rFonts w:hint="eastAsia" w:ascii="仿宋_GB2312" w:hAnsi="仿宋_GB2312" w:eastAsia="仿宋_GB2312" w:cs="仿宋_GB2312"/>
          <w:snapToGrid w:val="0"/>
          <w:color w:val="000000"/>
          <w:spacing w:val="0"/>
          <w:kern w:val="0"/>
          <w:sz w:val="32"/>
          <w:szCs w:val="32"/>
          <w:u w:val="none"/>
        </w:rPr>
        <w:t>：“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w:t>
      </w:r>
      <w:r>
        <w:rPr>
          <w:rFonts w:hint="eastAsia" w:ascii="仿宋_GB2312" w:hAnsi="仿宋_GB2312" w:eastAsia="仿宋_GB2312" w:cs="仿宋_GB2312"/>
          <w:snapToGrid w:val="0"/>
          <w:color w:val="000000"/>
          <w:spacing w:val="0"/>
          <w:kern w:val="0"/>
          <w:sz w:val="32"/>
          <w:szCs w:val="32"/>
          <w:u w:val="none"/>
          <w:lang w:eastAsia="zh-CN"/>
        </w:rPr>
        <w:t>：</w:t>
      </w:r>
      <w:r>
        <w:rPr>
          <w:rFonts w:hint="eastAsia" w:ascii="仿宋_GB2312" w:hAnsi="仿宋_GB2312" w:eastAsia="仿宋_GB2312" w:cs="仿宋_GB2312"/>
          <w:snapToGrid w:val="0"/>
          <w:color w:val="000000"/>
          <w:spacing w:val="0"/>
          <w:kern w:val="0"/>
          <w:sz w:val="32"/>
          <w:szCs w:val="32"/>
          <w:u w:val="none"/>
        </w:rPr>
        <w:t>（二）未依照本条例规定建立并执行进货查验记录制度、产品销售记录制度；”</w:t>
      </w:r>
      <w:r>
        <w:rPr>
          <w:rFonts w:hint="eastAsia" w:ascii="仿宋_GB2312" w:hAnsi="仿宋_GB2312" w:eastAsia="仿宋_GB2312" w:cs="仿宋_GB2312"/>
          <w:kern w:val="0"/>
          <w:sz w:val="32"/>
          <w:szCs w:val="32"/>
        </w:rPr>
        <w:t>的规定，责令当事人改正违法经营行为，</w:t>
      </w:r>
      <w:r>
        <w:rPr>
          <w:rFonts w:hint="eastAsia" w:ascii="仿宋_GB2312" w:hAnsi="仿宋_GB2312" w:eastAsia="仿宋_GB2312" w:cs="仿宋_GB2312"/>
          <w:kern w:val="0"/>
          <w:sz w:val="32"/>
          <w:szCs w:val="32"/>
          <w:lang w:eastAsia="zh-CN"/>
        </w:rPr>
        <w:t>决定</w:t>
      </w:r>
      <w:r>
        <w:rPr>
          <w:rFonts w:hint="eastAsia" w:ascii="仿宋_GB2312" w:hAnsi="仿宋_GB2312" w:eastAsia="仿宋_GB2312" w:cs="仿宋_GB2312"/>
          <w:kern w:val="0"/>
          <w:sz w:val="32"/>
          <w:szCs w:val="32"/>
        </w:rPr>
        <w:t xml:space="preserve">给予警告。                 </w:t>
      </w:r>
    </w:p>
    <w:p>
      <w:pPr>
        <w:keepNext w:val="0"/>
        <w:keepLines w:val="0"/>
        <w:pageBreakBefore w:val="0"/>
        <w:widowControl/>
        <w:kinsoku/>
        <w:overflowPunct/>
        <w:bidi w:val="0"/>
        <w:snapToGrid w:val="0"/>
        <w:spacing w:line="560" w:lineRule="exact"/>
        <w:ind w:left="0" w:right="0" w:firstLine="640" w:firstLineChars="200"/>
        <w:jc w:val="both"/>
        <w:textAlignment w:val="auto"/>
        <w:rPr>
          <w:rFonts w:hint="eastAsia" w:ascii="Times New Roman" w:hAnsi="Times New Roman" w:eastAsia="仿宋_GB2312" w:cs="Mongolian Baiti"/>
          <w:kern w:val="1"/>
          <w:sz w:val="32"/>
          <w:szCs w:val="32"/>
          <w:u w:val="none" w:color="auto"/>
        </w:rPr>
      </w:pPr>
      <w:r>
        <w:rPr>
          <w:rFonts w:hint="eastAsia" w:ascii="仿宋_GB2312" w:hAnsi="仿宋_GB2312" w:eastAsia="仿宋_GB2312" w:cs="仿宋_GB2312"/>
          <w:kern w:val="0"/>
          <w:sz w:val="32"/>
          <w:szCs w:val="32"/>
        </w:rPr>
        <w:t>对当事人</w:t>
      </w:r>
      <w:r>
        <w:rPr>
          <w:rFonts w:hint="eastAsia" w:ascii="仿宋_GB2312" w:hAnsi="仿宋_GB2312" w:eastAsia="仿宋_GB2312" w:cs="仿宋_GB2312"/>
          <w:snapToGrid w:val="0"/>
          <w:color w:val="000000"/>
          <w:spacing w:val="0"/>
          <w:kern w:val="0"/>
          <w:sz w:val="32"/>
          <w:szCs w:val="32"/>
          <w:u w:val="none"/>
          <w:lang w:eastAsia="zh-CN"/>
        </w:rPr>
        <w:t>销售未经备案的普通化妆品</w:t>
      </w:r>
      <w:r>
        <w:rPr>
          <w:rFonts w:hint="eastAsia" w:ascii="仿宋_GB2312" w:hAnsi="仿宋_GB2312" w:eastAsia="仿宋_GB2312" w:cs="仿宋_GB2312"/>
          <w:kern w:val="0"/>
          <w:sz w:val="32"/>
          <w:szCs w:val="32"/>
        </w:rPr>
        <w:t>行为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napToGrid w:val="0"/>
          <w:color w:val="000000"/>
          <w:spacing w:val="0"/>
          <w:kern w:val="0"/>
          <w:sz w:val="32"/>
          <w:szCs w:val="32"/>
          <w:u w:val="none"/>
        </w:rPr>
        <w:t>依据《化妆品监督管理条例》</w:t>
      </w:r>
      <w:r>
        <w:rPr>
          <w:rFonts w:hint="eastAsia" w:ascii="仿宋_GB2312" w:hAnsi="仿宋_GB2312" w:eastAsia="仿宋_GB2312" w:cs="仿宋_GB2312"/>
          <w:kern w:val="0"/>
          <w:sz w:val="32"/>
          <w:szCs w:val="32"/>
        </w:rPr>
        <w:t>第六十</w:t>
      </w: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条第一款第</w:t>
      </w: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napToGrid w:val="0"/>
          <w:color w:val="000000"/>
          <w:spacing w:val="0"/>
          <w:kern w:val="0"/>
          <w:sz w:val="32"/>
          <w:szCs w:val="32"/>
          <w:u w:val="none"/>
        </w:rPr>
        <w:t>“有下列情形之一的，由负责药品监督管理的部门</w:t>
      </w:r>
      <w:r>
        <w:rPr>
          <w:rFonts w:hint="eastAsia" w:ascii="仿宋_GB2312" w:hAnsi="仿宋_GB2312" w:eastAsia="仿宋_GB2312" w:cs="仿宋_GB2312"/>
          <w:snapToGrid w:val="0"/>
          <w:color w:val="000000"/>
          <w:spacing w:val="0"/>
          <w:kern w:val="0"/>
          <w:sz w:val="32"/>
          <w:szCs w:val="32"/>
          <w:u w:val="none"/>
          <w:lang w:eastAsia="zh-CN"/>
        </w:rPr>
        <w:t>没收违法所得，违法生产经营的化妆品</w:t>
      </w:r>
      <w:r>
        <w:rPr>
          <w:rFonts w:hint="eastAsia" w:ascii="仿宋_GB2312" w:hAnsi="仿宋_GB2312" w:eastAsia="仿宋_GB2312" w:cs="仿宋_GB2312"/>
          <w:snapToGrid w:val="0"/>
          <w:color w:val="000000"/>
          <w:spacing w:val="0"/>
          <w:kern w:val="0"/>
          <w:sz w:val="32"/>
          <w:szCs w:val="32"/>
          <w:u w:val="none"/>
        </w:rPr>
        <w:t>，</w:t>
      </w:r>
      <w:r>
        <w:rPr>
          <w:rFonts w:hint="eastAsia" w:ascii="仿宋_GB2312" w:hAnsi="仿宋_GB2312" w:eastAsia="仿宋_GB2312" w:cs="仿宋_GB2312"/>
          <w:snapToGrid w:val="0"/>
          <w:color w:val="000000"/>
          <w:spacing w:val="0"/>
          <w:kern w:val="0"/>
          <w:sz w:val="32"/>
          <w:szCs w:val="32"/>
          <w:u w:val="none"/>
          <w:lang w:eastAsia="zh-CN"/>
        </w:rPr>
        <w:t>并可以没收专门用于违法生产经营的原料、包装材料、工具、设备等物品；违法生产经营的化妆品货值金额不足</w:t>
      </w:r>
      <w:r>
        <w:rPr>
          <w:rFonts w:hint="eastAsia" w:ascii="仿宋_GB2312" w:hAnsi="仿宋_GB2312" w:eastAsia="仿宋_GB2312" w:cs="仿宋_GB2312"/>
          <w:snapToGrid w:val="0"/>
          <w:color w:val="000000"/>
          <w:spacing w:val="0"/>
          <w:kern w:val="0"/>
          <w:sz w:val="32"/>
          <w:szCs w:val="32"/>
          <w:u w:val="none"/>
          <w:lang w:val="en-US" w:eastAsia="zh-CN"/>
        </w:rPr>
        <w:t>1万的</w:t>
      </w:r>
      <w:r>
        <w:rPr>
          <w:rFonts w:hint="eastAsia" w:ascii="仿宋_GB2312" w:hAnsi="仿宋_GB2312" w:eastAsia="仿宋_GB2312" w:cs="仿宋_GB2312"/>
          <w:snapToGrid w:val="0"/>
          <w:color w:val="000000"/>
          <w:spacing w:val="0"/>
          <w:kern w:val="0"/>
          <w:sz w:val="32"/>
          <w:szCs w:val="32"/>
          <w:u w:val="none"/>
        </w:rPr>
        <w:t>并处1万元以上3万元以下罚款；</w:t>
      </w:r>
      <w:r>
        <w:rPr>
          <w:rFonts w:hint="eastAsia" w:ascii="仿宋_GB2312" w:hAnsi="仿宋_GB2312" w:eastAsia="仿宋_GB2312" w:cs="仿宋_GB2312"/>
          <w:snapToGrid w:val="0"/>
          <w:color w:val="000000"/>
          <w:spacing w:val="0"/>
          <w:kern w:val="0"/>
          <w:sz w:val="32"/>
          <w:szCs w:val="32"/>
          <w:u w:val="none"/>
          <w:lang w:eastAsia="zh-CN"/>
        </w:rPr>
        <w:t>货值金额</w:t>
      </w:r>
      <w:r>
        <w:rPr>
          <w:rFonts w:hint="eastAsia" w:ascii="仿宋_GB2312" w:hAnsi="仿宋_GB2312" w:eastAsia="仿宋_GB2312" w:cs="仿宋_GB2312"/>
          <w:snapToGrid w:val="0"/>
          <w:color w:val="000000"/>
          <w:spacing w:val="0"/>
          <w:kern w:val="0"/>
          <w:sz w:val="32"/>
          <w:szCs w:val="32"/>
          <w:u w:val="none"/>
          <w:lang w:val="en-US" w:eastAsia="zh-CN"/>
        </w:rPr>
        <w:t>1万元以上的，</w:t>
      </w:r>
      <w:r>
        <w:rPr>
          <w:rFonts w:hint="eastAsia" w:ascii="仿宋_GB2312" w:hAnsi="仿宋_GB2312" w:eastAsia="仿宋_GB2312" w:cs="仿宋_GB2312"/>
          <w:snapToGrid w:val="0"/>
          <w:color w:val="000000"/>
          <w:spacing w:val="0"/>
          <w:kern w:val="0"/>
          <w:sz w:val="32"/>
          <w:szCs w:val="32"/>
          <w:u w:val="none"/>
        </w:rPr>
        <w:t>并处</w:t>
      </w:r>
      <w:r>
        <w:rPr>
          <w:rFonts w:hint="eastAsia" w:ascii="仿宋_GB2312" w:hAnsi="仿宋_GB2312" w:eastAsia="仿宋_GB2312" w:cs="仿宋_GB2312"/>
          <w:snapToGrid w:val="0"/>
          <w:color w:val="000000"/>
          <w:spacing w:val="0"/>
          <w:kern w:val="0"/>
          <w:sz w:val="32"/>
          <w:szCs w:val="32"/>
          <w:u w:val="none"/>
          <w:lang w:eastAsia="zh-CN"/>
        </w:rPr>
        <w:t>货值金额</w:t>
      </w:r>
      <w:r>
        <w:rPr>
          <w:rFonts w:hint="eastAsia" w:ascii="仿宋_GB2312" w:hAnsi="仿宋_GB2312" w:eastAsia="仿宋_GB2312" w:cs="仿宋_GB2312"/>
          <w:snapToGrid w:val="0"/>
          <w:color w:val="000000"/>
          <w:spacing w:val="0"/>
          <w:kern w:val="0"/>
          <w:sz w:val="32"/>
          <w:szCs w:val="32"/>
          <w:u w:val="none"/>
          <w:lang w:val="en-US" w:eastAsia="zh-CN"/>
        </w:rPr>
        <w:t>3倍以上10倍以下的罚款；情节严重的，责令停产停业，由备案部门取消备案或者原发证部门吊销化妆品许可证件，对违法单位的法定代表人或者主要负责人、直接负责人的主管人员和其他责任人员处以其上一年度从本单位取得收入的1倍以上2倍以下的罚款，5年内禁止从事化妆品经营活动：（一）上市销售、经营或者进口未备案的普通化妆品；”</w:t>
      </w:r>
      <w:r>
        <w:rPr>
          <w:rFonts w:hint="eastAsia" w:ascii="仿宋_GB2312" w:hAnsi="仿宋_GB2312" w:eastAsia="仿宋_GB2312" w:cs="仿宋_GB2312"/>
          <w:kern w:val="0"/>
          <w:sz w:val="32"/>
          <w:szCs w:val="32"/>
        </w:rPr>
        <w:t>的规定，</w:t>
      </w:r>
      <w:r>
        <w:rPr>
          <w:rFonts w:hint="eastAsia" w:ascii="仿宋_GB2312" w:hAnsi="仿宋_GB2312" w:eastAsia="仿宋_GB2312" w:cs="仿宋_GB2312"/>
          <w:kern w:val="0"/>
          <w:sz w:val="32"/>
          <w:szCs w:val="32"/>
          <w:lang w:eastAsia="zh-CN"/>
        </w:rPr>
        <w:t>参照《塔城地区市场监管领域一般违法行为减轻行政处罚事项清单》</w:t>
      </w:r>
      <w:r>
        <w:rPr>
          <w:rFonts w:hint="eastAsia" w:ascii="仿宋_GB2312" w:hAnsi="仿宋_GB2312" w:eastAsia="仿宋_GB2312" w:cs="仿宋_GB2312"/>
          <w:kern w:val="0"/>
          <w:sz w:val="32"/>
          <w:szCs w:val="32"/>
          <w:lang w:val="en-US" w:eastAsia="zh-CN"/>
        </w:rPr>
        <w:t>(2022版）“序号25，违法行为：</w:t>
      </w:r>
      <w:r>
        <w:rPr>
          <w:rFonts w:hint="eastAsia" w:ascii="仿宋_GB2312" w:hAnsi="仿宋_GB2312" w:eastAsia="仿宋_GB2312" w:cs="仿宋_GB2312"/>
          <w:snapToGrid w:val="0"/>
          <w:color w:val="000000"/>
          <w:spacing w:val="0"/>
          <w:kern w:val="0"/>
          <w:sz w:val="32"/>
          <w:szCs w:val="32"/>
          <w:u w:val="none"/>
          <w:lang w:eastAsia="zh-CN"/>
        </w:rPr>
        <w:t>销售未经备案的普通化妆品</w:t>
      </w:r>
      <w:r>
        <w:rPr>
          <w:rFonts w:hint="eastAsia" w:ascii="仿宋_GB2312" w:hAnsi="仿宋_GB2312" w:eastAsia="仿宋_GB2312" w:cs="仿宋_GB2312"/>
          <w:kern w:val="0"/>
          <w:sz w:val="32"/>
          <w:szCs w:val="32"/>
        </w:rPr>
        <w:t>行为</w:t>
      </w:r>
      <w:r>
        <w:rPr>
          <w:rFonts w:hint="eastAsia" w:ascii="仿宋_GB2312" w:hAnsi="仿宋_GB2312" w:eastAsia="仿宋_GB2312" w:cs="仿宋_GB2312"/>
          <w:kern w:val="0"/>
          <w:sz w:val="32"/>
          <w:szCs w:val="32"/>
          <w:lang w:val="en-US" w:eastAsia="zh-CN"/>
        </w:rPr>
        <w:t>，减轻行政处罚的适用条件：同时具备以下条件：1、初次违法；2、货值金额较小；3、危害后果较轻；4、及时改正。”</w:t>
      </w:r>
      <w:r>
        <w:rPr>
          <w:rFonts w:hint="eastAsia" w:ascii="仿宋_GB2312" w:hAnsi="仿宋_GB2312" w:eastAsia="仿宋_GB2312" w:cs="仿宋_GB2312"/>
          <w:kern w:val="0"/>
          <w:sz w:val="32"/>
          <w:szCs w:val="32"/>
        </w:rPr>
        <w:t>的规定，责令当事人改正违法经营行为，</w:t>
      </w:r>
      <w:r>
        <w:rPr>
          <w:rFonts w:hint="eastAsia" w:ascii="仿宋_GB2312" w:hAnsi="仿宋_GB2312" w:eastAsia="仿宋_GB2312" w:cs="仿宋_GB2312"/>
          <w:kern w:val="0"/>
          <w:sz w:val="32"/>
          <w:szCs w:val="32"/>
          <w:lang w:eastAsia="zh-CN"/>
        </w:rPr>
        <w:t>决定</w:t>
      </w:r>
      <w:r>
        <w:rPr>
          <w:rFonts w:hint="eastAsia" w:ascii="仿宋_GB2312" w:hAnsi="仿宋_GB2312" w:eastAsia="仿宋_GB2312" w:cs="仿宋_GB2312"/>
          <w:kern w:val="0"/>
          <w:sz w:val="32"/>
          <w:szCs w:val="32"/>
        </w:rPr>
        <w:t>对当事人处罚如下：</w:t>
      </w:r>
    </w:p>
    <w:p>
      <w:pPr>
        <w:keepNext w:val="0"/>
        <w:keepLines w:val="0"/>
        <w:pageBreakBefore w:val="0"/>
        <w:widowControl w:val="0"/>
        <w:kinsoku/>
        <w:wordWrap w:val="0"/>
        <w:overflowPunct/>
        <w:topLinePunct/>
        <w:autoSpaceDE/>
        <w:autoSpaceDN/>
        <w:bidi w:val="0"/>
        <w:snapToGrid/>
        <w:spacing w:line="560" w:lineRule="exact"/>
        <w:ind w:left="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一、没收</w:t>
      </w:r>
      <w:r>
        <w:rPr>
          <w:rFonts w:hint="eastAsia" w:ascii="仿宋_GB2312" w:hAnsi="仿宋_GB2312" w:eastAsia="仿宋_GB2312" w:cs="仿宋_GB2312"/>
          <w:kern w:val="0"/>
          <w:sz w:val="32"/>
          <w:szCs w:val="32"/>
          <w:lang w:eastAsia="zh-CN"/>
        </w:rPr>
        <w:t>未经备案的</w:t>
      </w:r>
      <w:r>
        <w:rPr>
          <w:rFonts w:hint="eastAsia" w:ascii="仿宋_GB2312" w:hAnsi="仿宋_GB2312" w:eastAsia="仿宋_GB2312" w:cs="仿宋_GB2312"/>
          <w:snapToGrid w:val="0"/>
          <w:color w:val="000000"/>
          <w:spacing w:val="0"/>
          <w:kern w:val="0"/>
          <w:sz w:val="32"/>
          <w:szCs w:val="32"/>
          <w:u w:val="none"/>
          <w:lang w:val="en-US" w:eastAsia="zh-CN"/>
        </w:rPr>
        <w:t>滇紅植康草本植萃洗发屑洗发露水润去屑型</w:t>
      </w:r>
      <w:r>
        <w:rPr>
          <w:rFonts w:hint="eastAsia" w:ascii="仿宋_GB2312" w:hAnsi="仿宋_GB2312" w:eastAsia="仿宋_GB2312" w:cs="仿宋_GB2312"/>
          <w:kern w:val="0"/>
          <w:sz w:val="32"/>
          <w:szCs w:val="32"/>
          <w:lang w:eastAsia="zh-CN"/>
        </w:rPr>
        <w:t>1瓶</w:t>
      </w: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没收违法所得</w:t>
      </w:r>
      <w:r>
        <w:rPr>
          <w:rFonts w:hint="eastAsia" w:ascii="仿宋_GB2312" w:hAnsi="仿宋_GB2312" w:eastAsia="仿宋_GB2312" w:cs="仿宋_GB2312"/>
          <w:kern w:val="0"/>
          <w:sz w:val="32"/>
          <w:szCs w:val="32"/>
          <w:lang w:val="en-US" w:eastAsia="zh-CN"/>
        </w:rPr>
        <w:t>165元；</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处2000元罚款</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综上</w:t>
      </w:r>
      <w:r>
        <w:rPr>
          <w:rFonts w:hint="eastAsia" w:ascii="仿宋_GB2312" w:hAnsi="仿宋_GB2312" w:eastAsia="仿宋_GB2312" w:cs="仿宋_GB2312"/>
          <w:kern w:val="0"/>
          <w:sz w:val="32"/>
          <w:szCs w:val="32"/>
          <w:lang w:eastAsia="zh-CN"/>
        </w:rPr>
        <w:t>，决定</w:t>
      </w:r>
      <w:r>
        <w:rPr>
          <w:rFonts w:hint="eastAsia" w:ascii="仿宋_GB2312" w:hAnsi="仿宋_GB2312" w:eastAsia="仿宋_GB2312" w:cs="仿宋_GB2312"/>
          <w:kern w:val="0"/>
          <w:sz w:val="32"/>
          <w:szCs w:val="32"/>
        </w:rPr>
        <w:t xml:space="preserve">对当事人处罚如下：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一、警告</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二、没收</w:t>
      </w:r>
      <w:r>
        <w:rPr>
          <w:rFonts w:hint="eastAsia" w:ascii="仿宋_GB2312" w:hAnsi="仿宋_GB2312" w:eastAsia="仿宋_GB2312" w:cs="仿宋_GB2312"/>
          <w:kern w:val="0"/>
          <w:sz w:val="32"/>
          <w:szCs w:val="32"/>
          <w:lang w:eastAsia="zh-CN"/>
        </w:rPr>
        <w:t>未经备案的</w:t>
      </w:r>
      <w:r>
        <w:rPr>
          <w:rFonts w:hint="eastAsia" w:ascii="仿宋_GB2312" w:hAnsi="仿宋_GB2312" w:eastAsia="仿宋_GB2312" w:cs="仿宋_GB2312"/>
          <w:snapToGrid w:val="0"/>
          <w:color w:val="000000"/>
          <w:spacing w:val="0"/>
          <w:kern w:val="0"/>
          <w:sz w:val="32"/>
          <w:szCs w:val="32"/>
          <w:u w:val="none"/>
          <w:lang w:val="en-US" w:eastAsia="zh-CN"/>
        </w:rPr>
        <w:t>滇紅植康草本植萃洗发屑洗发露水润去屑型</w:t>
      </w:r>
      <w:r>
        <w:rPr>
          <w:rFonts w:hint="eastAsia" w:ascii="仿宋_GB2312" w:hAnsi="仿宋_GB2312" w:eastAsia="仿宋_GB2312" w:cs="仿宋_GB2312"/>
          <w:kern w:val="0"/>
          <w:sz w:val="32"/>
          <w:szCs w:val="32"/>
          <w:lang w:eastAsia="zh-CN"/>
        </w:rPr>
        <w:t>1瓶</w:t>
      </w: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没收违法所得</w:t>
      </w:r>
      <w:r>
        <w:rPr>
          <w:rFonts w:hint="eastAsia" w:ascii="仿宋_GB2312" w:hAnsi="仿宋_GB2312" w:eastAsia="仿宋_GB2312" w:cs="仿宋_GB2312"/>
          <w:kern w:val="0"/>
          <w:sz w:val="32"/>
          <w:szCs w:val="32"/>
          <w:lang w:val="en-US" w:eastAsia="zh-CN"/>
        </w:rPr>
        <w:t>165元；</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处2000元罚款</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罚没款共计：</w:t>
      </w:r>
      <w:r>
        <w:rPr>
          <w:rFonts w:hint="eastAsia" w:ascii="仿宋_GB2312" w:hAnsi="仿宋_GB2312" w:eastAsia="仿宋_GB2312" w:cs="仿宋_GB2312"/>
          <w:kern w:val="0"/>
          <w:sz w:val="32"/>
          <w:szCs w:val="32"/>
          <w:lang w:val="en-US" w:eastAsia="zh-CN"/>
        </w:rPr>
        <w:t>2165元。</w:t>
      </w:r>
      <w:r>
        <w:rPr>
          <w:rFonts w:hint="eastAsia" w:ascii="仿宋_GB2312" w:hAnsi="仿宋_GB2312" w:eastAsia="仿宋_GB2312" w:cs="仿宋_GB2312"/>
          <w:kern w:val="0"/>
          <w:sz w:val="32"/>
          <w:szCs w:val="32"/>
        </w:rPr>
        <w:t xml:space="preserve"> </w:t>
      </w:r>
    </w:p>
    <w:p>
      <w:pPr>
        <w:pStyle w:val="2"/>
        <w:keepNext w:val="0"/>
        <w:keepLines w:val="0"/>
        <w:pageBreakBefore w:val="0"/>
        <w:numPr>
          <w:ilvl w:val="0"/>
          <w:numId w:val="0"/>
        </w:numPr>
        <w:tabs>
          <w:tab w:val="left" w:pos="8405"/>
        </w:tabs>
        <w:kinsoku/>
        <w:overflowPunct/>
        <w:bidi w:val="0"/>
        <w:spacing w:line="560" w:lineRule="exact"/>
        <w:ind w:left="0" w:right="0" w:firstLine="640" w:firstLineChars="200"/>
        <w:jc w:val="both"/>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overflowPunct/>
        <w:topLinePunct w:val="0"/>
        <w:autoSpaceDE/>
        <w:autoSpaceDN/>
        <w:bidi w:val="0"/>
        <w:adjustRightInd/>
        <w:spacing w:line="560" w:lineRule="exact"/>
        <w:ind w:left="0" w:right="0" w:firstLine="640" w:firstLineChars="200"/>
        <w:jc w:val="both"/>
        <w:textAlignment w:val="auto"/>
        <w:rPr>
          <w:rFonts w:hint="eastAsia" w:ascii="Times New Roman" w:hAnsi="Times New Roman" w:eastAsia="仿宋_GB2312" w:cs="Mongolian Baiti"/>
          <w:sz w:val="32"/>
          <w:szCs w:val="32"/>
          <w:lang w:val="en-US" w:eastAsia="zh-CN"/>
        </w:rPr>
      </w:pPr>
      <w:r>
        <w:rPr>
          <w:rFonts w:hint="eastAsia" w:ascii="仿宋" w:hAnsi="仿宋" w:eastAsia="仿宋" w:cs="仿宋"/>
          <w:sz w:val="32"/>
          <w:szCs w:val="32"/>
          <w:u w:val="none"/>
        </w:rPr>
        <w:t>如不服本行政处罚决定，可以在收到本行政处罚决定书之日起六十日内向</w:t>
      </w:r>
      <w:r>
        <w:rPr>
          <w:rFonts w:hint="eastAsia" w:ascii="仿宋" w:hAnsi="仿宋" w:eastAsia="仿宋" w:cs="仿宋"/>
          <w:sz w:val="32"/>
          <w:szCs w:val="32"/>
          <w:u w:val="none"/>
          <w:lang w:val="en-US" w:eastAsia="zh-CN"/>
        </w:rPr>
        <w:t>乌苏市人民政府（地址：乌苏市新市区长江路139号财政大楼三楼行政复议办公室）</w:t>
      </w:r>
      <w:r>
        <w:rPr>
          <w:rFonts w:hint="eastAsia" w:ascii="仿宋" w:hAnsi="仿宋" w:eastAsia="仿宋" w:cs="仿宋"/>
          <w:sz w:val="32"/>
          <w:szCs w:val="32"/>
          <w:u w:val="none"/>
        </w:rPr>
        <w:t>申请行政复议</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也可以在六个月内依法向</w:t>
      </w:r>
      <w:r>
        <w:rPr>
          <w:rFonts w:hint="eastAsia" w:ascii="仿宋" w:hAnsi="仿宋" w:eastAsia="仿宋" w:cs="仿宋"/>
          <w:sz w:val="32"/>
          <w:szCs w:val="32"/>
          <w:u w:val="none"/>
          <w:lang w:val="en-US" w:eastAsia="zh-CN"/>
        </w:rPr>
        <w:t>乌苏市</w:t>
      </w:r>
      <w:r>
        <w:rPr>
          <w:rFonts w:hint="eastAsia" w:ascii="仿宋" w:hAnsi="仿宋" w:eastAsia="仿宋" w:cs="仿宋"/>
          <w:sz w:val="32"/>
          <w:szCs w:val="32"/>
          <w:u w:val="none"/>
        </w:rPr>
        <w:t>人民法院</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地址：乌苏市新市区长江路140号</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提起行政诉讼。申请行政复议或者提起行政诉讼期间，行政处罚不停止执行。</w:t>
      </w:r>
      <w:r>
        <w:rPr>
          <w:rFonts w:hint="eastAsia" w:ascii="Times New Roman" w:hAnsi="Times New Roman" w:eastAsia="仿宋_GB2312" w:cs="Mongolian Baiti"/>
          <w:sz w:val="32"/>
          <w:szCs w:val="32"/>
          <w:lang w:val="en-US" w:eastAsia="zh-CN"/>
        </w:rPr>
        <w:t xml:space="preserve">      </w:t>
      </w:r>
    </w:p>
    <w:p>
      <w:pPr>
        <w:keepNext w:val="0"/>
        <w:keepLines w:val="0"/>
        <w:pageBreakBefore w:val="0"/>
        <w:kinsoku/>
        <w:overflowPunct/>
        <w:bidi w:val="0"/>
        <w:spacing w:line="560" w:lineRule="exact"/>
        <w:ind w:left="0" w:right="0" w:rightChars="0" w:firstLine="640" w:firstLineChars="200"/>
        <w:jc w:val="both"/>
        <w:textAlignment w:val="auto"/>
        <w:rPr>
          <w:rFonts w:hint="eastAsia" w:ascii="Times New Roman" w:hAnsi="Times New Roman" w:eastAsia="仿宋_GB2312" w:cs="Mongolian Baiti"/>
          <w:sz w:val="32"/>
          <w:szCs w:val="32"/>
          <w:lang w:val="en-US" w:eastAsia="zh-CN"/>
        </w:rPr>
      </w:pPr>
    </w:p>
    <w:p>
      <w:pPr>
        <w:keepNext w:val="0"/>
        <w:keepLines w:val="0"/>
        <w:pageBreakBefore w:val="0"/>
        <w:kinsoku/>
        <w:overflowPunct/>
        <w:bidi w:val="0"/>
        <w:spacing w:line="560" w:lineRule="exact"/>
        <w:ind w:left="0" w:right="0" w:rightChars="0" w:firstLine="640" w:firstLineChars="200"/>
        <w:jc w:val="both"/>
        <w:textAlignment w:val="auto"/>
        <w:rPr>
          <w:rFonts w:hint="eastAsia" w:ascii="Times New Roman" w:hAnsi="Times New Roman" w:eastAsia="仿宋_GB2312" w:cs="Mongolian Baiti"/>
          <w:sz w:val="32"/>
          <w:szCs w:val="32"/>
          <w:lang w:val="en-US" w:eastAsia="zh-CN"/>
        </w:rPr>
      </w:pPr>
    </w:p>
    <w:p>
      <w:pPr>
        <w:keepNext w:val="0"/>
        <w:keepLines w:val="0"/>
        <w:pageBreakBefore w:val="0"/>
        <w:kinsoku/>
        <w:overflowPunct/>
        <w:bidi w:val="0"/>
        <w:spacing w:line="560" w:lineRule="exact"/>
        <w:ind w:right="0" w:rightChars="0"/>
        <w:jc w:val="both"/>
        <w:textAlignment w:val="auto"/>
        <w:rPr>
          <w:rFonts w:hint="eastAsia" w:ascii="Times New Roman" w:hAnsi="Times New Roman" w:eastAsia="仿宋_GB2312" w:cs="Mongolian Baiti"/>
          <w:sz w:val="32"/>
          <w:szCs w:val="32"/>
          <w:lang w:val="en-US" w:eastAsia="zh-CN"/>
        </w:rPr>
      </w:pPr>
    </w:p>
    <w:p>
      <w:pPr>
        <w:keepNext w:val="0"/>
        <w:keepLines w:val="0"/>
        <w:pageBreakBefore w:val="0"/>
        <w:kinsoku/>
        <w:overflowPunct/>
        <w:bidi w:val="0"/>
        <w:spacing w:line="560" w:lineRule="exact"/>
        <w:ind w:left="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Mongolian Baiti"/>
          <w:sz w:val="32"/>
          <w:szCs w:val="32"/>
          <w:lang w:val="en-US" w:eastAsia="zh-CN"/>
        </w:rPr>
        <w:t xml:space="preserve">                      </w:t>
      </w: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p>
    <w:p>
      <w:pPr>
        <w:keepNext w:val="0"/>
        <w:keepLines w:val="0"/>
        <w:pageBreakBefore w:val="0"/>
        <w:kinsoku/>
        <w:overflowPunct/>
        <w:bidi w:val="0"/>
        <w:spacing w:line="560" w:lineRule="exact"/>
        <w:ind w:left="0" w:right="0" w:firstLine="640" w:firstLineChars="200"/>
        <w:jc w:val="both"/>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2024</w:t>
      </w:r>
      <w:r>
        <w:rPr>
          <w:rFonts w:hint="eastAsia" w:ascii="仿宋_GB2312" w:hAnsi="仿宋_GB2312" w:eastAsia="仿宋_GB2312" w:cs="仿宋_GB2312"/>
          <w:color w:val="000000"/>
          <w:sz w:val="32"/>
          <w:szCs w:val="32"/>
        </w:rPr>
        <w:t xml:space="preserve">年 </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w:t>
      </w:r>
    </w:p>
    <w:p>
      <w:pPr>
        <w:keepNext w:val="0"/>
        <w:keepLines w:val="0"/>
        <w:pageBreakBefore w:val="0"/>
        <w:kinsoku/>
        <w:overflowPunct/>
        <w:bidi w:val="0"/>
        <w:spacing w:line="560" w:lineRule="exact"/>
        <w:ind w:left="0" w:right="0" w:firstLine="640" w:firstLineChars="200"/>
        <w:jc w:val="both"/>
        <w:textAlignment w:val="auto"/>
        <w:outlineLvl w:val="1"/>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576" w:firstLineChars="20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576" w:firstLineChars="20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1"/>
        <w:rPr>
          <w:rFonts w:hint="eastAsia" w:ascii="仿宋_GB2312" w:hAnsi="Times New Roman" w:eastAsia="仿宋_GB2312" w:cs="仿宋"/>
          <w:color w:val="000000"/>
          <w:sz w:val="32"/>
          <w:szCs w:val="32"/>
          <w:lang w:eastAsia="zh-CN"/>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overflowPunct/>
        <w:bidi w:val="0"/>
        <w:spacing w:line="560" w:lineRule="exact"/>
        <w:ind w:right="0"/>
        <w:jc w:val="both"/>
        <w:textAlignment w:val="auto"/>
        <w:rPr>
          <w:u w:val="none"/>
        </w:rPr>
      </w:pPr>
      <w:r>
        <w:rPr>
          <w:rFonts w:hint="eastAsia" w:ascii="Times New Roman" w:hAnsi="Times New Roman" w:eastAsia="仿宋_GB2312"/>
          <w:sz w:val="32"/>
          <w:u w:val="none"/>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eastAsia="zh-CN"/>
        </w:rPr>
        <w:t>四</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份送达，</w:t>
      </w:r>
      <w:r>
        <w:rPr>
          <w:rFonts w:hint="eastAsia" w:ascii="Times New Roman" w:hAnsi="Times New Roman" w:eastAsia="仿宋_GB2312" w:cs="仿宋"/>
          <w:color w:val="000000"/>
          <w:sz w:val="32"/>
          <w:szCs w:val="32"/>
          <w:u w:val="none"/>
          <w:lang w:eastAsia="zh-CN"/>
        </w:rPr>
        <w:t>三</w:t>
      </w:r>
      <w:r>
        <w:rPr>
          <w:rFonts w:hint="eastAsia" w:ascii="Times New Roman" w:hAnsi="Times New Roman" w:eastAsia="仿宋_GB2312" w:cs="仿宋"/>
          <w:color w:val="000000"/>
          <w:sz w:val="32"/>
          <w:szCs w:val="32"/>
          <w:u w:val="none"/>
        </w:rPr>
        <w:t>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6A12170"/>
    <w:rsid w:val="07AA4886"/>
    <w:rsid w:val="088550DF"/>
    <w:rsid w:val="0E4A6D5C"/>
    <w:rsid w:val="12003516"/>
    <w:rsid w:val="14F07C21"/>
    <w:rsid w:val="17A15326"/>
    <w:rsid w:val="19C8581D"/>
    <w:rsid w:val="1A6C1750"/>
    <w:rsid w:val="1CA15CD3"/>
    <w:rsid w:val="1D2B4F43"/>
    <w:rsid w:val="1E08351F"/>
    <w:rsid w:val="223B5A35"/>
    <w:rsid w:val="23171F20"/>
    <w:rsid w:val="23A737DF"/>
    <w:rsid w:val="23D435D7"/>
    <w:rsid w:val="255802FD"/>
    <w:rsid w:val="268B284C"/>
    <w:rsid w:val="27F6492F"/>
    <w:rsid w:val="2C4671B7"/>
    <w:rsid w:val="2C6A365C"/>
    <w:rsid w:val="2C743633"/>
    <w:rsid w:val="2EB4662E"/>
    <w:rsid w:val="38890EFC"/>
    <w:rsid w:val="3ADD0722"/>
    <w:rsid w:val="3F390295"/>
    <w:rsid w:val="444051F9"/>
    <w:rsid w:val="46C867D1"/>
    <w:rsid w:val="46D467C4"/>
    <w:rsid w:val="484D6602"/>
    <w:rsid w:val="49581419"/>
    <w:rsid w:val="4D1B48FC"/>
    <w:rsid w:val="4D7164F3"/>
    <w:rsid w:val="501424D0"/>
    <w:rsid w:val="552B4AC9"/>
    <w:rsid w:val="5F933EDA"/>
    <w:rsid w:val="62F04BE1"/>
    <w:rsid w:val="62F435E7"/>
    <w:rsid w:val="64D4607B"/>
    <w:rsid w:val="64E750F8"/>
    <w:rsid w:val="652A4208"/>
    <w:rsid w:val="66C04922"/>
    <w:rsid w:val="6B2B0D20"/>
    <w:rsid w:val="6D24429C"/>
    <w:rsid w:val="70196878"/>
    <w:rsid w:val="74BD4884"/>
    <w:rsid w:val="76147E47"/>
    <w:rsid w:val="785B7D01"/>
    <w:rsid w:val="796F3D09"/>
    <w:rsid w:val="7A0452DA"/>
    <w:rsid w:val="7C00467F"/>
    <w:rsid w:val="7E7F3943"/>
    <w:rsid w:val="7F3A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4132</Words>
  <Characters>4397</Characters>
  <Lines>0</Lines>
  <Paragraphs>0</Paragraphs>
  <TotalTime>13</TotalTime>
  <ScaleCrop>false</ScaleCrop>
  <LinksUpToDate>false</LinksUpToDate>
  <CharactersWithSpaces>4839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2024-11-19T08:55:00Z</cp:lastPrinted>
  <dcterms:modified xsi:type="dcterms:W3CDTF">2024-12-30T04:26:25Z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ies>
</file>