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0"/>
        <w:jc w:val="center"/>
        <w:textAlignment w:val="baseline"/>
        <w:rPr>
          <w:rFonts w:ascii="方正小标宋_GBK" w:eastAsia="方正小标宋_GBK"/>
          <w:b/>
          <w:bCs/>
          <w:sz w:val="44"/>
          <w:highlight w:val="none"/>
        </w:rPr>
      </w:pPr>
      <w:bookmarkStart w:id="0" w:name="_GoBack"/>
      <w:r>
        <w:rPr>
          <w:rFonts w:hint="eastAsia" w:ascii="方正小标宋_GBK" w:eastAsia="方正小标宋_GBK"/>
          <w:b/>
          <w:bCs/>
          <w:sz w:val="44"/>
          <w:highlight w:val="none"/>
          <w:lang w:val="en-US" w:eastAsia="zh-CN"/>
        </w:rPr>
        <w:t>乌苏市住建局2024年</w:t>
      </w:r>
      <w:r>
        <w:rPr>
          <w:rFonts w:ascii="方正小标宋_GBK" w:eastAsia="方正小标宋_GBK"/>
          <w:b/>
          <w:bCs/>
          <w:sz w:val="44"/>
          <w:highlight w:val="none"/>
        </w:rPr>
        <w:t>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0"/>
        <w:jc w:val="center"/>
        <w:textAlignment w:val="baseline"/>
        <w:rPr>
          <w:b/>
          <w:bCs/>
          <w:highlight w:val="none"/>
        </w:rPr>
      </w:pPr>
      <w:r>
        <w:rPr>
          <w:rFonts w:ascii="方正小标宋_GBK" w:eastAsia="方正小标宋_GBK"/>
          <w:b/>
          <w:bCs/>
          <w:sz w:val="44"/>
          <w:highlight w:val="none"/>
        </w:rPr>
        <w:t>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878"/>
        <w:jc w:val="center"/>
        <w:textAlignment w:val="baseline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ascii="黑体" w:eastAsia="黑体"/>
          <w:sz w:val="31"/>
          <w:highlight w:val="none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2024年度，我局积极推进政府信息公开工作，依托政府网站公开信息27条，其中：政策性文件1条、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z w:val="32"/>
          <w:szCs w:val="32"/>
          <w:highlight w:val="none"/>
          <w:lang w:val="en-US" w:eastAsia="zh-CN"/>
        </w:rPr>
        <w:t>行政处罚案件10件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，涉及处罚金额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34.48万元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行政许可事项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条；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z w:val="32"/>
          <w:szCs w:val="32"/>
          <w:highlight w:val="none"/>
          <w:lang w:val="en-US" w:eastAsia="zh-CN"/>
        </w:rPr>
        <w:t>公共租赁住房资格确认审批结果公告12条。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收到和处理政府信息公开申请2件，行政复议答复2件。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/>
        <w:jc w:val="left"/>
        <w:textAlignment w:val="baseline"/>
        <w:rPr>
          <w:highlight w:val="none"/>
        </w:rPr>
      </w:pPr>
      <w:r>
        <w:rPr>
          <w:rFonts w:ascii="黑体" w:eastAsia="黑体"/>
          <w:sz w:val="31"/>
          <w:highlight w:val="none"/>
        </w:rPr>
        <w:t>二、主动公开政府信息情况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highlight w:val="none"/>
        </w:rPr>
      </w:pPr>
    </w:p>
    <w:tbl>
      <w:tblPr>
        <w:tblStyle w:val="2"/>
        <w:tblW w:w="8215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1997"/>
        <w:gridCol w:w="1634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821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信息内容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left="0" w:right="0" w:firstLine="0"/>
              <w:jc w:val="center"/>
              <w:textAlignment w:val="baseline"/>
              <w:rPr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>本年</w:t>
            </w:r>
            <w:r>
              <w:rPr>
                <w:sz w:val="24"/>
                <w:highlight w:val="none"/>
              </w:rPr>
              <w:t>制发件数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本年废止件数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规章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规范性文件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215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信息内容</w:t>
            </w:r>
          </w:p>
        </w:tc>
        <w:tc>
          <w:tcPr>
            <w:tcW w:w="54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行政许可</w:t>
            </w:r>
          </w:p>
        </w:tc>
        <w:tc>
          <w:tcPr>
            <w:tcW w:w="54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15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信息内容</w:t>
            </w:r>
          </w:p>
        </w:tc>
        <w:tc>
          <w:tcPr>
            <w:tcW w:w="54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行政处罚</w:t>
            </w:r>
          </w:p>
        </w:tc>
        <w:tc>
          <w:tcPr>
            <w:tcW w:w="54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行政强制</w:t>
            </w:r>
          </w:p>
        </w:tc>
        <w:tc>
          <w:tcPr>
            <w:tcW w:w="54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215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信息内容</w:t>
            </w:r>
          </w:p>
        </w:tc>
        <w:tc>
          <w:tcPr>
            <w:tcW w:w="54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76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行政事业性收费</w:t>
            </w:r>
          </w:p>
        </w:tc>
        <w:tc>
          <w:tcPr>
            <w:tcW w:w="54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highlight w:val="none"/>
        </w:rPr>
      </w:pPr>
      <w:r>
        <w:rPr>
          <w:rFonts w:ascii="黑体" w:eastAsia="黑体"/>
          <w:sz w:val="31"/>
          <w:highlight w:val="none"/>
        </w:rPr>
        <w:t>三、收到和处理政府信息公开申请情况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highlight w:val="none"/>
        </w:rPr>
      </w:pPr>
    </w:p>
    <w:tbl>
      <w:tblPr>
        <w:tblStyle w:val="2"/>
        <w:tblW w:w="8216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919"/>
        <w:gridCol w:w="2701"/>
        <w:gridCol w:w="443"/>
        <w:gridCol w:w="641"/>
        <w:gridCol w:w="641"/>
        <w:gridCol w:w="641"/>
        <w:gridCol w:w="641"/>
        <w:gridCol w:w="454"/>
        <w:gridCol w:w="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307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（本列数据的勾稽关系为：第一项加第二项之和，等于第三项加第四项之和）</w:t>
            </w:r>
          </w:p>
        </w:tc>
        <w:tc>
          <w:tcPr>
            <w:tcW w:w="3909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自然人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4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商业企业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科研机构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社会公益组织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法律服务机构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307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一、本年新收政府信息公开申请数量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307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二、上年结转政府信息公开申请数量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三、本年度办理结果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（一）予以公开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（二）部分公开（区分处理的，只计这一情形，不计其他情形）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（三）不予公开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1.属于国家秘密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2.其他法</w:t>
            </w: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  <w:lang w:eastAsia="zh-CN"/>
              </w:rPr>
              <w:t>律和</w:t>
            </w: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行政法规禁止公开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3.危及“三安全一稳定”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4.保护第三方合法权益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5.属于三类内部事务信息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6.属于四类过程性信息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7.属于行政执法案卷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8.属于行政查询事项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（四）无法提供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1.本机关不掌握相关政府信息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2.没有现成信息需要另行制作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3.补正后申请内容仍不明确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（五）不予处理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1.信访举报投诉类申请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2.重复申请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3.要求提供公开出版物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4.无正当理由大量反复申请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5.要求行政机关确认或重新出具已获取信息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（六）其他处理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1.申请人无正当理由逾期不补正、行政机关不再</w:t>
            </w: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  <w:lang w:eastAsia="zh-CN"/>
              </w:rPr>
              <w:t>受理</w:t>
            </w: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其政府信息公开申请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2.申请人逾期未按收费通知要求缴纳费用、行政机关不再</w:t>
            </w: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  <w:lang w:eastAsia="zh-CN"/>
              </w:rPr>
              <w:t>受理</w:t>
            </w: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其政府信息公开申请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3.其他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（七）总计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307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四、结转下年度继续办理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highlight w:val="none"/>
        </w:rPr>
      </w:pPr>
      <w:r>
        <w:rPr>
          <w:rFonts w:ascii="黑体" w:eastAsia="黑体"/>
          <w:sz w:val="31"/>
          <w:highlight w:val="none"/>
        </w:rPr>
        <w:t>四、政府信息公开行政复议、行政诉讼情况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highlight w:val="none"/>
        </w:rPr>
      </w:pPr>
    </w:p>
    <w:tbl>
      <w:tblPr>
        <w:tblStyle w:val="2"/>
        <w:tblW w:w="8217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477"/>
        <w:gridCol w:w="494"/>
        <w:gridCol w:w="477"/>
        <w:gridCol w:w="539"/>
        <w:gridCol w:w="545"/>
        <w:gridCol w:w="511"/>
        <w:gridCol w:w="624"/>
        <w:gridCol w:w="539"/>
        <w:gridCol w:w="652"/>
        <w:gridCol w:w="624"/>
        <w:gridCol w:w="579"/>
        <w:gridCol w:w="579"/>
        <w:gridCol w:w="579"/>
        <w:gridCol w:w="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46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行政复议</w:t>
            </w:r>
          </w:p>
        </w:tc>
        <w:tc>
          <w:tcPr>
            <w:tcW w:w="5748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结果维持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结果纠正</w:t>
            </w:r>
          </w:p>
        </w:tc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其他结果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尚未审结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计</w:t>
            </w: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未经复议直接起诉</w:t>
            </w:r>
          </w:p>
        </w:tc>
        <w:tc>
          <w:tcPr>
            <w:tcW w:w="287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highlight w:val="none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结果维持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结果纠正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其他结果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尚未审结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 xml:space="preserve">总 计   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结果维持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结果纠正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其他结果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尚未审结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left"/>
              <w:rPr>
                <w:highlight w:val="none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highlight w:val="none"/>
                <w:u w:val="none" w:color="00000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8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Calibri" w:hAnsi="Times New Roman" w:eastAsia="宋体" w:cs="Times New Roman"/>
                <w:color w:val="000000"/>
                <w:spacing w:val="0"/>
                <w:w w:val="100"/>
                <w:sz w:val="21"/>
                <w:highlight w:val="none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0" w:firstLineChars="200"/>
        <w:rPr>
          <w:highlight w:val="none"/>
        </w:rPr>
      </w:pPr>
      <w:r>
        <w:rPr>
          <w:rFonts w:ascii="黑体" w:eastAsia="黑体"/>
          <w:sz w:val="31"/>
          <w:highlight w:val="none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34"/>
        <w:jc w:val="both"/>
        <w:textAlignment w:val="baseline"/>
        <w:rPr>
          <w:rFonts w:hint="eastAsia" w:ascii="仿宋_GB2312" w:eastAsia="仿宋_GB2312"/>
          <w:sz w:val="31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1"/>
          <w:highlight w:val="none"/>
        </w:rPr>
        <w:t>（一）存在的主要问题</w:t>
      </w:r>
      <w:r>
        <w:rPr>
          <w:rFonts w:hint="eastAsia" w:ascii="楷体_GB2312" w:hAnsi="楷体_GB2312" w:eastAsia="楷体_GB2312" w:cs="楷体_GB2312"/>
          <w:b/>
          <w:bCs/>
          <w:sz w:val="31"/>
          <w:highlight w:val="none"/>
          <w:lang w:eastAsia="zh-CN"/>
        </w:rPr>
        <w:t>。</w:t>
      </w:r>
      <w:r>
        <w:rPr>
          <w:rFonts w:hint="eastAsia" w:ascii="仿宋_GB2312" w:eastAsia="仿宋_GB2312"/>
          <w:sz w:val="31"/>
          <w:highlight w:val="none"/>
        </w:rPr>
        <w:t>信息公开的时效性有待加强。在一些紧急事项和热点问题的信息发布上，还存在一定的延迟，未能及时满足公众的信息需求。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34"/>
        <w:jc w:val="both"/>
        <w:textAlignment w:val="baseline"/>
        <w:rPr>
          <w:rFonts w:hint="eastAsia" w:ascii="仿宋_GB2312" w:eastAsia="仿宋_GB2312"/>
          <w:sz w:val="31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1"/>
          <w:highlight w:val="none"/>
        </w:rPr>
        <w:t>（二）改进措施</w:t>
      </w:r>
      <w:r>
        <w:rPr>
          <w:rFonts w:hint="eastAsia" w:ascii="楷体_GB2312" w:hAnsi="楷体_GB2312" w:eastAsia="楷体_GB2312" w:cs="楷体_GB2312"/>
          <w:b/>
          <w:bCs/>
          <w:sz w:val="31"/>
          <w:highlight w:val="none"/>
          <w:lang w:eastAsia="zh-CN"/>
        </w:rPr>
        <w:t>。</w:t>
      </w:r>
      <w:r>
        <w:rPr>
          <w:rFonts w:hint="eastAsia" w:ascii="仿宋_GB2312" w:eastAsia="仿宋_GB2312"/>
          <w:sz w:val="31"/>
          <w:highlight w:val="none"/>
        </w:rPr>
        <w:t>提高信息公开的时效性</w:t>
      </w:r>
      <w:r>
        <w:rPr>
          <w:rFonts w:hint="eastAsia" w:ascii="仿宋_GB2312" w:eastAsia="仿宋_GB2312"/>
          <w:sz w:val="31"/>
          <w:highlight w:val="none"/>
          <w:lang w:eastAsia="zh-CN"/>
        </w:rPr>
        <w:t>，</w:t>
      </w:r>
      <w:r>
        <w:rPr>
          <w:rFonts w:hint="eastAsia" w:ascii="仿宋_GB2312" w:eastAsia="仿宋_GB2312"/>
          <w:sz w:val="31"/>
          <w:highlight w:val="none"/>
        </w:rPr>
        <w:t>加强对信息采集、审核、发布等环节的管理，确保信息能够及时、准确地发布。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34"/>
        <w:jc w:val="both"/>
        <w:textAlignment w:val="baseline"/>
        <w:rPr>
          <w:highlight w:val="none"/>
        </w:rPr>
      </w:pPr>
      <w:r>
        <w:rPr>
          <w:rFonts w:ascii="黑体" w:eastAsia="黑体"/>
          <w:sz w:val="31"/>
          <w:highlight w:val="none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本机关按照《国务院办公厅</w:t>
      </w:r>
      <w:r>
        <w:rPr>
          <w:rFonts w:hint="eastAsia" w:ascii="Times New Roman" w:eastAsia="仿宋_GB2312" w:cs="仿宋_GB2312"/>
          <w:sz w:val="32"/>
          <w:szCs w:val="32"/>
          <w:highlight w:val="none"/>
          <w:lang w:eastAsia="zh-CN"/>
        </w:rPr>
        <w:t>关于印发〈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政府信息公开信息处理费管理办法〉的通知》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国办函〔2020〕109号）规定的按件、按量收费标准，本年度没有产生信息公开处理费。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乌苏市住房和城乡建设局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（乌苏市人民防空办公室）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2025年1月21日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"/>
      </w:footnotePr>
      <w:endnotePr>
        <w:numFmt w:val="decimal"/>
      </w:endnotePr>
      <w:pgSz w:w="11905" w:h="16837"/>
      <w:pgMar w:top="1439" w:right="1797" w:bottom="1439" w:left="1797" w:header="850" w:footer="992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 w:val="0"/>
      <w:snapToGrid w:val="0"/>
      <w:spacing w:before="0" w:after="0" w:line="0" w:lineRule="atLeast"/>
      <w:ind w:left="0" w:right="0" w:firstLine="0"/>
      <w:jc w:val="left"/>
      <w:textAlignment w:val="baseline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1141095</wp:posOffset>
              </wp:positionH>
              <wp:positionV relativeFrom="page">
                <wp:posOffset>9856470</wp:posOffset>
              </wp:positionV>
              <wp:extent cx="5277485" cy="2051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.85pt;margin-top:776.1pt;height:16.15pt;width:415.55pt;mso-position-horizontal-relative:page;mso-position-vertical-relative:page;z-index:-251656192;mso-width-relative:page;mso-height-relative:page;" filled="f" stroked="f" coordsize="21600,21600" o:gfxdata="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se5&#10;GtcAAAAOAQAADwAAAAAAAAABACAAAAAiAAAAZHJzL2Rvd25yZXYueG1sUEsBAhQAFAAAAAgAh07i&#10;QGZm+hfqAQAA0gMAAA4AAAAAAAAAAQAgAAAAJgEAAGRycy9lMm9Eb2MueG1sUEsFBgAAAAAGAAYA&#10;WQEAAII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 w:val="0"/>
      <w:snapToGrid w:val="0"/>
      <w:spacing w:before="0" w:after="0" w:line="0" w:lineRule="atLeast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1141095</wp:posOffset>
              </wp:positionH>
              <wp:positionV relativeFrom="page">
                <wp:posOffset>539750</wp:posOffset>
              </wp:positionV>
              <wp:extent cx="5277485" cy="2051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.85pt;margin-top:42.5pt;height:16.15pt;width:415.55pt;mso-position-horizontal-relative:page;mso-position-vertical-relative:page;z-index:-251657216;mso-width-relative:page;mso-height-relative:page;" filled="f" stroked="f" coordsize="21600,21600" o:gfxdata="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j5G&#10;ptYAAAALAQAADwAAAAAAAAABACAAAAAiAAAAZHJzL2Rvd25yZXYueG1sUEsBAhQAFAAAAAgAh07i&#10;QJjTqa7rAQAA0g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48062561"/>
    <w:rsid w:val="07703AB9"/>
    <w:rsid w:val="1A59745C"/>
    <w:rsid w:val="1D4C5729"/>
    <w:rsid w:val="36532628"/>
    <w:rsid w:val="48062561"/>
    <w:rsid w:val="5B4B1D4C"/>
    <w:rsid w:val="633765EF"/>
    <w:rsid w:val="68D756E5"/>
    <w:rsid w:val="6B184C09"/>
    <w:rsid w:val="711D243B"/>
    <w:rsid w:val="71C50B09"/>
    <w:rsid w:val="743A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0" w:after="0" w:line="425" w:lineRule="atLeast"/>
      <w:ind w:left="0" w:right="0" w:firstLine="0"/>
      <w:jc w:val="both"/>
      <w:textAlignment w:val="baseline"/>
    </w:pPr>
    <w:rPr>
      <w:rFonts w:ascii="Calibri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眉1"/>
    <w:basedOn w:val="1"/>
    <w:autoRedefine/>
    <w:qFormat/>
    <w:uiPriority w:val="0"/>
    <w:pPr>
      <w:tabs>
        <w:tab w:val="left" w:pos="4149"/>
        <w:tab w:val="left" w:pos="8016"/>
      </w:tabs>
      <w:spacing w:line="357" w:lineRule="atLeast"/>
      <w:ind w:firstLine="419"/>
      <w:jc w:val="both"/>
      <w:textAlignment w:val="baseline"/>
    </w:pPr>
    <w:rPr>
      <w:rFonts w:ascii="Times New Roman" w:eastAsia="宋体"/>
      <w:color w:val="000000"/>
      <w:sz w:val="18"/>
      <w:u w:val="none" w:color="000000"/>
      <w:vertAlign w:val="baseline"/>
      <w:lang w:val="en-US" w:eastAsia="zh-CN"/>
    </w:rPr>
  </w:style>
  <w:style w:type="paragraph" w:customStyle="1" w:styleId="5">
    <w:name w:val="页脚1"/>
    <w:basedOn w:val="1"/>
    <w:autoRedefine/>
    <w:qFormat/>
    <w:uiPriority w:val="0"/>
    <w:pPr>
      <w:tabs>
        <w:tab w:val="left" w:pos="4149"/>
        <w:tab w:val="left" w:pos="8016"/>
      </w:tabs>
      <w:spacing w:line="351" w:lineRule="atLeast"/>
      <w:ind w:firstLine="419"/>
      <w:jc w:val="left"/>
      <w:textAlignment w:val="baseline"/>
    </w:pPr>
    <w:rPr>
      <w:rFonts w:ascii="Times New Roman" w:eastAsia="宋体"/>
      <w:color w:val="000000"/>
      <w:sz w:val="18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1275</Words>
  <Characters>1319</Characters>
  <Lines>0</Lines>
  <Paragraphs>0</Paragraphs>
  <TotalTime>7</TotalTime>
  <ScaleCrop>false</ScaleCrop>
  <LinksUpToDate>false</LinksUpToDate>
  <CharactersWithSpaces>1331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2025-01-21T08:17:00Z</dcterms:created>
  <dc:creator>WPS_1632839267</dc:creator>
  <cp:lastModifiedBy>喜文</cp:lastModifiedBy>
  <dcterms:modified xsi:type="dcterms:W3CDTF">2025-01-23T03:11:48Z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9061A10117624998A40EC293C20FBEE0_11</vt:lpwstr>
  </property>
  <property fmtid="{D5CDD505-2E9C-101B-9397-08002B2CF9AE}" pid="4" name="KSOTemplateDocerSaveRecord">
    <vt:lpwstr>eyJoZGlkIjoiODViY2JkMjU3NGYzZTEwMzZmMGFkZWViYmNkYWU3NDIiLCJ1c2VySWQiOiIxMjc5NDA3NTk2In0=</vt:lpwstr>
  </property>
</Properties>
</file>