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黑体" w:cs="宋体"/>
          <w:sz w:val="36"/>
          <w:szCs w:val="36"/>
        </w:rPr>
      </w:pPr>
      <w:r>
        <w:rPr>
          <w:rFonts w:hint="eastAsia" w:ascii="方正小标宋简体" w:hAnsi="方正小标宋简体" w:eastAsia="方正小标宋简体" w:cs="方正小标宋简体"/>
          <w:sz w:val="36"/>
          <w:szCs w:val="36"/>
          <w:lang w:val="en-US" w:eastAsia="zh-CN"/>
        </w:rPr>
        <w:t>头台</w:t>
      </w:r>
      <w:r>
        <w:rPr>
          <w:rFonts w:hint="eastAsia" w:ascii="方正小标宋简体" w:hAnsi="方正小标宋简体" w:eastAsia="方正小标宋简体" w:cs="方正小标宋简体"/>
          <w:sz w:val="36"/>
          <w:szCs w:val="36"/>
          <w:lang w:eastAsia="zh-CN"/>
        </w:rPr>
        <w:t>乡</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年政府信息公开工作报告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宋体"/>
          <w:sz w:val="32"/>
          <w:szCs w:val="32"/>
        </w:rPr>
      </w:pPr>
      <w:r>
        <w:rPr>
          <w:rFonts w:hint="eastAsia" w:ascii="Times New Roman" w:hAnsi="Times New Roman" w:eastAsia="黑体" w:cs="宋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2024年，头台乡认真贯彻落实《中华人民共和国政府信息公开条例》的有关要求，对政府信息公开工作进行安排部署，认真组织学习了政府信息公开的相关政策和要求，全面统筹推进政府信息公开工作，</w:t>
      </w:r>
      <w:r>
        <w:rPr>
          <w:rFonts w:hint="eastAsia" w:ascii="仿宋_GB2312" w:hAnsi="仿宋_GB2312" w:eastAsia="仿宋_GB2312" w:cs="仿宋_GB2312"/>
          <w:b w:val="0"/>
          <w:bCs w:val="0"/>
          <w:sz w:val="32"/>
          <w:szCs w:val="32"/>
        </w:rPr>
        <w:t>切实强化政府工作透明度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头台乡明确了政府信息公开工作的分管领导，</w:t>
      </w:r>
      <w:r>
        <w:rPr>
          <w:rFonts w:hint="eastAsia" w:ascii="Times New Roman" w:hAnsi="Times New Roman" w:eastAsia="仿宋_GB2312" w:cs="宋体"/>
          <w:sz w:val="32"/>
          <w:szCs w:val="32"/>
          <w:lang w:val="en-US" w:eastAsia="zh-CN"/>
        </w:rPr>
        <w:t>乡</w:t>
      </w:r>
      <w:r>
        <w:rPr>
          <w:rFonts w:hint="eastAsia" w:ascii="Times New Roman" w:hAnsi="Times New Roman" w:eastAsia="仿宋_GB2312" w:cs="宋体"/>
          <w:sz w:val="32"/>
          <w:szCs w:val="32"/>
        </w:rPr>
        <w:t>党政办负责具体信息的公开工作和依申请公开的受理工作</w:t>
      </w:r>
      <w:r>
        <w:rPr>
          <w:rFonts w:hint="eastAsia" w:ascii="仿宋_GB2312" w:hAnsi="仿宋_GB2312" w:eastAsia="仿宋_GB2312" w:cs="仿宋_GB2312"/>
          <w:b w:val="0"/>
          <w:bCs w:val="0"/>
          <w:sz w:val="32"/>
          <w:szCs w:val="32"/>
          <w:lang w:val="en-US" w:eastAsia="zh-CN"/>
        </w:rPr>
        <w:t>，不断完善工作机制，及时规范开展信息公开。同时，</w:t>
      </w:r>
      <w:r>
        <w:rPr>
          <w:rFonts w:hint="eastAsia" w:ascii="仿宋_GB2312" w:hAnsi="仿宋_GB2312" w:eastAsia="仿宋_GB2312" w:cs="仿宋_GB2312"/>
          <w:b w:val="0"/>
          <w:bCs w:val="0"/>
          <w:sz w:val="32"/>
          <w:szCs w:val="32"/>
        </w:rPr>
        <w:t>规范了信息发布工作</w:t>
      </w:r>
      <w:r>
        <w:rPr>
          <w:rFonts w:hint="eastAsia" w:ascii="仿宋_GB2312" w:hAnsi="仿宋_GB2312" w:eastAsia="仿宋_GB2312" w:cs="仿宋_GB2312"/>
          <w:b w:val="0"/>
          <w:bCs w:val="0"/>
          <w:sz w:val="32"/>
          <w:szCs w:val="32"/>
          <w:lang w:eastAsia="zh-CN"/>
        </w:rPr>
        <w:t>，遵循</w:t>
      </w:r>
      <w:r>
        <w:rPr>
          <w:rFonts w:hint="eastAsia" w:ascii="仿宋_GB2312" w:hAnsi="仿宋_GB2312" w:eastAsia="仿宋_GB2312" w:cs="仿宋_GB2312"/>
          <w:b w:val="0"/>
          <w:bCs w:val="0"/>
          <w:sz w:val="32"/>
          <w:szCs w:val="32"/>
        </w:rPr>
        <w:t>“谁</w:t>
      </w:r>
      <w:r>
        <w:rPr>
          <w:rFonts w:hint="eastAsia" w:ascii="仿宋_GB2312" w:hAnsi="仿宋_GB2312" w:eastAsia="仿宋_GB2312" w:cs="仿宋_GB2312"/>
          <w:b w:val="0"/>
          <w:bCs w:val="0"/>
          <w:sz w:val="32"/>
          <w:szCs w:val="32"/>
          <w:lang w:val="en-US" w:eastAsia="zh-CN"/>
        </w:rPr>
        <w:t>公开</w:t>
      </w:r>
      <w:r>
        <w:rPr>
          <w:rFonts w:hint="eastAsia" w:ascii="仿宋_GB2312" w:hAnsi="仿宋_GB2312" w:eastAsia="仿宋_GB2312" w:cs="仿宋_GB2312"/>
          <w:b w:val="0"/>
          <w:bCs w:val="0"/>
          <w:sz w:val="32"/>
          <w:szCs w:val="32"/>
        </w:rPr>
        <w:t>、谁审查”和“涉密信息不上网，上网信息不涉密”的原则。</w:t>
      </w:r>
    </w:p>
    <w:p>
      <w:pPr>
        <w:pStyle w:val="4"/>
        <w:widowControl/>
        <w:numPr>
          <w:ilvl w:val="0"/>
          <w:numId w:val="0"/>
        </w:numPr>
        <w:spacing w:before="0" w:beforeAutospacing="0" w:after="0" w:afterAutospacing="0" w:line="540" w:lineRule="exact"/>
        <w:ind w:firstLine="640" w:firstLineChars="200"/>
        <w:jc w:val="both"/>
        <w:rPr>
          <w:rFonts w:hint="eastAsia" w:ascii="Times New Roman" w:hAnsi="Times New Roman" w:eastAsia="仿宋_GB2312" w:cs="宋体"/>
          <w:sz w:val="32"/>
          <w:szCs w:val="32"/>
        </w:rPr>
      </w:pPr>
      <w:r>
        <w:rPr>
          <w:rFonts w:hint="eastAsia" w:ascii="Times New Roman" w:hAnsi="Times New Roman" w:eastAsia="仿宋_GB2312" w:cs="宋体"/>
          <w:sz w:val="32"/>
          <w:szCs w:val="32"/>
        </w:rPr>
        <w:t>202</w:t>
      </w:r>
      <w:r>
        <w:rPr>
          <w:rFonts w:hint="eastAsia" w:ascii="Times New Roman" w:hAnsi="Times New Roman" w:eastAsia="仿宋_GB2312" w:cs="宋体"/>
          <w:sz w:val="32"/>
          <w:szCs w:val="32"/>
          <w:lang w:val="en-US" w:eastAsia="zh-CN"/>
        </w:rPr>
        <w:t>4</w:t>
      </w:r>
      <w:r>
        <w:rPr>
          <w:rFonts w:hint="eastAsia" w:ascii="Times New Roman" w:hAnsi="Times New Roman" w:eastAsia="仿宋_GB2312" w:cs="宋体"/>
          <w:sz w:val="32"/>
          <w:szCs w:val="32"/>
        </w:rPr>
        <w:t>年度我乡没有因政府信息公开被申请行政复议、被提起行政诉讼和接受行政申诉、举报案例。</w:t>
      </w:r>
    </w:p>
    <w:p>
      <w:pPr>
        <w:pStyle w:val="4"/>
        <w:widowControl/>
        <w:numPr>
          <w:ilvl w:val="0"/>
          <w:numId w:val="0"/>
        </w:numPr>
        <w:spacing w:before="0" w:beforeAutospacing="0" w:after="0" w:afterAutospacing="0" w:line="540" w:lineRule="exact"/>
        <w:ind w:firstLine="643" w:firstLineChars="200"/>
        <w:jc w:val="both"/>
        <w:rPr>
          <w:rFonts w:hint="eastAsia" w:ascii="仿宋_GB2312" w:hAnsi="Times New Roman" w:eastAsia="仿宋_GB2312" w:cs="Times New Roman"/>
          <w:b/>
          <w:kern w:val="2"/>
          <w:sz w:val="32"/>
          <w:szCs w:val="32"/>
          <w:lang w:val="en-US" w:eastAsia="zh-CN" w:bidi="ar-SA"/>
        </w:rPr>
      </w:pPr>
      <w:r>
        <w:rPr>
          <w:rFonts w:hint="eastAsia" w:ascii="仿宋_GB2312" w:hAnsi="Times New Roman" w:eastAsia="仿宋_GB2312" w:cs="Times New Roman"/>
          <w:b/>
          <w:kern w:val="2"/>
          <w:sz w:val="32"/>
          <w:szCs w:val="32"/>
          <w:lang w:val="en-US" w:eastAsia="zh-CN" w:bidi="ar-SA"/>
        </w:rPr>
        <w:t>二、主动公开政府信息情况</w:t>
      </w:r>
    </w:p>
    <w:tbl>
      <w:tblPr>
        <w:tblStyle w:val="5"/>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166"/>
        <w:gridCol w:w="2166"/>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591" w:type="dxa"/>
            <w:gridSpan w:val="4"/>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信息内容</w:t>
            </w:r>
          </w:p>
        </w:tc>
        <w:tc>
          <w:tcPr>
            <w:tcW w:w="216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本年制发件数</w:t>
            </w:r>
          </w:p>
        </w:tc>
        <w:tc>
          <w:tcPr>
            <w:tcW w:w="216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本年废止件数</w:t>
            </w:r>
          </w:p>
        </w:tc>
        <w:tc>
          <w:tcPr>
            <w:tcW w:w="2263"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9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left"/>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规章</w:t>
            </w:r>
          </w:p>
        </w:tc>
        <w:tc>
          <w:tcPr>
            <w:tcW w:w="216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color w:val="auto"/>
                <w:lang w:val="en-US" w:eastAsia="zh-CN"/>
              </w:rPr>
              <w:t>0</w:t>
            </w:r>
          </w:p>
        </w:tc>
        <w:tc>
          <w:tcPr>
            <w:tcW w:w="216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color w:val="auto"/>
                <w:lang w:val="en-US" w:eastAsia="zh-CN"/>
              </w:rPr>
              <w:t>0</w:t>
            </w:r>
          </w:p>
        </w:tc>
        <w:tc>
          <w:tcPr>
            <w:tcW w:w="2263"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99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left"/>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行政规范性文件</w:t>
            </w:r>
          </w:p>
        </w:tc>
        <w:tc>
          <w:tcPr>
            <w:tcW w:w="216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color w:val="auto"/>
                <w:lang w:val="en-US" w:eastAsia="zh-CN"/>
              </w:rPr>
              <w:t>0</w:t>
            </w:r>
          </w:p>
        </w:tc>
        <w:tc>
          <w:tcPr>
            <w:tcW w:w="216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color w:val="auto"/>
                <w:lang w:val="en-US" w:eastAsia="zh-CN"/>
              </w:rPr>
              <w:t>0</w:t>
            </w:r>
          </w:p>
        </w:tc>
        <w:tc>
          <w:tcPr>
            <w:tcW w:w="2263"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91" w:type="dxa"/>
            <w:gridSpan w:val="4"/>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996" w:type="dxa"/>
            <w:tcBorders>
              <w:right w:val="single" w:color="auto" w:sz="4" w:space="0"/>
            </w:tcBorders>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信息内容</w:t>
            </w:r>
          </w:p>
        </w:tc>
        <w:tc>
          <w:tcPr>
            <w:tcW w:w="6595" w:type="dxa"/>
            <w:gridSpan w:val="3"/>
            <w:tcBorders>
              <w:top w:val="single" w:color="auto" w:sz="4" w:space="0"/>
              <w:left w:val="single" w:color="auto" w:sz="4" w:space="0"/>
              <w:bottom w:val="single" w:color="auto" w:sz="4" w:space="0"/>
              <w:right w:val="nil"/>
            </w:tcBorders>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99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left"/>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行政许可</w:t>
            </w:r>
          </w:p>
        </w:tc>
        <w:tc>
          <w:tcPr>
            <w:tcW w:w="6595" w:type="dxa"/>
            <w:gridSpan w:val="3"/>
            <w:tcBorders>
              <w:top w:val="single" w:color="auto" w:sz="4" w:space="0"/>
            </w:tcBorders>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91" w:type="dxa"/>
            <w:gridSpan w:val="4"/>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99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信息内容</w:t>
            </w:r>
          </w:p>
        </w:tc>
        <w:tc>
          <w:tcPr>
            <w:tcW w:w="6595" w:type="dxa"/>
            <w:gridSpan w:val="3"/>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9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left"/>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行政处罚</w:t>
            </w:r>
          </w:p>
        </w:tc>
        <w:tc>
          <w:tcPr>
            <w:tcW w:w="6595" w:type="dxa"/>
            <w:gridSpan w:val="3"/>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99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left"/>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行政强制</w:t>
            </w:r>
          </w:p>
        </w:tc>
        <w:tc>
          <w:tcPr>
            <w:tcW w:w="6595" w:type="dxa"/>
            <w:gridSpan w:val="3"/>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1" w:type="dxa"/>
            <w:gridSpan w:val="4"/>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9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信息内容</w:t>
            </w:r>
          </w:p>
        </w:tc>
        <w:tc>
          <w:tcPr>
            <w:tcW w:w="6595" w:type="dxa"/>
            <w:gridSpan w:val="3"/>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996" w:type="dxa"/>
            <w:noWrap/>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left"/>
              <w:textAlignment w:val="auto"/>
              <w:rPr>
                <w:rFonts w:ascii="Times New Roman" w:hAnsi="Times New Roman"/>
                <w:sz w:val="24"/>
              </w:rPr>
            </w:pPr>
            <w:r>
              <w:rPr>
                <w:rFonts w:hint="eastAsia" w:ascii="宋体" w:hAnsi="宋体" w:eastAsia="宋体" w:cs="宋体"/>
                <w:color w:val="auto"/>
                <w:kern w:val="0"/>
                <w:sz w:val="20"/>
                <w:szCs w:val="20"/>
                <w:lang w:val="en-US" w:eastAsia="zh-CN" w:bidi="ar"/>
              </w:rPr>
              <w:t>行政事业性收费</w:t>
            </w:r>
          </w:p>
        </w:tc>
        <w:tc>
          <w:tcPr>
            <w:tcW w:w="6595" w:type="dxa"/>
            <w:gridSpan w:val="3"/>
            <w:noWrap/>
            <w:vAlign w:val="center"/>
          </w:tcPr>
          <w:p>
            <w:pPr>
              <w:keepNext w:val="0"/>
              <w:keepLines w:val="0"/>
              <w:pageBreakBefore w:val="0"/>
              <w:widowControl w:val="0"/>
              <w:kinsoku/>
              <w:wordWrap/>
              <w:overflowPunct/>
              <w:topLinePunct w:val="0"/>
              <w:autoSpaceDN/>
              <w:bidi w:val="0"/>
              <w:adjustRightInd/>
              <w:snapToGrid/>
              <w:textAlignment w:val="auto"/>
              <w:rPr>
                <w:rFonts w:hint="eastAsia" w:ascii="Times New Roman" w:hAnsi="Times New Roman" w:eastAsia="宋体"/>
                <w:sz w:val="24"/>
                <w:lang w:eastAsia="zh-CN"/>
              </w:rPr>
            </w:pPr>
            <w:r>
              <w:rPr>
                <w:rFonts w:hint="eastAsia" w:ascii="Times New Roman" w:hAnsi="Times New Roman"/>
                <w:sz w:val="24"/>
                <w:lang w:eastAsia="zh-CN"/>
              </w:rPr>
              <w:t>无</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ind w:right="0" w:firstLine="643" w:firstLineChars="200"/>
        <w:jc w:val="both"/>
        <w:textAlignment w:val="auto"/>
        <w:rPr>
          <w:rFonts w:hint="eastAsia" w:ascii="宋体" w:hAnsi="宋体" w:eastAsia="宋体" w:cs="宋体"/>
          <w:i w:val="0"/>
          <w:iCs w:val="0"/>
          <w:caps w:val="0"/>
          <w:color w:val="auto"/>
          <w:spacing w:val="0"/>
          <w:sz w:val="24"/>
          <w:szCs w:val="24"/>
        </w:rPr>
      </w:pPr>
      <w:r>
        <w:rPr>
          <w:rFonts w:hint="eastAsia" w:ascii="仿宋_GB2312" w:hAnsi="Times New Roman" w:eastAsia="仿宋_GB2312" w:cs="Times New Roman"/>
          <w:b/>
          <w:kern w:val="2"/>
          <w:sz w:val="32"/>
          <w:szCs w:val="32"/>
          <w:lang w:val="en-US" w:eastAsia="zh-CN" w:bidi="ar-SA"/>
        </w:rPr>
        <w:t>三、收到和处理政府信息公开申请情况</w:t>
      </w:r>
    </w:p>
    <w:tbl>
      <w:tblPr>
        <w:tblStyle w:val="5"/>
        <w:tblW w:w="878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40"/>
        <w:gridCol w:w="943"/>
        <w:gridCol w:w="3220"/>
        <w:gridCol w:w="688"/>
        <w:gridCol w:w="688"/>
        <w:gridCol w:w="688"/>
        <w:gridCol w:w="688"/>
        <w:gridCol w:w="688"/>
        <w:gridCol w:w="688"/>
        <w:gridCol w:w="2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03"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楷体" w:hAnsi="楷体" w:eastAsia="楷体" w:cs="楷体"/>
                <w:color w:val="auto"/>
                <w:kern w:val="0"/>
                <w:sz w:val="20"/>
                <w:szCs w:val="20"/>
                <w:lang w:val="en-US" w:eastAsia="zh-CN" w:bidi="ar"/>
              </w:rPr>
              <w:t>（本列数据的勾稽</w:t>
            </w:r>
            <w:bookmarkStart w:id="0" w:name="_GoBack"/>
            <w:bookmarkEnd w:id="0"/>
            <w:r>
              <w:rPr>
                <w:rFonts w:hint="eastAsia" w:ascii="楷体" w:hAnsi="楷体" w:eastAsia="楷体" w:cs="楷体"/>
                <w:color w:val="auto"/>
                <w:kern w:val="0"/>
                <w:sz w:val="20"/>
                <w:szCs w:val="20"/>
                <w:lang w:val="en-US" w:eastAsia="zh-CN" w:bidi="ar"/>
              </w:rPr>
              <w:t>关系为：第一项加第二项之和，等于第三项加第四项之和）</w:t>
            </w:r>
          </w:p>
        </w:tc>
        <w:tc>
          <w:tcPr>
            <w:tcW w:w="4385"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03"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法人或其他组织</w:t>
            </w:r>
          </w:p>
        </w:tc>
        <w:tc>
          <w:tcPr>
            <w:tcW w:w="257"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4" w:hRule="atLeast"/>
          <w:jc w:val="center"/>
        </w:trPr>
        <w:tc>
          <w:tcPr>
            <w:tcW w:w="4403"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科研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其他</w:t>
            </w:r>
          </w:p>
        </w:tc>
        <w:tc>
          <w:tcPr>
            <w:tcW w:w="257"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03"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03"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2.其他法</w:t>
            </w:r>
            <w:r>
              <w:rPr>
                <w:rFonts w:hint="eastAsia" w:ascii="宋体" w:hAnsi="宋体" w:cs="宋体"/>
                <w:color w:val="auto"/>
                <w:kern w:val="0"/>
                <w:sz w:val="20"/>
                <w:szCs w:val="20"/>
                <w:lang w:val="en-US" w:eastAsia="zh-CN" w:bidi="ar"/>
              </w:rPr>
              <w:t>律和</w:t>
            </w:r>
            <w:r>
              <w:rPr>
                <w:rFonts w:hint="eastAsia" w:ascii="宋体" w:hAnsi="宋体" w:eastAsia="宋体" w:cs="宋体"/>
                <w:color w:val="auto"/>
                <w:kern w:val="0"/>
                <w:sz w:val="20"/>
                <w:szCs w:val="20"/>
                <w:lang w:val="en-US" w:eastAsia="zh-CN" w:bidi="ar"/>
              </w:rPr>
              <w:t>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hint="eastAsia" w:ascii="宋体" w:hAnsi="宋体" w:eastAsia="宋体" w:cs="宋体"/>
                <w:color w:val="auto"/>
                <w:kern w:val="0"/>
                <w:sz w:val="20"/>
                <w:szCs w:val="20"/>
                <w:lang w:val="en-US" w:eastAsia="zh-CN" w:bidi="ar"/>
              </w:rPr>
              <w:t>1.申请人无正当理由逾期不补正、行政机关不再</w:t>
            </w:r>
            <w:r>
              <w:rPr>
                <w:rFonts w:hint="eastAsia" w:ascii="宋体" w:hAnsi="宋体" w:cs="宋体"/>
                <w:color w:val="auto"/>
                <w:kern w:val="0"/>
                <w:sz w:val="20"/>
                <w:szCs w:val="20"/>
                <w:lang w:val="en-US" w:eastAsia="zh-CN" w:bidi="ar"/>
              </w:rPr>
              <w:t>受理</w:t>
            </w:r>
            <w:r>
              <w:rPr>
                <w:rFonts w:hint="eastAsia" w:ascii="宋体" w:hAnsi="宋体" w:eastAsia="宋体" w:cs="宋体"/>
                <w:color w:val="auto"/>
                <w:kern w:val="0"/>
                <w:sz w:val="20"/>
                <w:szCs w:val="20"/>
                <w:lang w:val="en-US" w:eastAsia="zh-CN" w:bidi="ar"/>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w:t>
            </w:r>
            <w:r>
              <w:rPr>
                <w:rFonts w:hint="eastAsia" w:ascii="宋体" w:hAnsi="宋体" w:cs="宋体"/>
                <w:color w:val="auto"/>
                <w:kern w:val="0"/>
                <w:sz w:val="20"/>
                <w:szCs w:val="20"/>
                <w:lang w:val="en-US" w:eastAsia="zh-CN" w:bidi="ar"/>
              </w:rPr>
              <w:t>受理</w:t>
            </w:r>
            <w:r>
              <w:rPr>
                <w:rFonts w:hint="eastAsia" w:ascii="宋体" w:hAnsi="宋体" w:eastAsia="宋体" w:cs="宋体"/>
                <w:color w:val="auto"/>
                <w:kern w:val="0"/>
                <w:sz w:val="20"/>
                <w:szCs w:val="20"/>
                <w:lang w:val="en-US" w:eastAsia="zh-CN" w:bidi="ar"/>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03"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color w:val="auto"/>
                <w:lang w:val="en-US" w:eastAsia="zh-CN"/>
              </w:rPr>
              <w:t>0</w:t>
            </w:r>
          </w:p>
        </w:tc>
        <w:tc>
          <w:tcPr>
            <w:tcW w:w="2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jc w:val="center"/>
              <w:textAlignment w:val="auto"/>
              <w:rPr>
                <w:rFonts w:hint="eastAsia" w:ascii="宋体"/>
                <w:color w:val="auto"/>
                <w:sz w:val="24"/>
                <w:szCs w:val="24"/>
              </w:rPr>
            </w:pPr>
            <w:r>
              <w:rPr>
                <w:rFonts w:hint="eastAsia"/>
                <w:color w:val="auto"/>
                <w:lang w:val="en-US" w:eastAsia="zh-CN"/>
              </w:rPr>
              <w:t>0</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ind w:right="0" w:firstLine="643" w:firstLineChars="200"/>
        <w:jc w:val="both"/>
        <w:textAlignment w:val="auto"/>
        <w:rPr>
          <w:rFonts w:hint="eastAsia" w:ascii="仿宋_GB2312" w:hAnsi="Times New Roman" w:eastAsia="仿宋_GB2312" w:cs="Times New Roman"/>
          <w:b/>
          <w:kern w:val="2"/>
          <w:sz w:val="32"/>
          <w:szCs w:val="32"/>
          <w:lang w:val="en-US" w:eastAsia="zh-CN" w:bidi="ar-SA"/>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ind w:right="0" w:firstLine="643" w:firstLineChars="200"/>
        <w:jc w:val="both"/>
        <w:textAlignment w:val="auto"/>
        <w:rPr>
          <w:rFonts w:hint="eastAsia" w:ascii="仿宋_GB2312" w:hAnsi="Times New Roman" w:eastAsia="仿宋_GB2312" w:cs="Times New Roman"/>
          <w:b/>
          <w:kern w:val="2"/>
          <w:sz w:val="32"/>
          <w:szCs w:val="32"/>
          <w:lang w:val="en-US" w:eastAsia="zh-CN" w:bidi="ar-SA"/>
        </w:rPr>
      </w:pPr>
      <w:r>
        <w:rPr>
          <w:rFonts w:hint="eastAsia" w:ascii="仿宋_GB2312" w:hAnsi="Times New Roman" w:eastAsia="仿宋_GB2312" w:cs="Times New Roman"/>
          <w:b/>
          <w:kern w:val="2"/>
          <w:sz w:val="32"/>
          <w:szCs w:val="32"/>
          <w:lang w:val="en-US" w:eastAsia="zh-CN" w:bidi="ar-SA"/>
        </w:rPr>
        <w:t>四、政府信息公开行政复议、行政诉讼情况</w:t>
      </w:r>
    </w:p>
    <w:tbl>
      <w:tblPr>
        <w:tblStyle w:val="5"/>
        <w:tblW w:w="909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68"/>
        <w:gridCol w:w="649"/>
        <w:gridCol w:w="649"/>
        <w:gridCol w:w="649"/>
        <w:gridCol w:w="649"/>
        <w:gridCol w:w="649"/>
        <w:gridCol w:w="649"/>
        <w:gridCol w:w="650"/>
        <w:gridCol w:w="650"/>
        <w:gridCol w:w="650"/>
        <w:gridCol w:w="651"/>
        <w:gridCol w:w="651"/>
        <w:gridCol w:w="651"/>
        <w:gridCol w:w="651"/>
        <w:gridCol w:w="3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6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6231"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298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7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2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eastAsia="宋体"/>
                <w:color w:val="auto"/>
                <w:lang w:val="en-US" w:eastAsia="zh-CN"/>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eastAsia="宋体"/>
                <w:color w:val="auto"/>
                <w:lang w:val="en-US" w:eastAsia="zh-CN"/>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eastAsia="宋体"/>
                <w:color w:val="auto"/>
                <w:lang w:val="en-US" w:eastAsia="zh-CN"/>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eastAsia="宋体"/>
                <w:color w:val="auto"/>
                <w:lang w:val="en-US" w:eastAsia="zh-CN"/>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color w:val="auto"/>
              </w:rPr>
            </w:pPr>
            <w:r>
              <w:rPr>
                <w:rFonts w:hint="eastAsia"/>
                <w:color w:val="auto"/>
                <w:lang w:val="en-US" w:eastAsia="zh-CN"/>
              </w:rPr>
              <w:t>0</w:t>
            </w:r>
          </w:p>
        </w:tc>
        <w:tc>
          <w:tcPr>
            <w:tcW w:w="37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leftChars="0" w:right="0" w:rightChars="0" w:firstLine="0" w:firstLineChars="0"/>
              <w:jc w:val="center"/>
              <w:textAlignment w:val="auto"/>
              <w:rPr>
                <w:rFonts w:hint="eastAsia" w:ascii="宋体"/>
                <w:color w:val="auto"/>
                <w:sz w:val="24"/>
                <w:szCs w:val="24"/>
              </w:rPr>
            </w:pPr>
            <w:r>
              <w:rPr>
                <w:rFonts w:hint="eastAsia"/>
                <w:color w:val="auto"/>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kern w:val="2"/>
          <w:sz w:val="32"/>
          <w:szCs w:val="32"/>
          <w:lang w:val="en-US" w:eastAsia="zh-CN" w:bidi="ar-SA"/>
        </w:rPr>
      </w:pPr>
      <w:r>
        <w:rPr>
          <w:rFonts w:hint="eastAsia" w:ascii="仿宋_GB2312" w:hAnsi="Times New Roman" w:eastAsia="仿宋_GB2312" w:cs="Times New Roman"/>
          <w:b/>
          <w:kern w:val="2"/>
          <w:sz w:val="32"/>
          <w:szCs w:val="32"/>
          <w:lang w:val="en-US" w:eastAsia="zh-CN" w:bidi="ar-SA"/>
        </w:rPr>
        <w:t>五、存在的主要问题及改进情况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存在的问题：一是部分公开栏信息更新不够及时，信息公开质量不高；二是</w:t>
      </w:r>
      <w:r>
        <w:rPr>
          <w:rFonts w:hint="eastAsia" w:ascii="Times New Roman" w:hAnsi="Times New Roman" w:eastAsia="仿宋_GB2312" w:cs="宋体"/>
          <w:sz w:val="32"/>
          <w:szCs w:val="32"/>
        </w:rPr>
        <w:t>公开内容不够多样，信息的更新不够及时</w:t>
      </w:r>
      <w:r>
        <w:rPr>
          <w:rFonts w:hint="eastAsia" w:ascii="仿宋_GB2312" w:eastAsia="仿宋_GB2312"/>
          <w:sz w:val="32"/>
          <w:szCs w:val="32"/>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改进措施：</w:t>
      </w:r>
      <w:r>
        <w:rPr>
          <w:rFonts w:hint="eastAsia" w:ascii="仿宋_GB2312" w:hAnsi="仿宋_GB2312" w:eastAsia="仿宋_GB2312" w:cs="仿宋_GB2312"/>
          <w:b w:val="0"/>
          <w:bCs w:val="0"/>
          <w:color w:val="auto"/>
          <w:sz w:val="32"/>
          <w:szCs w:val="32"/>
        </w:rPr>
        <w:t>一是加强政府信息公开队伍建设。通过参加上级组织的业务培训或主动学习其他单位的经验做法等多种途径，加强相关人员素质的培养和锻炼，提高工作人员的能力水平</w:t>
      </w:r>
      <w:r>
        <w:rPr>
          <w:rFonts w:hint="eastAsia" w:ascii="仿宋_GB2312" w:eastAsia="仿宋_GB2312"/>
          <w:color w:val="auto"/>
          <w:sz w:val="32"/>
          <w:szCs w:val="32"/>
          <w:lang w:val="en-US" w:eastAsia="zh-CN"/>
        </w:rPr>
        <w:t>；二是</w:t>
      </w:r>
      <w:r>
        <w:rPr>
          <w:rFonts w:hint="eastAsia" w:ascii="Times New Roman" w:hAnsi="Times New Roman" w:eastAsia="仿宋_GB2312" w:cs="宋体"/>
          <w:color w:val="auto"/>
          <w:sz w:val="32"/>
          <w:szCs w:val="32"/>
        </w:rPr>
        <w:t>丰富信息公开的内容。除可公开的公文类信息外，筛选其他对社会公众有指导或帮助意义的信息纳入信息公开范围予以发布</w:t>
      </w:r>
      <w:r>
        <w:rPr>
          <w:rFonts w:hint="eastAsia" w:ascii="仿宋_GB2312" w:eastAsia="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三是</w:t>
      </w:r>
      <w:r>
        <w:rPr>
          <w:rFonts w:hint="eastAsia" w:ascii="Times New Roman" w:hAnsi="Times New Roman" w:eastAsia="仿宋_GB2312" w:cs="宋体"/>
          <w:color w:val="auto"/>
          <w:sz w:val="32"/>
          <w:szCs w:val="32"/>
        </w:rPr>
        <w:t>提高政府信息公</w:t>
      </w:r>
      <w:r>
        <w:rPr>
          <w:rFonts w:hint="eastAsia" w:ascii="Times New Roman" w:hAnsi="Times New Roman" w:eastAsia="仿宋_GB2312" w:cs="宋体"/>
          <w:color w:val="auto"/>
          <w:sz w:val="32"/>
          <w:szCs w:val="32"/>
          <w:lang w:eastAsia="zh-CN"/>
        </w:rPr>
        <w:t>开的</w:t>
      </w:r>
      <w:r>
        <w:rPr>
          <w:rFonts w:hint="eastAsia" w:ascii="Times New Roman" w:hAnsi="Times New Roman" w:eastAsia="仿宋_GB2312" w:cs="宋体"/>
          <w:color w:val="auto"/>
          <w:sz w:val="32"/>
          <w:szCs w:val="32"/>
        </w:rPr>
        <w:t>时效性。加强政府信息公开学习培训，强化工作人员责任意识，提高政务公开工作的质量和服务水平，确保公开信息的时效性、完整性和准确性。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Times New Roman" w:eastAsia="仿宋_GB2312" w:cs="Times New Roman"/>
          <w:b/>
          <w:kern w:val="2"/>
          <w:sz w:val="32"/>
          <w:szCs w:val="32"/>
          <w:lang w:val="en-US" w:eastAsia="zh-CN" w:bidi="ar-SA"/>
        </w:rPr>
      </w:pPr>
      <w:r>
        <w:rPr>
          <w:rFonts w:hint="eastAsia" w:ascii="仿宋_GB2312" w:hAnsi="Times New Roman" w:eastAsia="仿宋_GB2312" w:cs="Times New Roman"/>
          <w:b/>
          <w:kern w:val="2"/>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本机关按照《政府信息公开信息处理费管理办法》规定的按件、按量收费标准，本年度没有产生信息公开处理费</w:t>
      </w:r>
      <w:r>
        <w:rPr>
          <w:rFonts w:hint="eastAsia" w:ascii="仿宋_GB2312" w:hAnsi="仿宋_GB2312" w:eastAsia="仿宋_GB2312" w:cs="仿宋_GB2312"/>
          <w:sz w:val="32"/>
          <w:szCs w:val="32"/>
          <w:lang w:eastAsia="zh-CN"/>
        </w:rPr>
        <w:t>。</w:t>
      </w:r>
    </w:p>
    <w:p>
      <w:pPr>
        <w:pStyle w:val="2"/>
        <w:jc w:val="right"/>
        <w:rPr>
          <w:rFonts w:hint="eastAsia" w:ascii="仿宋_GB2312" w:hAnsi="仿宋_GB2312" w:eastAsia="仿宋_GB2312" w:cs="仿宋_GB2312"/>
          <w:b w:val="0"/>
          <w:kern w:val="2"/>
          <w:sz w:val="32"/>
          <w:szCs w:val="32"/>
          <w:lang w:val="en-US" w:eastAsia="zh-CN" w:bidi="ar-SA"/>
        </w:rPr>
      </w:pPr>
    </w:p>
    <w:p>
      <w:pPr>
        <w:pStyle w:val="2"/>
        <w:jc w:val="right"/>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乌苏市头台乡人民政府</w:t>
      </w:r>
    </w:p>
    <w:p>
      <w:pPr>
        <w:jc w:val="right"/>
        <w:rPr>
          <w:rFonts w:hint="default"/>
          <w:lang w:val="en-US" w:eastAsia="zh-CN"/>
        </w:rPr>
      </w:pPr>
      <w:r>
        <w:rPr>
          <w:rFonts w:hint="eastAsia" w:ascii="仿宋_GB2312" w:hAnsi="仿宋_GB2312" w:eastAsia="仿宋_GB2312" w:cs="仿宋_GB2312"/>
          <w:sz w:val="32"/>
          <w:szCs w:val="32"/>
          <w:lang w:val="en-US" w:eastAsia="zh-CN"/>
        </w:rPr>
        <w:t xml:space="preserve">    2024年1月21日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7A00116B"/>
    <w:rsid w:val="00991D17"/>
    <w:rsid w:val="010B3A84"/>
    <w:rsid w:val="03EE2BE0"/>
    <w:rsid w:val="051C1D5A"/>
    <w:rsid w:val="07FD7DA9"/>
    <w:rsid w:val="09DB61FE"/>
    <w:rsid w:val="09F83F75"/>
    <w:rsid w:val="0BF37119"/>
    <w:rsid w:val="0D72584E"/>
    <w:rsid w:val="0DD23B65"/>
    <w:rsid w:val="0DF94717"/>
    <w:rsid w:val="101D1708"/>
    <w:rsid w:val="1201309F"/>
    <w:rsid w:val="1CA37774"/>
    <w:rsid w:val="1D153CEC"/>
    <w:rsid w:val="1FE36057"/>
    <w:rsid w:val="20C175B3"/>
    <w:rsid w:val="22B4104E"/>
    <w:rsid w:val="26B80CF9"/>
    <w:rsid w:val="27B74BB9"/>
    <w:rsid w:val="27F31305"/>
    <w:rsid w:val="292E00F0"/>
    <w:rsid w:val="2E615C7E"/>
    <w:rsid w:val="2FED6747"/>
    <w:rsid w:val="316A1A05"/>
    <w:rsid w:val="33D67DA4"/>
    <w:rsid w:val="37CA63C9"/>
    <w:rsid w:val="38DA0D89"/>
    <w:rsid w:val="3CE71C16"/>
    <w:rsid w:val="42B427D1"/>
    <w:rsid w:val="49F17E4E"/>
    <w:rsid w:val="4A31709F"/>
    <w:rsid w:val="4A7F3F42"/>
    <w:rsid w:val="4B1A018D"/>
    <w:rsid w:val="4BEB03B9"/>
    <w:rsid w:val="4E591444"/>
    <w:rsid w:val="4EF2212C"/>
    <w:rsid w:val="52390584"/>
    <w:rsid w:val="54226150"/>
    <w:rsid w:val="550C12E7"/>
    <w:rsid w:val="58664A18"/>
    <w:rsid w:val="59DF5F92"/>
    <w:rsid w:val="5B8A3F5F"/>
    <w:rsid w:val="5C2D11A2"/>
    <w:rsid w:val="5F397038"/>
    <w:rsid w:val="5FC56DF9"/>
    <w:rsid w:val="62D0348E"/>
    <w:rsid w:val="63A43008"/>
    <w:rsid w:val="64546FDE"/>
    <w:rsid w:val="66043BC7"/>
    <w:rsid w:val="6C485EA6"/>
    <w:rsid w:val="6E264666"/>
    <w:rsid w:val="6F582432"/>
    <w:rsid w:val="717B1BA4"/>
    <w:rsid w:val="744D34CD"/>
    <w:rsid w:val="75C6464A"/>
    <w:rsid w:val="778836DF"/>
    <w:rsid w:val="78972BDA"/>
    <w:rsid w:val="79784155"/>
    <w:rsid w:val="79E1725D"/>
    <w:rsid w:val="7A00116B"/>
    <w:rsid w:val="7A314B54"/>
    <w:rsid w:val="7AA0688E"/>
    <w:rsid w:val="7D565DA1"/>
    <w:rsid w:val="7DBC11E8"/>
    <w:rsid w:val="7E8515E6"/>
    <w:rsid w:val="7F84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keepNext/>
      <w:keepLines/>
      <w:tabs>
        <w:tab w:val="center" w:leader="dot" w:pos="4153"/>
        <w:tab w:val="right" w:pos="8306"/>
      </w:tabs>
      <w:spacing w:beforeLines="0" w:beforeAutospacing="0" w:afterLines="0" w:afterAutospacing="0" w:line="500" w:lineRule="exact"/>
      <w:ind w:firstLine="420" w:firstLineChars="200"/>
      <w:outlineLvl w:val="2"/>
    </w:pPr>
    <w:rPr>
      <w:rFonts w:eastAsia="楷体_GB2312" w:asciiTheme="minorAscii" w:hAnsiTheme="minorAscii"/>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next w:val="1"/>
    <w:autoRedefine/>
    <w:qFormat/>
    <w:uiPriority w:val="0"/>
    <w:pPr>
      <w:spacing w:before="100" w:beforeAutospacing="1" w:line="480" w:lineRule="auto"/>
      <w:ind w:left="420" w:leftChars="200"/>
    </w:p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2024-01-16T08:59:00Z</dcterms:created>
  <dc:creator>九0后的小青年</dc:creator>
  <cp:lastModifiedBy>喜文</cp:lastModifiedBy>
  <cp:lastPrinted>2024-01-16T11:18:00Z</cp:lastPrinted>
  <dcterms:modified xsi:type="dcterms:W3CDTF">2025-01-22T11:31:55Z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F22CCBF14A50481B95E87D01C922DDDE_12</vt:lpwstr>
  </property>
</Properties>
</file>