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40" w:lineRule="exact"/>
        <w:ind w:left="0"/>
        <w:jc w:val="center"/>
        <w:outlineLvl w:val="0"/>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40" w:lineRule="exact"/>
        <w:ind w:left="0"/>
        <w:jc w:val="center"/>
        <w:textAlignment w:val="baseline"/>
        <w:rPr>
          <w:rFonts w:hint="eastAsia" w:ascii="仿宋" w:hAnsi="仿宋" w:eastAsia="仿宋" w:cs="仿宋"/>
          <w:snapToGrid w:val="0"/>
          <w:color w:val="000000"/>
          <w:spacing w:val="-7"/>
          <w:kern w:val="0"/>
          <w:sz w:val="32"/>
          <w:szCs w:val="32"/>
          <w:lang w:val="en-US" w:eastAsia="zh-CN"/>
        </w:rPr>
      </w:pPr>
      <w:r>
        <w:rPr>
          <w:rFonts w:hint="eastAsia" w:ascii="仿宋" w:hAnsi="仿宋" w:eastAsia="仿宋" w:cs="仿宋"/>
          <w:snapToGrid w:val="0"/>
          <w:color w:val="000000"/>
          <w:spacing w:val="-7"/>
          <w:kern w:val="0"/>
          <w:sz w:val="32"/>
          <w:szCs w:val="32"/>
          <w:lang w:val="en-US" w:eastAsia="zh-CN"/>
        </w:rPr>
        <w:t>塔乌市监处罚〔2025〕16号</w:t>
      </w:r>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40" w:lineRule="exact"/>
        <w:ind w:left="0"/>
        <w:jc w:val="both"/>
        <w:textAlignment w:val="baseline"/>
        <w:rPr>
          <w:rFonts w:hint="eastAsia" w:ascii="仿宋" w:hAnsi="仿宋" w:eastAsia="仿宋" w:cs="仿宋"/>
          <w:bCs/>
          <w:sz w:val="32"/>
          <w:szCs w:val="32"/>
          <w:lang w:val="en-US" w:eastAsia="zh-CN"/>
        </w:rPr>
      </w:pPr>
      <w:r>
        <w:rPr>
          <w:rFonts w:hint="eastAsia" w:ascii="仿宋" w:hAnsi="仿宋" w:eastAsia="仿宋" w:cs="仿宋"/>
          <w:bCs/>
          <w:kern w:val="1"/>
          <w:sz w:val="32"/>
          <w:szCs w:val="32"/>
        </w:rPr>
        <w:t>当事人：</w:t>
      </w:r>
      <w:r>
        <w:rPr>
          <w:rFonts w:hint="eastAsia" w:ascii="仿宋" w:hAnsi="仿宋" w:eastAsia="仿宋" w:cs="仿宋"/>
          <w:bCs/>
          <w:sz w:val="32"/>
          <w:szCs w:val="32"/>
          <w:lang w:val="en-US" w:eastAsia="zh-CN"/>
        </w:rPr>
        <w:t>乌苏市海滨车行</w:t>
      </w:r>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40" w:lineRule="exact"/>
        <w:ind w:left="0"/>
        <w:jc w:val="both"/>
        <w:textAlignment w:val="baseline"/>
        <w:rPr>
          <w:rFonts w:hint="eastAsia" w:ascii="仿宋" w:hAnsi="仿宋" w:eastAsia="仿宋" w:cs="仿宋"/>
          <w:kern w:val="1"/>
          <w:sz w:val="32"/>
          <w:szCs w:val="32"/>
          <w:u w:val="none"/>
          <w:lang w:eastAsia="zh-CN"/>
        </w:rPr>
      </w:pPr>
      <w:r>
        <w:rPr>
          <w:rFonts w:hint="eastAsia" w:ascii="仿宋" w:hAnsi="仿宋" w:eastAsia="仿宋" w:cs="仿宋"/>
          <w:bCs/>
          <w:kern w:val="1"/>
          <w:sz w:val="32"/>
          <w:szCs w:val="32"/>
        </w:rPr>
        <w:t>主体资格证照</w:t>
      </w:r>
      <w:r>
        <w:rPr>
          <w:rFonts w:hint="eastAsia" w:ascii="仿宋" w:hAnsi="仿宋" w:eastAsia="仿宋" w:cs="仿宋"/>
          <w:kern w:val="1"/>
          <w:sz w:val="32"/>
          <w:szCs w:val="32"/>
        </w:rPr>
        <w:t>名称：</w:t>
      </w:r>
      <w:r>
        <w:rPr>
          <w:rFonts w:hint="eastAsia" w:ascii="仿宋" w:hAnsi="仿宋" w:eastAsia="仿宋" w:cs="仿宋"/>
          <w:kern w:val="1"/>
          <w:sz w:val="32"/>
          <w:szCs w:val="32"/>
          <w:u w:val="none"/>
          <w:lang w:eastAsia="zh-CN"/>
        </w:rPr>
        <w:t>《营业执照》</w:t>
      </w:r>
    </w:p>
    <w:p>
      <w:pPr>
        <w:keepNext w:val="0"/>
        <w:keepLines w:val="0"/>
        <w:pageBreakBefore w:val="0"/>
        <w:widowControl/>
        <w:tabs>
          <w:tab w:val="left" w:pos="2752"/>
        </w:tabs>
        <w:kinsoku w:val="0"/>
        <w:wordWrap/>
        <w:overflowPunct/>
        <w:topLinePunct w:val="0"/>
        <w:autoSpaceDE w:val="0"/>
        <w:autoSpaceDN w:val="0"/>
        <w:bidi w:val="0"/>
        <w:adjustRightInd w:val="0"/>
        <w:snapToGrid w:val="0"/>
        <w:spacing w:line="540" w:lineRule="exact"/>
        <w:ind w:left="0"/>
        <w:jc w:val="both"/>
        <w:textAlignment w:val="baseline"/>
        <w:rPr>
          <w:rFonts w:hint="eastAsia" w:ascii="仿宋" w:hAnsi="仿宋" w:eastAsia="仿宋" w:cs="仿宋"/>
          <w:w w:val="100"/>
          <w:kern w:val="1"/>
          <w:sz w:val="32"/>
          <w:szCs w:val="32"/>
          <w:u w:val="single"/>
        </w:rPr>
      </w:pPr>
      <w:r>
        <w:rPr>
          <w:rFonts w:hint="eastAsia" w:ascii="仿宋" w:hAnsi="仿宋" w:eastAsia="仿宋" w:cs="仿宋"/>
          <w:kern w:val="1"/>
          <w:sz w:val="32"/>
          <w:szCs w:val="32"/>
        </w:rPr>
        <w:t>统一社会信用代码：</w:t>
      </w:r>
      <w:r>
        <w:rPr>
          <w:rFonts w:hint="eastAsia" w:ascii="仿宋" w:hAnsi="仿宋" w:eastAsia="仿宋" w:cs="仿宋"/>
          <w:bCs/>
          <w:sz w:val="32"/>
          <w:szCs w:val="32"/>
          <w:u w:val="none" w:color="auto"/>
          <w:lang w:val="en-US" w:eastAsia="zh-CN"/>
        </w:rPr>
        <w:t>92654202L81084068R</w:t>
      </w:r>
    </w:p>
    <w:p>
      <w:pPr>
        <w:keepNext w:val="0"/>
        <w:keepLines w:val="0"/>
        <w:pageBreakBefore w:val="0"/>
        <w:widowControl w:val="0"/>
        <w:kinsoku/>
        <w:wordWrap/>
        <w:overflowPunct/>
        <w:topLinePunct w:val="0"/>
        <w:autoSpaceDE/>
        <w:autoSpaceDN/>
        <w:bidi w:val="0"/>
        <w:adjustRightInd/>
        <w:spacing w:line="540" w:lineRule="exact"/>
        <w:ind w:left="0"/>
        <w:jc w:val="both"/>
        <w:textAlignment w:val="auto"/>
        <w:rPr>
          <w:rFonts w:hint="eastAsia" w:ascii="仿宋" w:hAnsi="仿宋" w:eastAsia="仿宋" w:cs="仿宋"/>
          <w:bCs/>
          <w:sz w:val="32"/>
          <w:szCs w:val="32"/>
          <w:lang w:val="en-US" w:eastAsia="zh-CN"/>
        </w:rPr>
      </w:pPr>
      <w:r>
        <w:rPr>
          <w:rFonts w:hint="eastAsia" w:ascii="仿宋" w:hAnsi="仿宋" w:eastAsia="仿宋" w:cs="仿宋"/>
          <w:kern w:val="1"/>
          <w:sz w:val="32"/>
          <w:szCs w:val="32"/>
        </w:rPr>
        <w:t>住址：</w:t>
      </w:r>
      <w:r>
        <w:rPr>
          <w:rFonts w:hint="eastAsia" w:ascii="仿宋" w:hAnsi="仿宋" w:eastAsia="仿宋" w:cs="仿宋"/>
          <w:bCs/>
          <w:sz w:val="32"/>
          <w:szCs w:val="32"/>
          <w:lang w:val="en-US" w:eastAsia="zh-CN"/>
        </w:rPr>
        <w:t>新疆塔城地区乌苏市柳江路112号（温州商业街16</w:t>
      </w:r>
    </w:p>
    <w:p>
      <w:pPr>
        <w:keepNext w:val="0"/>
        <w:keepLines w:val="0"/>
        <w:pageBreakBefore w:val="0"/>
        <w:widowControl w:val="0"/>
        <w:kinsoku/>
        <w:wordWrap/>
        <w:overflowPunct/>
        <w:topLinePunct w:val="0"/>
        <w:autoSpaceDE/>
        <w:autoSpaceDN/>
        <w:bidi w:val="0"/>
        <w:adjustRightInd/>
        <w:spacing w:line="540" w:lineRule="exact"/>
        <w:ind w:left="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幢1单元40号）</w:t>
      </w:r>
    </w:p>
    <w:p>
      <w:pPr>
        <w:keepNext w:val="0"/>
        <w:keepLines w:val="0"/>
        <w:pageBreakBefore w:val="0"/>
        <w:widowControl w:val="0"/>
        <w:kinsoku/>
        <w:wordWrap/>
        <w:overflowPunct/>
        <w:topLinePunct w:val="0"/>
        <w:autoSpaceDE/>
        <w:autoSpaceDN/>
        <w:bidi w:val="0"/>
        <w:adjustRightInd/>
        <w:spacing w:line="540" w:lineRule="exact"/>
        <w:ind w:left="0"/>
        <w:jc w:val="both"/>
        <w:textAlignment w:val="auto"/>
        <w:rPr>
          <w:rFonts w:hint="eastAsia" w:ascii="仿宋" w:hAnsi="仿宋" w:eastAsia="仿宋" w:cs="仿宋"/>
          <w:bCs/>
          <w:sz w:val="32"/>
          <w:szCs w:val="32"/>
          <w:lang w:val="en-US" w:eastAsia="zh-CN"/>
        </w:rPr>
      </w:pPr>
      <w:r>
        <w:rPr>
          <w:rFonts w:hint="eastAsia" w:ascii="仿宋" w:hAnsi="仿宋" w:eastAsia="仿宋" w:cs="仿宋"/>
          <w:kern w:val="1"/>
          <w:sz w:val="32"/>
          <w:szCs w:val="32"/>
          <w:lang w:eastAsia="zh-CN"/>
        </w:rPr>
        <w:t>经营者</w:t>
      </w:r>
      <w:r>
        <w:rPr>
          <w:rFonts w:hint="eastAsia" w:ascii="仿宋" w:hAnsi="仿宋" w:eastAsia="仿宋" w:cs="仿宋"/>
          <w:kern w:val="1"/>
          <w:sz w:val="32"/>
          <w:szCs w:val="32"/>
        </w:rPr>
        <w:t>：</w:t>
      </w:r>
      <w:r>
        <w:rPr>
          <w:rFonts w:hint="eastAsia" w:ascii="仿宋" w:hAnsi="仿宋" w:eastAsia="仿宋" w:cs="仿宋"/>
          <w:bCs/>
          <w:sz w:val="32"/>
          <w:szCs w:val="32"/>
          <w:lang w:val="en-US" w:eastAsia="zh-CN"/>
        </w:rPr>
        <w:t>代**</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jc w:val="both"/>
        <w:textAlignment w:val="auto"/>
        <w:rPr>
          <w:rFonts w:hint="eastAsia" w:ascii="仿宋" w:hAnsi="仿宋" w:eastAsia="仿宋" w:cs="仿宋"/>
          <w:kern w:val="1"/>
          <w:sz w:val="32"/>
          <w:szCs w:val="32"/>
        </w:rPr>
      </w:pPr>
      <w:r>
        <w:rPr>
          <w:rFonts w:hint="eastAsia" w:ascii="仿宋" w:hAnsi="仿宋" w:eastAsia="仿宋" w:cs="仿宋"/>
          <w:bCs/>
          <w:color w:val="auto"/>
          <w:sz w:val="32"/>
          <w:szCs w:val="32"/>
          <w:lang w:val="en-US" w:eastAsia="zh-CN"/>
        </w:rPr>
        <w:t>2024年11月22日，我局收到自治区市场监管系统电动自行车安全隐患全链条整治线索移交单。</w:t>
      </w:r>
      <w:r>
        <w:rPr>
          <w:rFonts w:hint="eastAsia" w:ascii="仿宋" w:hAnsi="仿宋" w:eastAsia="仿宋" w:cs="仿宋"/>
          <w:bCs/>
          <w:sz w:val="32"/>
          <w:szCs w:val="32"/>
          <w:lang w:val="en-US" w:eastAsia="zh-CN"/>
        </w:rPr>
        <w:t>2024年11月28日，我局执法人员撒玉锋、刘鹏来到新疆塔城地区乌苏市柳江路112号（温州商业街16幢1单元40号）的乌苏市海滨车行开展监督检查，现场对当事人召回的2024年8月26日销售的九号电动自行车（型号为TDP017Z，整车编码：294822419112354，制造商：九号科技有限公司，生产企业地址：常州市新北区兴奔路1号，产品合格证编号：A141874TDP017Z500）使用2024年6月4日检定合格的TCS-300电子台秤（最大称重300kg，出厂编号：3454，生产企业：浙江凯丰集团有限公司）进行称重，重量显示80.7kg，当事人在现场全程配合称重，对现场称重结果认可未提出异议，当事人销售的电动自行车不符合GB17761-2018《电动自行车安全技术规范》“4.1电动自行车应当符合下列要求：d）装配完整的电动自行车的整车质量小于或者等于55kg;”的标准要求，经报局领导批准，执法人员现场对上述九号电动自行车实施了扣押的行政强制措施（乌市监强制〔2024〕169号），当事人现场确认签收。当事人销售不符合国家标准的电动自行车的行为，违反了《中华人民共和国产品质量法》第十三条第二款的规定，为进一步了解情况，</w:t>
      </w:r>
      <w:r>
        <w:rPr>
          <w:rFonts w:hint="eastAsia" w:ascii="仿宋" w:hAnsi="仿宋" w:eastAsia="仿宋" w:cs="仿宋"/>
          <w:bCs/>
          <w:sz w:val="32"/>
          <w:szCs w:val="32"/>
          <w:lang w:eastAsia="zh-CN"/>
        </w:rPr>
        <w:t>经报局领导批准，于202</w:t>
      </w: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年</w:t>
      </w:r>
      <w:r>
        <w:rPr>
          <w:rFonts w:hint="eastAsia" w:ascii="仿宋" w:hAnsi="仿宋" w:eastAsia="仿宋" w:cs="仿宋"/>
          <w:bCs/>
          <w:sz w:val="32"/>
          <w:szCs w:val="32"/>
          <w:lang w:val="en-US" w:eastAsia="zh-CN"/>
        </w:rPr>
        <w:t>11</w:t>
      </w:r>
      <w:r>
        <w:rPr>
          <w:rFonts w:hint="eastAsia" w:ascii="仿宋" w:hAnsi="仿宋" w:eastAsia="仿宋" w:cs="仿宋"/>
          <w:bCs/>
          <w:sz w:val="32"/>
          <w:szCs w:val="32"/>
          <w:lang w:eastAsia="zh-CN"/>
        </w:rPr>
        <w:t>月</w:t>
      </w:r>
      <w:r>
        <w:rPr>
          <w:rFonts w:hint="eastAsia" w:ascii="仿宋" w:hAnsi="仿宋" w:eastAsia="仿宋" w:cs="仿宋"/>
          <w:bCs/>
          <w:sz w:val="32"/>
          <w:szCs w:val="32"/>
          <w:lang w:val="en-US" w:eastAsia="zh-CN"/>
        </w:rPr>
        <w:t>28</w:t>
      </w:r>
      <w:r>
        <w:rPr>
          <w:rFonts w:hint="eastAsia" w:ascii="仿宋" w:hAnsi="仿宋" w:eastAsia="仿宋" w:cs="仿宋"/>
          <w:bCs/>
          <w:sz w:val="32"/>
          <w:szCs w:val="32"/>
          <w:lang w:eastAsia="zh-CN"/>
        </w:rPr>
        <w:t>日立案，并指派巴德玛、</w:t>
      </w:r>
      <w:r>
        <w:rPr>
          <w:rFonts w:hint="eastAsia" w:ascii="仿宋" w:hAnsi="仿宋" w:eastAsia="仿宋" w:cs="仿宋"/>
          <w:bCs/>
          <w:sz w:val="32"/>
          <w:szCs w:val="32"/>
          <w:lang w:val="en-US" w:eastAsia="zh-CN"/>
        </w:rPr>
        <w:t>刘鹏</w:t>
      </w:r>
      <w:r>
        <w:rPr>
          <w:rFonts w:hint="eastAsia" w:ascii="仿宋" w:hAnsi="仿宋" w:eastAsia="仿宋" w:cs="仿宋"/>
          <w:bCs/>
          <w:sz w:val="32"/>
          <w:szCs w:val="32"/>
          <w:lang w:eastAsia="zh-CN"/>
        </w:rPr>
        <w:t>对此案进行调查了解，本案于202</w:t>
      </w:r>
      <w:r>
        <w:rPr>
          <w:rFonts w:hint="eastAsia" w:ascii="仿宋" w:hAnsi="仿宋" w:eastAsia="仿宋" w:cs="仿宋"/>
          <w:bCs/>
          <w:sz w:val="32"/>
          <w:szCs w:val="32"/>
          <w:lang w:val="en-US" w:eastAsia="zh-CN"/>
        </w:rPr>
        <w:t>4</w:t>
      </w:r>
      <w:r>
        <w:rPr>
          <w:rFonts w:hint="eastAsia" w:ascii="仿宋" w:hAnsi="仿宋" w:eastAsia="仿宋" w:cs="仿宋"/>
          <w:bCs/>
          <w:sz w:val="32"/>
          <w:szCs w:val="32"/>
          <w:highlight w:val="none"/>
          <w:lang w:eastAsia="zh-CN"/>
        </w:rPr>
        <w:t>年</w:t>
      </w:r>
      <w:r>
        <w:rPr>
          <w:rFonts w:hint="eastAsia" w:ascii="仿宋" w:hAnsi="仿宋" w:eastAsia="仿宋" w:cs="仿宋"/>
          <w:bCs/>
          <w:sz w:val="32"/>
          <w:szCs w:val="32"/>
          <w:highlight w:val="none"/>
          <w:lang w:val="en-US" w:eastAsia="zh-CN"/>
        </w:rPr>
        <w:t>12</w:t>
      </w:r>
      <w:r>
        <w:rPr>
          <w:rFonts w:hint="eastAsia" w:ascii="仿宋" w:hAnsi="仿宋" w:eastAsia="仿宋" w:cs="仿宋"/>
          <w:bCs/>
          <w:sz w:val="32"/>
          <w:szCs w:val="32"/>
          <w:highlight w:val="none"/>
          <w:lang w:eastAsia="zh-CN"/>
        </w:rPr>
        <w:t>月</w:t>
      </w:r>
      <w:r>
        <w:rPr>
          <w:rFonts w:hint="eastAsia" w:ascii="仿宋" w:hAnsi="仿宋" w:eastAsia="仿宋" w:cs="仿宋"/>
          <w:bCs/>
          <w:sz w:val="32"/>
          <w:szCs w:val="32"/>
          <w:highlight w:val="none"/>
          <w:lang w:val="en-US" w:eastAsia="zh-CN"/>
        </w:rPr>
        <w:t>23日</w:t>
      </w:r>
      <w:r>
        <w:rPr>
          <w:rFonts w:hint="eastAsia" w:ascii="仿宋" w:hAnsi="仿宋" w:eastAsia="仿宋" w:cs="仿宋"/>
          <w:bCs/>
          <w:sz w:val="32"/>
          <w:szCs w:val="32"/>
          <w:highlight w:val="none"/>
          <w:lang w:eastAsia="zh-CN"/>
        </w:rPr>
        <w:t>调</w:t>
      </w:r>
      <w:r>
        <w:rPr>
          <w:rFonts w:hint="eastAsia" w:ascii="仿宋" w:hAnsi="仿宋" w:eastAsia="仿宋" w:cs="仿宋"/>
          <w:bCs/>
          <w:sz w:val="32"/>
          <w:szCs w:val="32"/>
          <w:lang w:eastAsia="zh-CN"/>
        </w:rPr>
        <w:t>查终结。</w:t>
      </w:r>
      <w:r>
        <w:rPr>
          <w:rFonts w:hint="eastAsia" w:ascii="仿宋" w:hAnsi="仿宋" w:eastAsia="仿宋" w:cs="仿宋"/>
          <w:kern w:val="1"/>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bidi w:val="0"/>
        <w:snapToGrid/>
        <w:spacing w:line="540" w:lineRule="exact"/>
        <w:ind w:left="0" w:firstLine="640" w:firstLineChars="200"/>
        <w:jc w:val="both"/>
        <w:rPr>
          <w:rFonts w:hint="eastAsia" w:ascii="仿宋" w:hAnsi="仿宋" w:eastAsia="仿宋" w:cs="仿宋"/>
          <w:sz w:val="32"/>
          <w:szCs w:val="32"/>
        </w:rPr>
      </w:pPr>
      <w:r>
        <w:rPr>
          <w:rFonts w:hint="eastAsia" w:ascii="仿宋" w:hAnsi="仿宋" w:eastAsia="仿宋" w:cs="仿宋"/>
          <w:bCs/>
          <w:sz w:val="32"/>
          <w:szCs w:val="32"/>
          <w:lang w:val="en-US" w:eastAsia="zh-CN"/>
        </w:rPr>
        <w:t>经</w:t>
      </w:r>
      <w:r>
        <w:rPr>
          <w:rFonts w:hint="eastAsia" w:ascii="仿宋" w:hAnsi="仿宋" w:eastAsia="仿宋" w:cs="仿宋"/>
          <w:bCs/>
          <w:sz w:val="32"/>
          <w:szCs w:val="32"/>
        </w:rPr>
        <w:t>查</w:t>
      </w:r>
      <w:r>
        <w:rPr>
          <w:rFonts w:hint="eastAsia" w:ascii="仿宋" w:hAnsi="仿宋" w:eastAsia="仿宋" w:cs="仿宋"/>
          <w:bCs/>
          <w:sz w:val="32"/>
          <w:szCs w:val="32"/>
          <w:lang w:val="en-US" w:eastAsia="zh-CN"/>
        </w:rPr>
        <w:t>，当事人于2024年7月2日从奎屯市奎屯方向靚电动自行车销售店购进了1辆九号牌电动自行车，型号为TDP017Z，整车编码：294822419112354，制造商：九号科技有限公司，生产企业地址：常州市新北区兴奔路</w:t>
      </w:r>
      <w:bookmarkStart w:id="3" w:name="_GoBack"/>
      <w:bookmarkEnd w:id="3"/>
      <w:r>
        <w:rPr>
          <w:rFonts w:hint="eastAsia" w:ascii="仿宋" w:hAnsi="仿宋" w:eastAsia="仿宋" w:cs="仿宋"/>
          <w:bCs/>
          <w:sz w:val="32"/>
          <w:szCs w:val="32"/>
          <w:lang w:val="en-US" w:eastAsia="zh-CN"/>
        </w:rPr>
        <w:t>1号，产品合格证编号：A141874TDP017Z500，放在店内给消费者体验试用，购进价格为2300元，当事人购进时索取了供货商的相关资质和进货票据。2024年8月26日，当事人以2300元的价格将上述电动自行车销售给消费者</w:t>
      </w:r>
      <w:r>
        <w:rPr>
          <w:rFonts w:hint="eastAsia" w:ascii="仿宋" w:hAnsi="仿宋" w:eastAsia="仿宋" w:cs="仿宋"/>
          <w:bCs/>
          <w:color w:val="auto"/>
          <w:sz w:val="32"/>
          <w:szCs w:val="32"/>
          <w:lang w:val="en-US" w:eastAsia="zh-CN"/>
        </w:rPr>
        <w:t>梁萍。2024年12月23日，经我局执法人员向梁*（身份证号码：联系电话：）询问调查，证实该车行2024年8月26日销售上述九号牌电动自行车的情况属实，并提供微信转账记录证实销售价格为2300元。因当事人销售的该电动自行车为店内试用体验，且以进货价销售并已召回，故无违法所得。</w:t>
      </w:r>
      <w:r>
        <w:rPr>
          <w:rFonts w:hint="eastAsia" w:ascii="仿宋" w:hAnsi="仿宋" w:eastAsia="仿宋" w:cs="仿宋"/>
          <w:spacing w:val="0"/>
          <w:kern w:val="1"/>
          <w:sz w:val="32"/>
          <w:szCs w:val="32"/>
          <w:highlight w:val="none"/>
          <w:lang w:val="en-US" w:eastAsia="zh-CN"/>
        </w:rPr>
        <w:t>当事人已构成销售不符合国家标准的电动自行车的行为。当事人在现场、调查笔录上签字确认，未提出异议。</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40" w:lineRule="exact"/>
        <w:ind w:left="0" w:right="0" w:rightChars="0" w:firstLine="640" w:firstLineChars="200"/>
        <w:jc w:val="both"/>
        <w:textAlignment w:val="auto"/>
        <w:outlineLvl w:val="9"/>
        <w:rPr>
          <w:rFonts w:hint="eastAsia" w:ascii="仿宋" w:hAnsi="仿宋" w:eastAsia="仿宋" w:cs="仿宋"/>
          <w:b w:val="0"/>
          <w:bCs/>
          <w:color w:val="000000"/>
          <w:spacing w:val="0"/>
          <w:sz w:val="32"/>
          <w:szCs w:val="32"/>
          <w:u w:val="single"/>
          <w:lang w:val="en-US" w:eastAsia="zh-CN"/>
        </w:rPr>
      </w:pPr>
      <w:r>
        <w:rPr>
          <w:rFonts w:hint="eastAsia" w:ascii="仿宋" w:hAnsi="仿宋" w:eastAsia="仿宋" w:cs="仿宋"/>
          <w:b w:val="0"/>
          <w:bCs/>
          <w:color w:val="000000"/>
          <w:spacing w:val="0"/>
          <w:sz w:val="32"/>
          <w:szCs w:val="32"/>
          <w:u w:val="none"/>
          <w:lang w:val="en-US" w:eastAsia="zh-CN"/>
        </w:rPr>
        <w:t>上述事实，主要有以下证据证明：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1、营业执照和身份证复印件各1份，由当事人提供，证明当事人的经营主体资格、经营范围和经营者身份信息；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2、供货商营业执照和进货票据复印件各1份，</w:t>
      </w:r>
      <w:r>
        <w:rPr>
          <w:rFonts w:hint="eastAsia" w:ascii="仿宋" w:hAnsi="仿宋" w:eastAsia="仿宋" w:cs="仿宋"/>
          <w:bCs/>
          <w:sz w:val="32"/>
          <w:szCs w:val="32"/>
          <w:highlight w:val="none"/>
          <w:lang w:val="en-US" w:eastAsia="zh-CN"/>
        </w:rPr>
        <w:t>涉案电动自行车产品合格证1份，</w:t>
      </w:r>
      <w:r>
        <w:rPr>
          <w:rFonts w:hint="eastAsia" w:ascii="仿宋" w:hAnsi="仿宋" w:eastAsia="仿宋" w:cs="仿宋"/>
          <w:bCs/>
          <w:sz w:val="32"/>
          <w:szCs w:val="32"/>
          <w:lang w:val="en-US" w:eastAsia="zh-CN"/>
        </w:rPr>
        <w:t>由当事人提供</w:t>
      </w:r>
      <w:r>
        <w:rPr>
          <w:rFonts w:hint="eastAsia" w:ascii="仿宋" w:hAnsi="仿宋" w:eastAsia="仿宋" w:cs="仿宋"/>
          <w:bCs/>
          <w:sz w:val="32"/>
          <w:szCs w:val="32"/>
          <w:highlight w:val="none"/>
          <w:lang w:val="en-US" w:eastAsia="zh-CN"/>
        </w:rPr>
        <w:t>，证明当事人购进涉案电动自行车的</w:t>
      </w:r>
      <w:r>
        <w:rPr>
          <w:rFonts w:hint="eastAsia" w:ascii="仿宋" w:hAnsi="仿宋" w:eastAsia="仿宋" w:cs="仿宋"/>
          <w:bCs/>
          <w:sz w:val="32"/>
          <w:szCs w:val="32"/>
          <w:lang w:val="en-US" w:eastAsia="zh-CN"/>
        </w:rPr>
        <w:t>来源</w:t>
      </w:r>
      <w:r>
        <w:rPr>
          <w:rFonts w:hint="eastAsia" w:ascii="仿宋" w:hAnsi="仿宋" w:eastAsia="仿宋" w:cs="仿宋"/>
          <w:bCs/>
          <w:sz w:val="32"/>
          <w:szCs w:val="32"/>
          <w:highlight w:val="none"/>
          <w:lang w:val="en-US" w:eastAsia="zh-CN"/>
        </w:rPr>
        <w:t>、数量、型号、价格的事实</w:t>
      </w:r>
      <w:r>
        <w:rPr>
          <w:rFonts w:hint="eastAsia" w:ascii="仿宋" w:hAnsi="仿宋" w:eastAsia="仿宋" w:cs="仿宋"/>
          <w:bCs/>
          <w:sz w:val="32"/>
          <w:szCs w:val="32"/>
          <w:lang w:val="en-US" w:eastAsia="zh-CN"/>
        </w:rPr>
        <w:t>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3、当事人和消费者提供的微信转账记录复印件2份，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jc w:val="both"/>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证明当事人销售不符合国家标准的九号牌电动自行车的销售价格；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4、现场笔录1份，证明2024年11月28日执法人员现场对当事人召回的2024年8月26日销售不符合国家标准电动自行车进行称重的事实及实施扣押行政强制措施的情况；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5、询问笔录2份，笔录（1）证明当事人销售不符合国家标准的电动自行车的事实，以及进货数量、价格、销售数量及销售价格；笔录（2）证明消费者梁萍向当事人购买涉案电动自行车的事实及购买价格；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6、现场拍摄照片</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sz w:val="32"/>
          <w:szCs w:val="32"/>
          <w:lang w:val="en-US" w:eastAsia="zh-CN"/>
        </w:rPr>
        <w:t xml:space="preserve">张、音像视频资料1份，证明执法人员现场对当事人召回的九号牌电动自行车进行现场称重的事实；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sz w:val="32"/>
          <w:szCs w:val="32"/>
          <w:highlight w:val="none"/>
          <w:lang w:val="en-US" w:eastAsia="zh-CN"/>
        </w:rPr>
        <w:t>7、自治区</w:t>
      </w:r>
      <w:r>
        <w:rPr>
          <w:rFonts w:hint="eastAsia" w:ascii="仿宋" w:hAnsi="仿宋" w:eastAsia="仿宋" w:cs="仿宋"/>
          <w:bCs/>
          <w:color w:val="auto"/>
          <w:sz w:val="32"/>
          <w:szCs w:val="32"/>
          <w:lang w:val="en-US" w:eastAsia="zh-CN"/>
        </w:rPr>
        <w:t>市场监管系统电动自行车安全隐患全链条整治线索移交单复印件1份，证明当事人销售不符合国家标准电动自行车的事实及案件来源；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8、收款人马**户口登记卡复印件1份，证明收款人与当事人为夫妻关系；</w:t>
      </w:r>
    </w:p>
    <w:p>
      <w:pPr>
        <w:keepNext w:val="0"/>
        <w:keepLines w:val="0"/>
        <w:pageBreakBefore w:val="0"/>
        <w:widowControl w:val="0"/>
        <w:tabs>
          <w:tab w:val="left" w:pos="838"/>
        </w:tabs>
        <w:kinsoku/>
        <w:wordWrap/>
        <w:overflowPunct/>
        <w:topLinePunct w:val="0"/>
        <w:bidi w:val="0"/>
        <w:adjustRightInd w:val="0"/>
        <w:snapToGrid/>
        <w:spacing w:line="540" w:lineRule="exact"/>
        <w:ind w:left="0" w:firstLine="640" w:firstLineChars="200"/>
        <w:jc w:val="both"/>
        <w:textAlignment w:val="baseline"/>
        <w:rPr>
          <w:rFonts w:hint="eastAsia" w:ascii="仿宋" w:hAnsi="仿宋" w:eastAsia="仿宋" w:cs="仿宋"/>
          <w:b/>
          <w:bCs w:val="0"/>
          <w:i w:val="0"/>
          <w:iCs w:val="0"/>
          <w:color w:val="000000"/>
          <w:spacing w:val="0"/>
          <w:sz w:val="32"/>
          <w:szCs w:val="32"/>
          <w:u w:val="none"/>
          <w:lang w:val="en-US" w:eastAsia="zh-CN"/>
        </w:rPr>
      </w:pPr>
      <w:r>
        <w:rPr>
          <w:rFonts w:hint="eastAsia" w:ascii="仿宋" w:hAnsi="仿宋" w:eastAsia="仿宋" w:cs="仿宋"/>
          <w:bCs/>
          <w:sz w:val="32"/>
          <w:szCs w:val="32"/>
          <w:highlight w:val="none"/>
          <w:lang w:val="en-US" w:eastAsia="zh-CN"/>
        </w:rPr>
        <w:t>9、《电动自行车安全技术规范》(GB17761-2018）复印件1份，证明判定当事人销售的涉案电动自行车不符合标准的依据。</w:t>
      </w:r>
      <w:r>
        <w:rPr>
          <w:rFonts w:hint="eastAsia" w:ascii="仿宋" w:hAnsi="仿宋" w:eastAsia="仿宋" w:cs="仿宋"/>
          <w:b/>
          <w:bCs w:val="0"/>
          <w:i w:val="0"/>
          <w:iCs w:val="0"/>
          <w:color w:val="000000"/>
          <w:spacing w:val="0"/>
          <w:sz w:val="32"/>
          <w:szCs w:val="32"/>
          <w:u w:val="none"/>
          <w:lang w:val="en-US" w:eastAsia="zh-CN"/>
        </w:rPr>
        <w:t xml:space="preserve"> </w:t>
      </w:r>
    </w:p>
    <w:p>
      <w:pPr>
        <w:keepNext w:val="0"/>
        <w:keepLines w:val="0"/>
        <w:pageBreakBefore w:val="0"/>
        <w:widowControl w:val="0"/>
        <w:tabs>
          <w:tab w:val="left" w:pos="838"/>
        </w:tabs>
        <w:kinsoku/>
        <w:wordWrap/>
        <w:overflowPunct/>
        <w:topLinePunct w:val="0"/>
        <w:bidi w:val="0"/>
        <w:adjustRightInd w:val="0"/>
        <w:snapToGrid/>
        <w:spacing w:line="540" w:lineRule="exact"/>
        <w:ind w:left="0" w:firstLine="640" w:firstLineChars="200"/>
        <w:jc w:val="both"/>
        <w:textAlignment w:val="baseline"/>
        <w:rPr>
          <w:rFonts w:hint="eastAsia" w:ascii="仿宋" w:hAnsi="仿宋" w:eastAsia="仿宋" w:cs="仿宋"/>
          <w:b/>
          <w:bCs w:val="0"/>
          <w:i w:val="0"/>
          <w:iCs w:val="0"/>
          <w:color w:val="000000"/>
          <w:spacing w:val="0"/>
          <w:sz w:val="32"/>
          <w:szCs w:val="32"/>
          <w:u w:val="none"/>
          <w:lang w:val="en-US" w:eastAsia="zh-CN"/>
        </w:rPr>
      </w:pPr>
      <w:r>
        <w:rPr>
          <w:rFonts w:hint="eastAsia" w:ascii="仿宋" w:hAnsi="仿宋" w:eastAsia="仿宋" w:cs="仿宋"/>
          <w:kern w:val="0"/>
          <w:sz w:val="32"/>
          <w:szCs w:val="32"/>
        </w:rPr>
        <w:t>我局于202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lang w:val="en-US" w:eastAsia="zh-CN"/>
        </w:rPr>
        <w:t>13</w:t>
      </w:r>
      <w:r>
        <w:rPr>
          <w:rFonts w:hint="eastAsia" w:ascii="仿宋" w:hAnsi="仿宋" w:eastAsia="仿宋" w:cs="仿宋"/>
          <w:kern w:val="0"/>
          <w:sz w:val="32"/>
          <w:szCs w:val="32"/>
          <w:highlight w:val="none"/>
        </w:rPr>
        <w:t>日</w:t>
      </w:r>
      <w:r>
        <w:rPr>
          <w:rFonts w:hint="eastAsia" w:ascii="仿宋" w:hAnsi="仿宋" w:eastAsia="仿宋" w:cs="仿宋"/>
          <w:kern w:val="0"/>
          <w:sz w:val="32"/>
          <w:szCs w:val="32"/>
        </w:rPr>
        <w:t>依法向当事人送达了《行政处罚告知书》（乌市监罚告〔202</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16</w:t>
      </w:r>
      <w:r>
        <w:rPr>
          <w:rFonts w:hint="eastAsia" w:ascii="仿宋" w:hAnsi="仿宋" w:eastAsia="仿宋" w:cs="仿宋"/>
          <w:kern w:val="0"/>
          <w:sz w:val="32"/>
          <w:szCs w:val="32"/>
          <w:highlight w:val="none"/>
        </w:rPr>
        <w:t>号</w:t>
      </w:r>
      <w:r>
        <w:rPr>
          <w:rFonts w:hint="eastAsia" w:ascii="仿宋" w:hAnsi="仿宋" w:eastAsia="仿宋" w:cs="仿宋"/>
          <w:kern w:val="0"/>
          <w:sz w:val="32"/>
          <w:szCs w:val="32"/>
        </w:rPr>
        <w:t>），告知了当事人依法享有陈述、申辩的权利，当事人在法定期限内未提出陈述、申辩，视为放弃此权利。</w:t>
      </w:r>
    </w:p>
    <w:p>
      <w:pPr>
        <w:keepNext w:val="0"/>
        <w:keepLines w:val="0"/>
        <w:pageBreakBefore w:val="0"/>
        <w:widowControl w:val="0"/>
        <w:kinsoku/>
        <w:wordWrap/>
        <w:overflowPunct/>
        <w:topLinePunct w:val="0"/>
        <w:bidi w:val="0"/>
        <w:adjustRightInd w:val="0"/>
        <w:snapToGrid/>
        <w:spacing w:line="540" w:lineRule="exact"/>
        <w:ind w:left="0" w:firstLine="640" w:firstLineChars="200"/>
        <w:jc w:val="both"/>
        <w:textAlignment w:val="baseline"/>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当事人的上述行为违反了《中华人民共和国产品质量法》第十三条第二款：“禁止生产、销售不符合保障人体健康和人身、财产安全的标准和要求的工业产品。具体管理办法由国务院规定。”的规定，属违法经营行为。</w:t>
      </w:r>
      <w:r>
        <w:rPr>
          <w:rFonts w:hint="eastAsia" w:ascii="仿宋" w:hAnsi="仿宋" w:eastAsia="仿宋" w:cs="仿宋"/>
          <w:sz w:val="32"/>
          <w:szCs w:val="32"/>
        </w:rPr>
        <w:t xml:space="preserve">                                      </w:t>
      </w:r>
      <w:r>
        <w:rPr>
          <w:rFonts w:hint="eastAsia" w:ascii="仿宋" w:hAnsi="仿宋" w:eastAsia="仿宋" w:cs="仿宋"/>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鉴于当事人系初次违法，态度端正，积极配合案件调查，如实陈述违法事实并主动提供证据材料，承诺今后守法经营，主动对涉案电动自行车进行召回，其违法行为未造成社会危害后果。当事人的上述情况符合《新疆维吾尔自治区  新疆生产建设兵团市场监督管理行政处罚裁量权适用规定》第十七条第二项、第三项：“有下列情形之一的，可以依法从轻或者减轻行政处罚：（二）积极配合市场监管部门调查主动提供证据材料的；（三）违法行为轻微，社会危害性较小的；”</w:t>
      </w:r>
      <w:r>
        <w:rPr>
          <w:rFonts w:hint="eastAsia" w:ascii="仿宋" w:hAnsi="仿宋" w:eastAsia="仿宋" w:cs="仿宋"/>
          <w:bCs/>
          <w:color w:val="auto"/>
          <w:sz w:val="32"/>
          <w:szCs w:val="32"/>
          <w:lang w:val="en-US" w:eastAsia="zh-CN"/>
        </w:rPr>
        <w:t>的规定，参照《新疆维吾尔自治区  新疆生产建设兵团市场监督管理行政处罚裁量基准（2024年版）》第五章产品质量、生产许可监督管理第一节《中华人民共和国产品质量法》“序号1；违法行为：生产、销售不符合保障人体健康和人身、财产安全的国家标准、行业标准的产品的行为。法律依据：《中华人民共和国产品质量法》第四十九条；违法情节：有下列情形之一的：（1）产品尚未销售或已主动召回、追回售出的全部产品的；（2）销售者履行了进货检查验收义务且有充分证据证明其不知道该产品为禁止销售的产品并如实说明其进货来源的；（3）有其他从轻情形的。裁量基准：（1）责令停止生产、销售；（2）没收违法生产、销售的产品；（3）并处违法生产、销售产品货值金额等值以上 1.6 倍以下的罚款；（4）有违法所得的，并处没收违法所得。”</w:t>
      </w:r>
      <w:r>
        <w:rPr>
          <w:rFonts w:hint="eastAsia" w:ascii="仿宋" w:hAnsi="仿宋" w:eastAsia="仿宋" w:cs="仿宋"/>
          <w:bCs/>
          <w:sz w:val="32"/>
          <w:szCs w:val="32"/>
          <w:lang w:val="en-US" w:eastAsia="zh-CN"/>
        </w:rPr>
        <w:t>所规定的情形，综合考虑个案情况、当事人主观情况等相关因素，决定给予当事人从轻行政处罚。</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 w:hAnsi="仿宋" w:eastAsia="仿宋" w:cs="仿宋"/>
          <w:bCs/>
          <w:sz w:val="32"/>
          <w:szCs w:val="32"/>
          <w:highlight w:val="yellow"/>
          <w:lang w:val="en-US" w:eastAsia="zh-CN"/>
        </w:rPr>
      </w:pPr>
      <w:r>
        <w:rPr>
          <w:rFonts w:hint="eastAsia" w:ascii="仿宋" w:hAnsi="仿宋" w:eastAsia="仿宋" w:cs="仿宋"/>
          <w:bCs/>
          <w:sz w:val="32"/>
          <w:szCs w:val="32"/>
          <w:lang w:val="en-US" w:eastAsia="zh-CN"/>
        </w:rPr>
        <w:t>依据《中华人民共和国产品质量法》第四十九条：“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eastAsia" w:ascii="仿宋" w:hAnsi="仿宋" w:eastAsia="仿宋" w:cs="仿宋"/>
          <w:bCs/>
          <w:sz w:val="32"/>
          <w:szCs w:val="32"/>
          <w:highlight w:val="none"/>
          <w:lang w:val="en-US" w:eastAsia="zh-CN"/>
        </w:rPr>
        <w:t>的规定，</w:t>
      </w:r>
      <w:r>
        <w:rPr>
          <w:rFonts w:hint="eastAsia" w:ascii="仿宋" w:hAnsi="仿宋" w:eastAsia="仿宋" w:cs="仿宋"/>
          <w:bCs/>
          <w:sz w:val="32"/>
          <w:szCs w:val="32"/>
          <w:lang w:val="en-US" w:eastAsia="zh-CN"/>
        </w:rPr>
        <w:t>责令当事人改正违法经营行为，决定对当事人处罚如下：</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一、责令停止销售不符合国家标准的电动自行车；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二、没收违法销售不符合国家标准的</w:t>
      </w:r>
      <w:r>
        <w:rPr>
          <w:rFonts w:hint="eastAsia" w:ascii="仿宋" w:hAnsi="仿宋" w:eastAsia="仿宋" w:cs="仿宋"/>
          <w:b w:val="0"/>
          <w:bCs w:val="0"/>
          <w:color w:val="000000"/>
          <w:sz w:val="32"/>
          <w:szCs w:val="32"/>
          <w:highlight w:val="none"/>
          <w:u w:val="none"/>
          <w:lang w:eastAsia="zh-CN"/>
        </w:rPr>
        <w:t>九号牌电动自行车</w:t>
      </w:r>
      <w:r>
        <w:rPr>
          <w:rFonts w:hint="eastAsia" w:ascii="仿宋" w:hAnsi="仿宋" w:eastAsia="仿宋" w:cs="仿宋"/>
          <w:bCs/>
          <w:sz w:val="32"/>
          <w:szCs w:val="32"/>
          <w:lang w:val="en-US" w:eastAsia="zh-CN"/>
        </w:rPr>
        <w:t>型号为TDP017Z（</w:t>
      </w:r>
      <w:r>
        <w:rPr>
          <w:rFonts w:hint="eastAsia" w:ascii="仿宋" w:hAnsi="仿宋" w:eastAsia="仿宋" w:cs="仿宋"/>
          <w:kern w:val="1"/>
          <w:sz w:val="32"/>
          <w:szCs w:val="32"/>
          <w:u w:val="none"/>
          <w:lang w:val="en-US" w:eastAsia="zh-CN"/>
        </w:rPr>
        <w:t>整车编码：</w:t>
      </w:r>
      <w:r>
        <w:rPr>
          <w:rFonts w:hint="eastAsia" w:ascii="仿宋" w:hAnsi="仿宋" w:eastAsia="仿宋" w:cs="仿宋"/>
          <w:bCs/>
          <w:sz w:val="32"/>
          <w:szCs w:val="32"/>
          <w:lang w:val="en-US" w:eastAsia="zh-CN"/>
        </w:rPr>
        <w:t>294822419112354）1辆；</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三、处该批不符合国家标准电动自行车货值金额2300元</w:t>
      </w:r>
      <w:r>
        <w:rPr>
          <w:rFonts w:hint="eastAsia" w:ascii="仿宋" w:hAnsi="仿宋" w:eastAsia="仿宋" w:cs="仿宋"/>
          <w:bCs/>
          <w:sz w:val="32"/>
          <w:szCs w:val="32"/>
          <w:u w:val="none"/>
          <w:lang w:val="en-US" w:eastAsia="zh-CN"/>
        </w:rPr>
        <w:t>1</w:t>
      </w:r>
      <w:r>
        <w:rPr>
          <w:rFonts w:hint="eastAsia" w:ascii="仿宋" w:hAnsi="仿宋" w:eastAsia="仿宋" w:cs="仿宋"/>
          <w:bCs/>
          <w:sz w:val="32"/>
          <w:szCs w:val="32"/>
          <w:lang w:val="en-US" w:eastAsia="zh-CN"/>
        </w:rPr>
        <w:t xml:space="preserve">倍的罚款2300元。 </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sz w:val="32"/>
          <w:lang w:eastAsia="zh-CN"/>
        </w:rPr>
      </w:pPr>
      <w:r>
        <w:rPr>
          <w:rFonts w:hint="eastAsia" w:ascii="仿宋" w:hAnsi="仿宋" w:eastAsia="仿宋" w:cs="仿宋"/>
          <w:sz w:val="32"/>
          <w:szCs w:val="32"/>
        </w:rPr>
        <w:t>如不服本行政处罚决定，可以在收到本行政处罚决定书之日起六十日内向</w:t>
      </w:r>
      <w:r>
        <w:rPr>
          <w:rFonts w:hint="eastAsia" w:ascii="仿宋" w:hAnsi="仿宋" w:eastAsia="仿宋" w:cs="仿宋"/>
          <w:sz w:val="32"/>
          <w:szCs w:val="32"/>
          <w:lang w:val="en-US" w:eastAsia="zh-CN"/>
        </w:rPr>
        <w:t>乌苏市人民政府（地址：乌苏市新市区长江路139号财政大楼三楼行政复议办公室）</w:t>
      </w:r>
      <w:r>
        <w:rPr>
          <w:rFonts w:hint="eastAsia" w:ascii="仿宋" w:hAnsi="仿宋" w:eastAsia="仿宋" w:cs="仿宋"/>
          <w:sz w:val="32"/>
          <w:szCs w:val="32"/>
        </w:rPr>
        <w:t>申请行政复议</w:t>
      </w:r>
      <w:r>
        <w:rPr>
          <w:rFonts w:hint="eastAsia" w:ascii="仿宋" w:hAnsi="仿宋" w:eastAsia="仿宋" w:cs="仿宋"/>
          <w:sz w:val="32"/>
          <w:szCs w:val="32"/>
          <w:lang w:eastAsia="zh-CN"/>
        </w:rPr>
        <w:t>；</w:t>
      </w:r>
      <w:r>
        <w:rPr>
          <w:rFonts w:hint="eastAsia" w:ascii="仿宋" w:hAnsi="仿宋" w:eastAsia="仿宋" w:cs="仿宋"/>
          <w:sz w:val="32"/>
          <w:szCs w:val="32"/>
        </w:rPr>
        <w:t>也可以在六个月内依法向</w:t>
      </w:r>
      <w:r>
        <w:rPr>
          <w:rFonts w:hint="eastAsia" w:ascii="仿宋" w:hAnsi="仿宋" w:eastAsia="仿宋" w:cs="仿宋"/>
          <w:sz w:val="32"/>
          <w:szCs w:val="32"/>
          <w:lang w:val="en-US" w:eastAsia="zh-CN"/>
        </w:rPr>
        <w:t>乌苏市</w:t>
      </w:r>
      <w:r>
        <w:rPr>
          <w:rFonts w:hint="eastAsia" w:ascii="仿宋" w:hAnsi="仿宋" w:eastAsia="仿宋" w:cs="仿宋"/>
          <w:sz w:val="32"/>
          <w:szCs w:val="32"/>
        </w:rPr>
        <w:t>人民法院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地址：乌苏市新市区长江路140号</w:t>
      </w:r>
      <w:r>
        <w:rPr>
          <w:rFonts w:hint="eastAsia" w:ascii="仿宋" w:hAnsi="仿宋" w:eastAsia="仿宋" w:cs="仿宋"/>
          <w:sz w:val="32"/>
          <w:szCs w:val="32"/>
          <w:lang w:eastAsia="zh-CN"/>
        </w:rPr>
        <w:t>）</w:t>
      </w:r>
      <w:r>
        <w:rPr>
          <w:rFonts w:hint="eastAsia" w:ascii="仿宋" w:hAnsi="仿宋" w:eastAsia="仿宋" w:cs="仿宋"/>
          <w:sz w:val="32"/>
          <w:szCs w:val="32"/>
        </w:rPr>
        <w:t>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lang w:eastAsia="zh-CN"/>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lang w:eastAsia="zh-CN"/>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lang w:eastAsia="zh-CN"/>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lang w:eastAsia="zh-CN"/>
        </w:rPr>
      </w:pPr>
    </w:p>
    <w:p>
      <w:pPr>
        <w:keepNext w:val="0"/>
        <w:keepLines w:val="0"/>
        <w:pageBreakBefore w:val="0"/>
        <w:widowControl w:val="0"/>
        <w:kinsoku/>
        <w:wordWrap w:val="0"/>
        <w:overflowPunct/>
        <w:topLinePunct w:val="0"/>
        <w:autoSpaceDE/>
        <w:autoSpaceDN/>
        <w:bidi w:val="0"/>
        <w:adjustRightInd/>
        <w:snapToGrid/>
        <w:spacing w:line="540" w:lineRule="exact"/>
        <w:ind w:left="0" w:firstLine="4200" w:firstLineChars="14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乌苏市市场监督管理局       </w:t>
      </w:r>
    </w:p>
    <w:p>
      <w:pPr>
        <w:keepNext w:val="0"/>
        <w:keepLines w:val="0"/>
        <w:pageBreakBefore w:val="0"/>
        <w:widowControl w:val="0"/>
        <w:kinsoku/>
        <w:wordWrap w:val="0"/>
        <w:overflowPunct/>
        <w:topLinePunct w:val="0"/>
        <w:autoSpaceDE/>
        <w:autoSpaceDN/>
        <w:bidi w:val="0"/>
        <w:adjustRightInd/>
        <w:snapToGrid/>
        <w:spacing w:line="540" w:lineRule="exact"/>
        <w:ind w:left="0"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 xml:space="preserve">                          2025</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lang w:eastAsia="zh-CN"/>
        </w:rPr>
        <w:t>日</w:t>
      </w: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黑体" w:hAnsi="黑体" w:eastAsia="黑体" w:cs="黑体"/>
          <w:sz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center"/>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GI1tTZAAAACQEAAA8AAAAAAAAAAQAgAAAAIgAAAGRycy9kb3ducmV2LnhtbFBL&#10;AQIUABQAAAAIAIdO4kBIb0jC9QEAAOcDAAAOAAAAAAAAAAEAIAAAACgBAABkcnMvZTJvRG9jLnht&#10;bFBLBQYAAAAABgAGAFkBAACPBQ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pacing w:line="540" w:lineRule="exact"/>
        <w:ind w:left="0"/>
        <w:jc w:val="center"/>
        <w:textAlignment w:val="auto"/>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LQpb2gAAAAwBAAAPAAAAAAAAAAEAIAAAACIAAABkcnMvZG93bnJldi54&#10;bWxQSwECFAAUAAAACACHTuJARWhFufgBAADnAwAADgAAAAAAAAABACAAAAApAQAAZHJzL2Uyb0Rv&#10;Yy54bWxQSwUGAAAAAAYABgBZAQAAkwU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juprYAAAACgEAAA8AAAAAAAAAAQAgAAAAIgAAAGRycy9kb3ducmV2Lnht&#10;bFBLAQIUABQAAAAIAIdO4kANDGMR+QEAAOcDAAAOAAAAAAAAAAEAIAAAACcBAABkcnMvZTJvRG9j&#10;LnhtbFBLBQYAAAAABgAGAFkBAACSBQ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09F4C1B"/>
    <w:rsid w:val="02B74240"/>
    <w:rsid w:val="079C0384"/>
    <w:rsid w:val="0953428A"/>
    <w:rsid w:val="098C2285"/>
    <w:rsid w:val="100C48AC"/>
    <w:rsid w:val="108C6F6A"/>
    <w:rsid w:val="10CF41FE"/>
    <w:rsid w:val="12575356"/>
    <w:rsid w:val="134C1D6F"/>
    <w:rsid w:val="146C6E3C"/>
    <w:rsid w:val="14A06D86"/>
    <w:rsid w:val="167E321F"/>
    <w:rsid w:val="175E1400"/>
    <w:rsid w:val="19464546"/>
    <w:rsid w:val="194E6691"/>
    <w:rsid w:val="19C8581D"/>
    <w:rsid w:val="19C93BD9"/>
    <w:rsid w:val="1A826533"/>
    <w:rsid w:val="1B5A719C"/>
    <w:rsid w:val="1CCF31FB"/>
    <w:rsid w:val="1ED17950"/>
    <w:rsid w:val="1EE47F71"/>
    <w:rsid w:val="1FA7488F"/>
    <w:rsid w:val="217F0425"/>
    <w:rsid w:val="21815F4B"/>
    <w:rsid w:val="221D1D08"/>
    <w:rsid w:val="2279112C"/>
    <w:rsid w:val="22DB4AB1"/>
    <w:rsid w:val="23A737DF"/>
    <w:rsid w:val="23EF68BC"/>
    <w:rsid w:val="249A1ED8"/>
    <w:rsid w:val="24FF380F"/>
    <w:rsid w:val="25E41347"/>
    <w:rsid w:val="26A3496B"/>
    <w:rsid w:val="27D11B8C"/>
    <w:rsid w:val="27E733C6"/>
    <w:rsid w:val="2AEC6869"/>
    <w:rsid w:val="2AF459E0"/>
    <w:rsid w:val="2B9261AB"/>
    <w:rsid w:val="2C857ECA"/>
    <w:rsid w:val="2D9F43DF"/>
    <w:rsid w:val="2E615930"/>
    <w:rsid w:val="2E8203DE"/>
    <w:rsid w:val="2F8006E2"/>
    <w:rsid w:val="2F890149"/>
    <w:rsid w:val="30DA2D5C"/>
    <w:rsid w:val="313F6598"/>
    <w:rsid w:val="32FB6B8A"/>
    <w:rsid w:val="33556DA9"/>
    <w:rsid w:val="348E3E46"/>
    <w:rsid w:val="35A76E34"/>
    <w:rsid w:val="361971D0"/>
    <w:rsid w:val="38D07A9A"/>
    <w:rsid w:val="38DF3B98"/>
    <w:rsid w:val="3B371D24"/>
    <w:rsid w:val="3D623158"/>
    <w:rsid w:val="3F6413E1"/>
    <w:rsid w:val="406475D5"/>
    <w:rsid w:val="414B4967"/>
    <w:rsid w:val="41894C7C"/>
    <w:rsid w:val="41C60AF2"/>
    <w:rsid w:val="42562163"/>
    <w:rsid w:val="425F0D40"/>
    <w:rsid w:val="435439A2"/>
    <w:rsid w:val="45056264"/>
    <w:rsid w:val="4508505B"/>
    <w:rsid w:val="466E61EE"/>
    <w:rsid w:val="47FF5BD6"/>
    <w:rsid w:val="48D73E04"/>
    <w:rsid w:val="49D21792"/>
    <w:rsid w:val="4C1C6B6C"/>
    <w:rsid w:val="4C9618B6"/>
    <w:rsid w:val="4DF67F17"/>
    <w:rsid w:val="4E3A01FD"/>
    <w:rsid w:val="4E596E78"/>
    <w:rsid w:val="4FE428F7"/>
    <w:rsid w:val="50345982"/>
    <w:rsid w:val="50613AE5"/>
    <w:rsid w:val="50994837"/>
    <w:rsid w:val="50D20EE7"/>
    <w:rsid w:val="526D1A50"/>
    <w:rsid w:val="536A7240"/>
    <w:rsid w:val="553C65F0"/>
    <w:rsid w:val="55441DF0"/>
    <w:rsid w:val="58836646"/>
    <w:rsid w:val="59440C82"/>
    <w:rsid w:val="5ACE0119"/>
    <w:rsid w:val="5B5F3928"/>
    <w:rsid w:val="5CBE30C2"/>
    <w:rsid w:val="5D401A22"/>
    <w:rsid w:val="5E4F138D"/>
    <w:rsid w:val="5FA349A9"/>
    <w:rsid w:val="611B3E90"/>
    <w:rsid w:val="62154A5E"/>
    <w:rsid w:val="640677B3"/>
    <w:rsid w:val="66B50C27"/>
    <w:rsid w:val="67227A2D"/>
    <w:rsid w:val="6AA877EA"/>
    <w:rsid w:val="6BFC15B7"/>
    <w:rsid w:val="6C941AA7"/>
    <w:rsid w:val="6D373C2D"/>
    <w:rsid w:val="6D681AB1"/>
    <w:rsid w:val="6DC73E14"/>
    <w:rsid w:val="6DD83B98"/>
    <w:rsid w:val="6F245507"/>
    <w:rsid w:val="70952446"/>
    <w:rsid w:val="709906C0"/>
    <w:rsid w:val="72217DBF"/>
    <w:rsid w:val="738833AE"/>
    <w:rsid w:val="73F3249F"/>
    <w:rsid w:val="74424693"/>
    <w:rsid w:val="74BD4884"/>
    <w:rsid w:val="76B864E6"/>
    <w:rsid w:val="76E01C9C"/>
    <w:rsid w:val="775A1CF3"/>
    <w:rsid w:val="78EE0B1F"/>
    <w:rsid w:val="79456D75"/>
    <w:rsid w:val="79E77FA9"/>
    <w:rsid w:val="7CA86922"/>
    <w:rsid w:val="7CBB3595"/>
    <w:rsid w:val="7DBA6AEF"/>
    <w:rsid w:val="7E17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customStyle="1" w:styleId="5">
    <w:name w:val="Other|1"/>
    <w:basedOn w:val="1"/>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2947</Words>
  <Characters>3290</Characters>
  <Lines>0</Lines>
  <Paragraphs>0</Paragraphs>
  <TotalTime>23</TotalTime>
  <ScaleCrop>false</ScaleCrop>
  <LinksUpToDate>false</LinksUpToDate>
  <CharactersWithSpaces>3790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2025-01-27T02:54:00Z</cp:lastPrinted>
  <dcterms:modified xsi:type="dcterms:W3CDTF">2025-02-25T03:51:01Z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