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560" w:lineRule="exact"/>
        <w:ind w:left="0" w:leftChars="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adjustRightInd/>
        <w:spacing w:line="560" w:lineRule="exact"/>
        <w:ind w:left="0" w:leftChars="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adjustRightInd/>
        <w:snapToGrid w:val="0"/>
        <w:spacing w:line="560" w:lineRule="exact"/>
        <w:ind w:left="0" w:leftChars="0" w:right="0"/>
        <w:jc w:val="center"/>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28</w:t>
      </w:r>
      <w:r>
        <w:rPr>
          <w:rFonts w:hint="eastAsia" w:ascii="仿宋_GB2312" w:hAnsi="仿宋_GB2312" w:eastAsia="仿宋_GB2312" w:cs="仿宋_GB2312"/>
          <w:bCs/>
          <w:color w:val="000000"/>
          <w:sz w:val="32"/>
          <w:szCs w:val="32"/>
          <w:u w:val="none"/>
        </w:rPr>
        <w:t>号</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adjustRightInd/>
        <w:spacing w:line="560" w:lineRule="exact"/>
        <w:ind w:left="0" w:leftChars="0" w:right="0" w:hanging="140"/>
        <w:jc w:val="both"/>
        <w:textAlignment w:val="auto"/>
        <w:rPr>
          <w:rFonts w:hint="eastAsia" w:ascii="Times New Roman" w:hAnsi="Times New Roman" w:eastAsia="仿宋_GB2312" w:cs="Mongolian Baiti"/>
          <w:bCs/>
          <w:kern w:val="1"/>
          <w:sz w:val="32"/>
          <w:szCs w:val="32"/>
        </w:rPr>
      </w:pPr>
    </w:p>
    <w:p>
      <w:pPr>
        <w:keepNext w:val="0"/>
        <w:keepLines w:val="0"/>
        <w:pageBreakBefore w:val="0"/>
        <w:kinsoku/>
        <w:wordWrap/>
        <w:overflowPunct/>
        <w:topLinePunct w:val="0"/>
        <w:bidi w:val="0"/>
        <w:adjustRightInd/>
        <w:spacing w:line="560" w:lineRule="exact"/>
        <w:ind w:left="0" w:leftChars="0" w:right="0" w:hanging="1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z w:val="32"/>
          <w:szCs w:val="32"/>
          <w:lang w:val="en-US" w:eastAsia="zh-CN"/>
        </w:rPr>
        <w:t>乌苏市新棉红星棉业有限责任公司</w:t>
      </w:r>
    </w:p>
    <w:p>
      <w:pPr>
        <w:keepNext w:val="0"/>
        <w:keepLines w:val="0"/>
        <w:pageBreakBefore w:val="0"/>
        <w:kinsoku/>
        <w:wordWrap/>
        <w:overflowPunct/>
        <w:topLinePunct w:val="0"/>
        <w:bidi w:val="0"/>
        <w:adjustRightInd/>
        <w:spacing w:line="560" w:lineRule="exact"/>
        <w:ind w:left="0" w:leftChars="0" w:right="0" w:hanging="14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lang w:eastAsia="zh-CN"/>
        </w:rPr>
        <w:t>《营业执照》</w:t>
      </w:r>
    </w:p>
    <w:p>
      <w:pPr>
        <w:keepNext w:val="0"/>
        <w:keepLines w:val="0"/>
        <w:pageBreakBefore w:val="0"/>
        <w:kinsoku/>
        <w:wordWrap/>
        <w:overflowPunct/>
        <w:topLinePunct w:val="0"/>
        <w:bidi w:val="0"/>
        <w:adjustRightInd/>
        <w:spacing w:line="560" w:lineRule="exact"/>
        <w:ind w:left="0" w:leftChars="0" w:right="0" w:hanging="1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z w:val="32"/>
          <w:szCs w:val="32"/>
          <w:lang w:val="en-US" w:eastAsia="zh-CN"/>
        </w:rPr>
        <w:t>91654202666650579L</w:t>
      </w:r>
    </w:p>
    <w:p>
      <w:pPr>
        <w:keepNext w:val="0"/>
        <w:keepLines w:val="0"/>
        <w:pageBreakBefore w:val="0"/>
        <w:kinsoku/>
        <w:wordWrap/>
        <w:overflowPunct/>
        <w:topLinePunct w:val="0"/>
        <w:bidi w:val="0"/>
        <w:adjustRightInd/>
        <w:spacing w:line="560" w:lineRule="exact"/>
        <w:ind w:left="0" w:leftChars="0" w:right="0" w:hanging="1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sz w:val="32"/>
          <w:szCs w:val="32"/>
          <w:lang w:val="en-US" w:eastAsia="zh-CN"/>
        </w:rPr>
        <w:t>乌苏市哈图布呼镇南昌北路1号</w:t>
      </w:r>
    </w:p>
    <w:p>
      <w:pPr>
        <w:keepNext w:val="0"/>
        <w:keepLines w:val="0"/>
        <w:pageBreakBefore w:val="0"/>
        <w:kinsoku/>
        <w:wordWrap/>
        <w:overflowPunct/>
        <w:topLinePunct w:val="0"/>
        <w:bidi w:val="0"/>
        <w:adjustRightInd/>
        <w:spacing w:line="560" w:lineRule="exact"/>
        <w:ind w:left="0" w:leftChars="0" w:right="0" w:hanging="1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lang w:val="en-US" w:eastAsia="zh-CN"/>
        </w:rPr>
        <w:t>法定代表人</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lang w:val="en-US" w:eastAsia="zh-CN"/>
        </w:rPr>
        <w:t>徐**</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10月24日，乌苏市市场监督管理局执法人员张建辉、崔光对位于新疆塔城地区乌苏市哈图布呼镇南昌北路1号的乌苏市新棉红星棉业有限责任公司开展棉花质量监督检查时，该公司正常进行籽棉收购、加工棉花等工作，该公司法定代表人徐**不在现场，电话委托徐涛全程配合检查，检查时执法人员向徐*出示执法证件后，在徐*配合下，依法对该公司籽棉收购、加工棉花和棉花检验等场所进行检查，在棉检室调取了该公司籽棉收购一试五定检验登记本，发现记录检验数据截止日期为2024年10月22日，在该公司收购系统中10月23日至24日共收购籽棉14车。经执法人员现场检查和徐涛确认，调取了籽棉收购检验单：①单据号：10140011至10140013，姓名：辛**、李**、李**；收购日期：10月14日，各交售1车籽棉，毛衣分均为：41.8，长度级均为：29mm，回潮率均为11.2，含杂率均为10.6%，马克隆值均为4.3；②单据号：10150051,10150052，姓名：邓**、周**；收购日期：10月15日，各交售1车籽棉，毛衣分均为：42.2，长度级均为：29mm，回潮率均为11.0，含杂率均为10.6%，马克隆值均为4.2；③单据号：1024001至1024004，姓名：赛**、张**、岳**；收购日期：10月24日，共交售4车籽棉，岳**交售两车棉花只有一份留样，赛**交售棉花未留样。在该公司试轧间检查发现有棉检员孙*提前准备好的马克隆值样品。以上事实由执法人员现场拍照取证并由徐*在现场检查笔录上签字确认。</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当事人在经营活动中未按照国家标准和技术规范要求收购棉花和未按照国家标准的行为，违反了《棉花质量监督管理条例》第七条第二款的规定。为进一步了解情况，经报局领导批准，于2024年11月11日立案，并指派张建辉</w:t>
      </w:r>
      <w:bookmarkStart w:id="3" w:name="_GoBack"/>
      <w:bookmarkEnd w:id="3"/>
      <w:r>
        <w:rPr>
          <w:rFonts w:hint="eastAsia" w:ascii="仿宋_GB2312" w:hAnsi="仿宋_GB2312" w:eastAsia="仿宋_GB2312" w:cs="仿宋_GB2312"/>
          <w:spacing w:val="6"/>
          <w:sz w:val="32"/>
          <w:szCs w:val="32"/>
          <w:lang w:val="en-US" w:eastAsia="zh-CN"/>
        </w:rPr>
        <w:t>、崔光对此案进行调查了解。本案已于2024年12月26日调查终结。</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6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经查明，乌苏市新棉红星棉业有限责任公司</w:t>
      </w:r>
      <w:r>
        <w:rPr>
          <w:rFonts w:hint="eastAsia" w:ascii="仿宋_GB2312" w:hAnsi="仿宋_GB2312" w:eastAsia="仿宋_GB2312" w:cs="仿宋_GB2312"/>
          <w:spacing w:val="-6"/>
          <w:sz w:val="32"/>
          <w:szCs w:val="32"/>
          <w:u w:val="none"/>
          <w:lang w:val="en-US" w:eastAsia="zh-CN"/>
        </w:rPr>
        <w:t>在籽棉收购过程中，未严格按照国家标准和技术规范确定所收购籽棉的类别、</w:t>
      </w:r>
      <w:r>
        <w:rPr>
          <w:rFonts w:hint="eastAsia" w:ascii="仿宋_GB2312" w:hAnsi="仿宋_GB2312" w:eastAsia="仿宋_GB2312" w:cs="仿宋_GB2312"/>
          <w:sz w:val="32"/>
          <w:szCs w:val="32"/>
          <w:u w:val="none"/>
          <w:lang w:val="en-US" w:eastAsia="zh-CN"/>
        </w:rPr>
        <w:t>等级。对每车籽棉毛衣分、长度级、回潮率、长度、马克隆值未做到批批检验，而是采取</w:t>
      </w:r>
      <w:r>
        <w:rPr>
          <w:rFonts w:hint="eastAsia" w:ascii="仿宋_GB2312" w:hAnsi="仿宋_GB2312" w:eastAsia="仿宋_GB2312" w:cs="仿宋_GB2312"/>
          <w:spacing w:val="-6"/>
          <w:sz w:val="32"/>
          <w:szCs w:val="32"/>
          <w:u w:val="none"/>
          <w:lang w:val="en-US" w:eastAsia="zh-CN"/>
        </w:rPr>
        <w:t>估验所得，截至2024年10月24日我局执法人员现场检查时，</w:t>
      </w:r>
      <w:r>
        <w:rPr>
          <w:rFonts w:hint="eastAsia" w:ascii="仿宋_GB2312" w:hAnsi="仿宋_GB2312" w:eastAsia="仿宋_GB2312" w:cs="仿宋_GB2312"/>
          <w:spacing w:val="6"/>
          <w:sz w:val="32"/>
          <w:szCs w:val="32"/>
          <w:lang w:val="en-US" w:eastAsia="zh-CN"/>
        </w:rPr>
        <w:t>该公司一试五定籽棉检验登记表中记录检验数据截止日期为2024年10月22日，</w:t>
      </w:r>
      <w:r>
        <w:rPr>
          <w:rFonts w:hint="eastAsia" w:ascii="仿宋_GB2312" w:hAnsi="仿宋_GB2312" w:eastAsia="仿宋_GB2312" w:cs="仿宋_GB2312"/>
          <w:spacing w:val="-6"/>
          <w:sz w:val="32"/>
          <w:szCs w:val="32"/>
          <w:u w:val="none"/>
          <w:lang w:val="en-US" w:eastAsia="zh-CN"/>
        </w:rPr>
        <w:t>该公司</w:t>
      </w:r>
      <w:r>
        <w:rPr>
          <w:rFonts w:hint="eastAsia" w:ascii="仿宋_GB2312" w:hAnsi="仿宋_GB2312" w:eastAsia="仿宋_GB2312" w:cs="仿宋_GB2312"/>
          <w:spacing w:val="6"/>
          <w:sz w:val="32"/>
          <w:szCs w:val="32"/>
          <w:lang w:val="en-US" w:eastAsia="zh-CN"/>
        </w:rPr>
        <w:t>单据号：10140011、1014012和10140013</w:t>
      </w:r>
      <w:r>
        <w:rPr>
          <w:rFonts w:hint="eastAsia" w:ascii="仿宋_GB2312" w:hAnsi="仿宋_GB2312" w:eastAsia="仿宋_GB2312" w:cs="仿宋_GB2312"/>
          <w:sz w:val="32"/>
          <w:szCs w:val="32"/>
          <w:u w:val="none"/>
          <w:lang w:val="en-US" w:eastAsia="zh-CN"/>
        </w:rPr>
        <w:t>毛衣分、长度级、回潮率、含杂率、马克隆值均一致；</w:t>
      </w:r>
      <w:r>
        <w:rPr>
          <w:rFonts w:hint="eastAsia" w:ascii="仿宋_GB2312" w:hAnsi="仿宋_GB2312" w:eastAsia="仿宋_GB2312" w:cs="仿宋_GB2312"/>
          <w:spacing w:val="6"/>
          <w:sz w:val="32"/>
          <w:szCs w:val="32"/>
          <w:lang w:val="en-US" w:eastAsia="zh-CN"/>
        </w:rPr>
        <w:t>单据号：10150051,10150052，</w:t>
      </w:r>
      <w:r>
        <w:rPr>
          <w:rFonts w:hint="eastAsia" w:ascii="仿宋_GB2312" w:hAnsi="仿宋_GB2312" w:eastAsia="仿宋_GB2312" w:cs="仿宋_GB2312"/>
          <w:sz w:val="32"/>
          <w:szCs w:val="32"/>
          <w:u w:val="none"/>
          <w:lang w:val="en-US" w:eastAsia="zh-CN"/>
        </w:rPr>
        <w:t>毛衣分、长度级、回潮率、含杂率、马克隆值均一致；</w:t>
      </w:r>
      <w:r>
        <w:rPr>
          <w:rFonts w:hint="eastAsia" w:ascii="仿宋_GB2312" w:hAnsi="仿宋_GB2312" w:eastAsia="仿宋_GB2312" w:cs="仿宋_GB2312"/>
          <w:spacing w:val="6"/>
          <w:sz w:val="32"/>
          <w:szCs w:val="32"/>
          <w:lang w:val="en-US" w:eastAsia="zh-CN"/>
        </w:rPr>
        <w:t>单据号：1024001、1024002、1024004籽棉未留样，并在该公司试轧间发现提前准备好的马克隆值样品</w:t>
      </w:r>
      <w:r>
        <w:rPr>
          <w:rFonts w:hint="eastAsia" w:ascii="仿宋_GB2312" w:hAnsi="仿宋_GB2312" w:eastAsia="仿宋_GB2312" w:cs="仿宋_GB2312"/>
          <w:sz w:val="32"/>
          <w:szCs w:val="32"/>
          <w:u w:val="none"/>
          <w:lang w:val="en-US" w:eastAsia="zh-CN"/>
        </w:rPr>
        <w:t>。当事人已构成</w:t>
      </w:r>
      <w:r>
        <w:rPr>
          <w:rFonts w:hint="eastAsia" w:ascii="仿宋_GB2312" w:hAnsi="仿宋_GB2312" w:eastAsia="仿宋_GB2312" w:cs="仿宋_GB2312"/>
          <w:sz w:val="32"/>
          <w:szCs w:val="32"/>
          <w:lang w:val="en-US" w:eastAsia="zh-CN"/>
        </w:rPr>
        <w:t>未按照国家标准和技术规范要</w:t>
      </w:r>
      <w:r>
        <w:rPr>
          <w:rFonts w:hint="eastAsia" w:ascii="仿宋_GB2312" w:hAnsi="仿宋_GB2312" w:eastAsia="仿宋_GB2312" w:cs="仿宋_GB2312"/>
          <w:spacing w:val="6"/>
          <w:sz w:val="32"/>
          <w:szCs w:val="32"/>
          <w:lang w:val="en-US" w:eastAsia="zh-CN"/>
        </w:rPr>
        <w:t>求收购棉花</w:t>
      </w:r>
      <w:r>
        <w:rPr>
          <w:rFonts w:hint="eastAsia" w:ascii="仿宋_GB2312" w:hAnsi="仿宋_GB2312" w:eastAsia="仿宋_GB2312" w:cs="仿宋_GB2312"/>
          <w:sz w:val="32"/>
          <w:szCs w:val="32"/>
          <w:lang w:val="en-US" w:eastAsia="zh-CN"/>
        </w:rPr>
        <w:t>的违法</w:t>
      </w:r>
      <w:r>
        <w:rPr>
          <w:rFonts w:hint="eastAsia" w:ascii="仿宋_GB2312" w:hAnsi="仿宋_GB2312" w:eastAsia="仿宋_GB2312" w:cs="仿宋_GB2312"/>
          <w:spacing w:val="-6"/>
          <w:sz w:val="32"/>
          <w:szCs w:val="32"/>
          <w:lang w:val="en-US" w:eastAsia="zh-CN"/>
        </w:rPr>
        <w:t>行为。当事人在现场笔录、询问笔录上签字确认，未提出异议。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上述事实，主要有以下证据证明：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64"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pacing w:val="6"/>
          <w:sz w:val="32"/>
          <w:szCs w:val="32"/>
          <w:u w:val="none"/>
          <w:lang w:val="en-US" w:eastAsia="zh-CN"/>
        </w:rPr>
        <w:t>1、</w:t>
      </w:r>
      <w:r>
        <w:rPr>
          <w:rFonts w:hint="eastAsia" w:ascii="仿宋_GB2312" w:hAnsi="仿宋_GB2312" w:eastAsia="仿宋_GB2312" w:cs="仿宋_GB2312"/>
          <w:spacing w:val="6"/>
          <w:sz w:val="32"/>
          <w:szCs w:val="32"/>
          <w:u w:val="none"/>
        </w:rPr>
        <w:t>当事人提供的营业执照复印件</w:t>
      </w:r>
      <w:r>
        <w:rPr>
          <w:rFonts w:hint="eastAsia" w:ascii="仿宋_GB2312" w:hAnsi="仿宋_GB2312" w:eastAsia="仿宋_GB2312" w:cs="仿宋_GB2312"/>
          <w:spacing w:val="6"/>
          <w:sz w:val="32"/>
          <w:szCs w:val="32"/>
          <w:u w:val="none"/>
          <w:lang w:val="en-US" w:eastAsia="zh-CN"/>
        </w:rPr>
        <w:t>1</w:t>
      </w:r>
      <w:r>
        <w:rPr>
          <w:rFonts w:hint="eastAsia" w:ascii="仿宋_GB2312" w:hAnsi="仿宋_GB2312" w:eastAsia="仿宋_GB2312" w:cs="仿宋_GB2312"/>
          <w:spacing w:val="6"/>
          <w:sz w:val="32"/>
          <w:szCs w:val="32"/>
          <w:u w:val="none"/>
          <w:lang w:eastAsia="zh-CN"/>
        </w:rPr>
        <w:t>份</w:t>
      </w:r>
      <w:r>
        <w:rPr>
          <w:rFonts w:hint="eastAsia" w:ascii="仿宋_GB2312" w:hAnsi="仿宋_GB2312" w:eastAsia="仿宋_GB2312" w:cs="仿宋_GB2312"/>
          <w:spacing w:val="6"/>
          <w:sz w:val="32"/>
          <w:szCs w:val="32"/>
          <w:u w:val="none"/>
        </w:rPr>
        <w:t>，证明当事人的</w:t>
      </w:r>
      <w:r>
        <w:rPr>
          <w:rFonts w:hint="eastAsia" w:ascii="仿宋_GB2312" w:hAnsi="仿宋_GB2312" w:eastAsia="仿宋_GB2312" w:cs="仿宋_GB2312"/>
          <w:sz w:val="32"/>
          <w:szCs w:val="32"/>
          <w:u w:val="none"/>
        </w:rPr>
        <w:t xml:space="preserve">经营主体资格；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z w:val="32"/>
          <w:szCs w:val="32"/>
          <w:u w:val="none"/>
          <w:lang w:val="en-US" w:eastAsia="zh-CN"/>
        </w:rPr>
        <w:t>徐**的身份</w:t>
      </w:r>
      <w:r>
        <w:rPr>
          <w:rFonts w:hint="eastAsia" w:ascii="仿宋_GB2312" w:hAnsi="仿宋_GB2312" w:eastAsia="仿宋_GB2312" w:cs="仿宋_GB2312"/>
          <w:sz w:val="32"/>
          <w:szCs w:val="32"/>
          <w:u w:val="none"/>
          <w:lang w:eastAsia="zh-CN"/>
        </w:rPr>
        <w:t>证复印件</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份</w:t>
      </w:r>
      <w:r>
        <w:rPr>
          <w:rFonts w:hint="eastAsia" w:ascii="仿宋_GB2312" w:hAnsi="仿宋_GB2312" w:eastAsia="仿宋_GB2312" w:cs="仿宋_GB2312"/>
          <w:sz w:val="32"/>
          <w:szCs w:val="32"/>
          <w:u w:val="none"/>
        </w:rPr>
        <w:t>，</w:t>
      </w:r>
      <w:r>
        <w:rPr>
          <w:rFonts w:hint="eastAsia" w:ascii="仿宋_GB2312" w:hAnsi="仿宋_GB2312" w:eastAsia="仿宋_GB2312" w:cs="仿宋_GB2312"/>
          <w:spacing w:val="6"/>
          <w:sz w:val="32"/>
          <w:szCs w:val="32"/>
          <w:u w:val="none"/>
        </w:rPr>
        <w:t>证明</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pacing w:val="6"/>
          <w:sz w:val="32"/>
          <w:szCs w:val="32"/>
          <w:u w:val="none"/>
        </w:rPr>
        <w:t>的身</w:t>
      </w:r>
      <w:r>
        <w:rPr>
          <w:rFonts w:hint="eastAsia" w:ascii="仿宋_GB2312" w:hAnsi="仿宋_GB2312" w:eastAsia="仿宋_GB2312" w:cs="仿宋_GB2312"/>
          <w:sz w:val="32"/>
          <w:szCs w:val="32"/>
          <w:u w:val="none"/>
        </w:rPr>
        <w:t>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3、乌苏市新棉红星棉业有限责任公司出具的授权委托书1份、受委托人身份证复印件1份，证明受委托人的身份信息及委托事项、权限、期限；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现场笔录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份，证明我局执法人员现场检查时发现当事人</w:t>
      </w:r>
      <w:r>
        <w:rPr>
          <w:rFonts w:hint="eastAsia" w:ascii="仿宋_GB2312" w:hAnsi="仿宋_GB2312" w:eastAsia="仿宋_GB2312" w:cs="仿宋_GB2312"/>
          <w:sz w:val="32"/>
          <w:szCs w:val="32"/>
          <w:lang w:val="en-US" w:eastAsia="zh-CN"/>
        </w:rPr>
        <w:t>收购棉花时未按照国家标准和技术规范确定所收购棉花的类别、等级、数量</w:t>
      </w:r>
      <w:r>
        <w:rPr>
          <w:rFonts w:hint="eastAsia" w:ascii="仿宋_GB2312" w:hAnsi="仿宋_GB2312" w:eastAsia="仿宋_GB2312" w:cs="仿宋_GB2312"/>
          <w:sz w:val="32"/>
          <w:szCs w:val="32"/>
          <w:lang w:eastAsia="zh-CN"/>
        </w:rPr>
        <w:t>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询问笔录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份，证明当事人在</w:t>
      </w:r>
      <w:r>
        <w:rPr>
          <w:rFonts w:hint="eastAsia" w:ascii="仿宋_GB2312" w:hAnsi="仿宋_GB2312" w:eastAsia="仿宋_GB2312" w:cs="仿宋_GB2312"/>
          <w:sz w:val="32"/>
          <w:szCs w:val="32"/>
          <w:lang w:val="en-US" w:eastAsia="zh-CN"/>
        </w:rPr>
        <w:t>收购棉花时未按照国家标准和技术规范确定所收购棉花的类别、等级、数量</w:t>
      </w:r>
      <w:r>
        <w:rPr>
          <w:rFonts w:hint="eastAsia" w:ascii="仿宋_GB2312" w:hAnsi="仿宋_GB2312" w:eastAsia="仿宋_GB2312" w:cs="仿宋_GB2312"/>
          <w:sz w:val="32"/>
          <w:szCs w:val="32"/>
          <w:lang w:eastAsia="zh-CN"/>
        </w:rPr>
        <w:t>的事实认定；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乌苏市新棉红星棉业有限责任公司籽棉收购检验单复印件4份、乌苏市新棉红星棉业有限责任公司收购过磅单四份、系统收购截屏复印件1份、籽棉收购一试五定检验登记表1份，证明当事人未严格执行一试五定收购棉花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7、现场拍摄照片4张、音像视频资料1份，证明执法人员在乌苏市新棉红星棉业有限责任公司对当事人经营场所进行现场检查的事实。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2025年1月22日向当事人依法送达了《行政处罚告知书》（塔乌市监罚告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依法享有陈述、申辩的权利，</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在法定期限内</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lang w:eastAsia="zh-CN"/>
        </w:rPr>
        <w:t>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当事人未严格执行国家标准和技术规范的规定，在棉花收购过程中</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收购棉花的毛</w:t>
      </w:r>
      <w:r>
        <w:rPr>
          <w:rFonts w:hint="eastAsia" w:ascii="仿宋_GB2312" w:hAnsi="仿宋_GB2312" w:eastAsia="仿宋_GB2312" w:cs="仿宋_GB2312"/>
          <w:sz w:val="32"/>
          <w:szCs w:val="32"/>
        </w:rPr>
        <w:t>衣分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回潮率</w:t>
      </w:r>
      <w:r>
        <w:rPr>
          <w:rFonts w:hint="eastAsia" w:ascii="仿宋_GB2312" w:hAnsi="仿宋_GB2312" w:eastAsia="仿宋_GB2312" w:cs="仿宋_GB2312"/>
          <w:sz w:val="32"/>
          <w:szCs w:val="32"/>
          <w:lang w:eastAsia="zh-CN"/>
        </w:rPr>
        <w:t>、含杂率未做到批批检验而</w:t>
      </w:r>
      <w:r>
        <w:rPr>
          <w:rFonts w:hint="eastAsia" w:ascii="仿宋_GB2312" w:hAnsi="仿宋_GB2312" w:eastAsia="仿宋_GB2312" w:cs="仿宋_GB2312"/>
          <w:sz w:val="32"/>
          <w:szCs w:val="32"/>
        </w:rPr>
        <w:t>进行估验确定棉花等级</w:t>
      </w:r>
      <w:r>
        <w:rPr>
          <w:rFonts w:hint="eastAsia" w:ascii="仿宋_GB2312" w:hAnsi="仿宋_GB2312" w:eastAsia="仿宋_GB2312" w:cs="仿宋_GB2312"/>
          <w:sz w:val="32"/>
          <w:szCs w:val="32"/>
          <w:lang w:val="en-US" w:eastAsia="zh-CN"/>
        </w:rPr>
        <w:t>的行为，违反了《棉花质量监督管理条例》第七条第二款：“棉花经营者收购棉花时，应当按照国家标准和技术规范，排除异性纤维和其他有害物质后确定所收购棉花的类别、等级、数量。”</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的规定。</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鉴于当事人态度端正，积极配合执法人员调查并如实陈述违法事实，危害后果轻微，深刻认识错误并积极主动改正，当事人的情况符合《新疆维吾尔自治区  新疆生产建设兵团市场监督管理行政处罚裁量权适用规定》第十七条第二项、第三项：“有下列情形之一的，可以依法从轻或者减轻行政处罚：（二）积极配合市场监管部门调查，并主动提供证据材料的；（三）违法行为轻微，社会危害性较小的”规定，参照《新疆维吾尔自治区  新疆生产建设兵团市场监督管理行政处罚裁量基准（2024年版）》第九章纤维检验监督管理第一节《棉花质量监督管理条例》“序号1，违法行为：棉花经营者收购棉花，不按照国家标准和技术规范排除异性纤维和其他有害物质后确定所收购的棉花的类别、等级、数量，或者对所收购的棉花超出国家规定水分标准的棉花不进行技术处理，或者对所收购的棉花不分类别、等级置放的行为。”法律依据：《棉花质量监督管理条例》第二十四条：“棉花经营者收购棉花，违反本条例第七条第二款的规定，不按照国家标准和技术规范排除异性纤维和其他有害物质后确定所收购的棉花的类别、等级、数量，或者对所收购的棉花超出国家规定水分标准的棉花不进行技术处理，或者对所收购的棉花不分类别、等级置放的，由棉花质量监督管理机构责令改正，可以处3万元以下的罚款。违法情节：有下列情形之一的：（1）只检验籽棉衣分率，对棉花颜色级或长度或回潮率进行估验确定棉花等级、数量的；裁量基准：（1）责令改正；（2）可以处9000元以</w:t>
      </w:r>
      <w:r>
        <w:rPr>
          <w:rFonts w:hint="eastAsia" w:ascii="仿宋_GB2312" w:hAnsi="仿宋_GB2312" w:eastAsia="仿宋_GB2312" w:cs="仿宋_GB2312"/>
          <w:b w:val="0"/>
          <w:bCs/>
          <w:color w:val="000000" w:themeColor="text1"/>
          <w:spacing w:val="-11"/>
          <w:sz w:val="32"/>
          <w:szCs w:val="32"/>
          <w:u w:val="none"/>
          <w:lang w:val="en-US" w:eastAsia="zh-CN"/>
          <w14:textFill>
            <w14:solidFill>
              <w14:schemeClr w14:val="tx1"/>
            </w14:solidFill>
          </w14:textFill>
        </w:rPr>
        <w:t>上2.1万元以下罚款。”的规定，综合考虑个案情况、当事人主客观等相关因素，坚持处罚与教育相结合的原则，决定对</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b w:val="0"/>
          <w:bCs/>
          <w:color w:val="000000" w:themeColor="text1"/>
          <w:spacing w:val="-11"/>
          <w:sz w:val="32"/>
          <w:szCs w:val="32"/>
          <w:u w:val="none"/>
          <w:lang w:val="en-US" w:eastAsia="zh-CN"/>
          <w14:textFill>
            <w14:solidFill>
              <w14:schemeClr w14:val="tx1"/>
            </w14:solidFill>
          </w14:textFill>
        </w:rPr>
        <w:t>给予一般行政处罚。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依据《棉花质量监督管理条例</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第二十四条“</w:t>
      </w:r>
      <w:r>
        <w:rPr>
          <w:rFonts w:hint="eastAsia" w:ascii="仿宋_GB2312" w:hAnsi="仿宋_GB2312" w:eastAsia="仿宋_GB2312" w:cs="仿宋_GB2312"/>
          <w:sz w:val="32"/>
          <w:szCs w:val="32"/>
          <w:lang w:val="en-US" w:eastAsia="zh-CN"/>
        </w:rPr>
        <w:t>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32"/>
          <w:szCs w:val="32"/>
          <w:lang w:bidi="zh-CN"/>
          <w14:textFill>
            <w14:solidFill>
              <w14:schemeClr w14:val="tx1"/>
            </w14:solidFill>
          </w14:textFill>
        </w:rPr>
        <w:t>的规定，</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责令当事人改正违法经营行为，决定对当事人处罚如下：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处10000元罚款。</w:t>
      </w:r>
      <w:r>
        <w:rPr>
          <w:rFonts w:hint="eastAsia" w:ascii="仿宋_GB2312" w:hAnsi="仿宋_GB2312" w:eastAsia="仿宋_GB2312" w:cs="仿宋_GB2312"/>
          <w:b w:val="0"/>
          <w:bCs/>
          <w:i w:val="0"/>
          <w:iCs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kinsoku/>
        <w:wordWrap/>
        <w:overflowPunct/>
        <w:topLinePunct w:val="0"/>
        <w:bidi w:val="0"/>
        <w:adjustRightInd/>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pacing w:line="560" w:lineRule="exact"/>
        <w:ind w:left="0" w:leftChars="0" w:right="0" w:rightChars="0" w:firstLine="60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bidi w:val="0"/>
        <w:adjustRightInd/>
        <w:spacing w:line="560" w:lineRule="exact"/>
        <w:ind w:left="0" w:leftChars="0" w:right="0" w:firstLine="601"/>
        <w:jc w:val="both"/>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bidi w:val="0"/>
        <w:adjustRightInd/>
        <w:spacing w:line="560" w:lineRule="exact"/>
        <w:ind w:left="0" w:leftChars="0" w:right="0" w:firstLine="601"/>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231F20"/>
          <w:spacing w:val="-16"/>
          <w:sz w:val="32"/>
          <w:szCs w:val="32"/>
        </w:rPr>
        <w:t>（市场监督管理部门将依法向社会公开行政处罚决定信息）</w:t>
      </w: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bidi w:val="0"/>
        <w:adjustRightInd/>
        <w:spacing w:line="560" w:lineRule="exact"/>
        <w:ind w:left="0" w:leftChars="0"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color w:val="00000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88550DF"/>
    <w:rsid w:val="12003516"/>
    <w:rsid w:val="14F07C21"/>
    <w:rsid w:val="19C8581D"/>
    <w:rsid w:val="2227206A"/>
    <w:rsid w:val="238A3149"/>
    <w:rsid w:val="23A737DF"/>
    <w:rsid w:val="23D435D7"/>
    <w:rsid w:val="24D413E7"/>
    <w:rsid w:val="255802FD"/>
    <w:rsid w:val="27F6492F"/>
    <w:rsid w:val="29F426D3"/>
    <w:rsid w:val="2BAB019B"/>
    <w:rsid w:val="2D8E6DFE"/>
    <w:rsid w:val="36D111CE"/>
    <w:rsid w:val="3A0B7AEC"/>
    <w:rsid w:val="3EF67B21"/>
    <w:rsid w:val="3F390295"/>
    <w:rsid w:val="444051F9"/>
    <w:rsid w:val="45AC6C84"/>
    <w:rsid w:val="46EA68FE"/>
    <w:rsid w:val="4D7164F3"/>
    <w:rsid w:val="552B4AC9"/>
    <w:rsid w:val="5F933EDA"/>
    <w:rsid w:val="62BE5DE0"/>
    <w:rsid w:val="62F435E7"/>
    <w:rsid w:val="630442F9"/>
    <w:rsid w:val="64D4607B"/>
    <w:rsid w:val="682F6509"/>
    <w:rsid w:val="684F1F78"/>
    <w:rsid w:val="6C6240D6"/>
    <w:rsid w:val="6D24429C"/>
    <w:rsid w:val="72DA7577"/>
    <w:rsid w:val="74BD4884"/>
    <w:rsid w:val="77CC4230"/>
    <w:rsid w:val="7D68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3009</Words>
  <Characters>3266</Characters>
  <Lines>0</Lines>
  <Paragraphs>0</Paragraphs>
  <TotalTime>19</TotalTime>
  <ScaleCrop>false</ScaleCrop>
  <LinksUpToDate>false</LinksUpToDate>
  <CharactersWithSpaces>3378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2025-01-09T08:02:00Z</cp:lastPrinted>
  <dcterms:modified xsi:type="dcterms:W3CDTF">2025-02-25T04:03:50Z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