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line="540" w:lineRule="exact"/>
        <w:ind w:left="0" w:right="0"/>
        <w:jc w:val="center"/>
        <w:outlineLvl w:val="0"/>
        <w:rPr>
          <w:rFonts w:hint="eastAsia" w:ascii="方正小标宋简体" w:hAnsi="方正小标宋简体" w:eastAsia="方正小标宋简体" w:cs="方正小标宋简体"/>
          <w:sz w:val="44"/>
          <w:szCs w:val="44"/>
        </w:rPr>
      </w:pPr>
      <w:bookmarkStart w:id="0" w:name="_Toc27865"/>
      <w:bookmarkStart w:id="1" w:name="_Toc76683363"/>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wordWrap/>
        <w:overflowPunct/>
        <w:topLinePunct w:val="0"/>
        <w:bidi w:val="0"/>
        <w:spacing w:line="540" w:lineRule="exact"/>
        <w:ind w:left="0" w:right="0"/>
        <w:jc w:val="center"/>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kinsoku/>
        <w:wordWrap/>
        <w:overflowPunct/>
        <w:topLinePunct w:val="0"/>
        <w:bidi w:val="0"/>
        <w:snapToGrid w:val="0"/>
        <w:spacing w:line="540" w:lineRule="exact"/>
        <w:ind w:left="0" w:right="0"/>
        <w:jc w:val="center"/>
        <w:outlineLvl w:val="1"/>
        <w:rPr>
          <w:rFonts w:hint="eastAsia" w:ascii="Times New Roman" w:hAnsi="Times New Roman" w:eastAsia="仿宋_GB2312" w:cs="Mongolian Baiti"/>
          <w:color w:val="000000"/>
          <w:sz w:val="32"/>
          <w:szCs w:val="32"/>
        </w:rPr>
      </w:pPr>
      <w:r>
        <w:rPr>
          <w:rFonts w:hint="eastAsia" w:ascii="仿宋_GB2312" w:hAnsi="仿宋_GB2312" w:eastAsia="仿宋_GB2312" w:cs="仿宋_GB2312"/>
          <w:bCs/>
          <w:color w:val="000000"/>
          <w:sz w:val="32"/>
          <w:szCs w:val="32"/>
          <w:u w:val="none"/>
          <w:lang w:val="en-US" w:eastAsia="zh-CN"/>
        </w:rPr>
        <w:t>塔乌</w:t>
      </w:r>
      <w:r>
        <w:rPr>
          <w:rFonts w:hint="eastAsia" w:ascii="仿宋_GB2312" w:hAnsi="仿宋_GB2312" w:eastAsia="仿宋_GB2312" w:cs="仿宋_GB2312"/>
          <w:bCs/>
          <w:color w:val="000000"/>
          <w:sz w:val="32"/>
          <w:szCs w:val="32"/>
          <w:u w:val="none"/>
        </w:rPr>
        <w:t>市监处罚〔</w:t>
      </w:r>
      <w:r>
        <w:rPr>
          <w:rFonts w:hint="eastAsia" w:ascii="仿宋_GB2312" w:hAnsi="仿宋_GB2312" w:eastAsia="仿宋_GB2312" w:cs="仿宋_GB2312"/>
          <w:bCs/>
          <w:color w:val="000000"/>
          <w:sz w:val="32"/>
          <w:szCs w:val="32"/>
          <w:u w:val="none"/>
          <w:lang w:val="en-US" w:eastAsia="zh-CN"/>
        </w:rPr>
        <w:t>2025</w:t>
      </w:r>
      <w:r>
        <w:rPr>
          <w:rFonts w:hint="eastAsia" w:ascii="仿宋_GB2312" w:hAnsi="仿宋_GB2312" w:eastAsia="仿宋_GB2312" w:cs="仿宋_GB2312"/>
          <w:bCs/>
          <w:color w:val="000000"/>
          <w:sz w:val="32"/>
          <w:szCs w:val="32"/>
          <w:u w:val="none"/>
        </w:rPr>
        <w:t>〕</w:t>
      </w:r>
      <w:r>
        <w:rPr>
          <w:rFonts w:hint="eastAsia" w:ascii="仿宋_GB2312" w:hAnsi="仿宋_GB2312" w:eastAsia="仿宋_GB2312" w:cs="仿宋_GB2312"/>
          <w:bCs/>
          <w:color w:val="000000"/>
          <w:sz w:val="32"/>
          <w:szCs w:val="32"/>
          <w:u w:val="none"/>
          <w:lang w:val="en-US" w:eastAsia="zh-CN"/>
        </w:rPr>
        <w:t xml:space="preserve">30 </w:t>
      </w:r>
      <w:r>
        <w:rPr>
          <w:rFonts w:hint="eastAsia" w:ascii="仿宋_GB2312" w:hAnsi="仿宋_GB2312" w:eastAsia="仿宋_GB2312" w:cs="仿宋_GB2312"/>
          <w:bCs/>
          <w:color w:val="000000"/>
          <w:sz w:val="32"/>
          <w:szCs w:val="32"/>
          <w:u w:val="none"/>
        </w:rPr>
        <w:t>号</w:t>
      </w:r>
      <w:r>
        <w:rPr>
          <w:rFonts w:hint="eastAsia" w:ascii="Times New Roman" w:hAnsi="Times New Roman" w:eastAsia="仿宋_GB2312" w:cs="Mongolian Baiti"/>
          <w:color w:val="000000"/>
          <w:sz w:val="32"/>
          <w:szCs w:val="32"/>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kinsoku/>
        <w:wordWrap/>
        <w:overflowPunct/>
        <w:topLinePunct w:val="0"/>
        <w:bidi w:val="0"/>
        <w:spacing w:line="540" w:lineRule="exact"/>
        <w:ind w:left="0" w:right="0" w:hanging="140"/>
        <w:jc w:val="both"/>
        <w:rPr>
          <w:rFonts w:hint="eastAsia" w:ascii="仿宋_GB2312" w:hAnsi="仿宋_GB2312" w:eastAsia="仿宋_GB2312" w:cs="仿宋_GB2312"/>
          <w:spacing w:val="6"/>
          <w:sz w:val="32"/>
          <w:szCs w:val="32"/>
          <w:lang w:val="en-US" w:eastAsia="zh-CN"/>
        </w:rPr>
      </w:pPr>
    </w:p>
    <w:p>
      <w:pPr>
        <w:keepNext w:val="0"/>
        <w:keepLines w:val="0"/>
        <w:pageBreakBefore w:val="0"/>
        <w:kinsoku/>
        <w:wordWrap/>
        <w:overflowPunct/>
        <w:topLinePunct w:val="0"/>
        <w:bidi w:val="0"/>
        <w:spacing w:line="540" w:lineRule="exact"/>
        <w:ind w:left="0" w:right="0" w:hanging="140"/>
        <w:jc w:val="both"/>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 xml:space="preserve">当事人：乌苏市赛凌棉业有限公司              </w:t>
      </w:r>
    </w:p>
    <w:p>
      <w:pPr>
        <w:keepNext w:val="0"/>
        <w:keepLines w:val="0"/>
        <w:pageBreakBefore w:val="0"/>
        <w:kinsoku/>
        <w:wordWrap/>
        <w:overflowPunct/>
        <w:topLinePunct w:val="0"/>
        <w:bidi w:val="0"/>
        <w:spacing w:line="540" w:lineRule="exact"/>
        <w:ind w:left="0" w:right="0" w:hanging="140"/>
        <w:jc w:val="both"/>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 xml:space="preserve">主体资格证照名称： 营业执照                                 </w:t>
      </w:r>
    </w:p>
    <w:p>
      <w:pPr>
        <w:keepNext w:val="0"/>
        <w:keepLines w:val="0"/>
        <w:pageBreakBefore w:val="0"/>
        <w:kinsoku/>
        <w:wordWrap/>
        <w:overflowPunct/>
        <w:topLinePunct w:val="0"/>
        <w:bidi w:val="0"/>
        <w:spacing w:line="540" w:lineRule="exact"/>
        <w:ind w:left="0" w:right="0" w:hanging="140"/>
        <w:jc w:val="both"/>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统一社会信用代码：91654202MA78ETYY7K</w:t>
      </w:r>
    </w:p>
    <w:p>
      <w:pPr>
        <w:keepNext w:val="0"/>
        <w:keepLines w:val="0"/>
        <w:pageBreakBefore w:val="0"/>
        <w:kinsoku/>
        <w:wordWrap/>
        <w:overflowPunct/>
        <w:topLinePunct w:val="0"/>
        <w:bidi w:val="0"/>
        <w:spacing w:line="540" w:lineRule="exact"/>
        <w:ind w:left="0" w:right="0" w:hanging="140"/>
        <w:jc w:val="both"/>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住所（住址）：乌苏市百泉镇大桥开发区繁荣路045号</w:t>
      </w:r>
    </w:p>
    <w:p>
      <w:pPr>
        <w:keepNext w:val="0"/>
        <w:keepLines w:val="0"/>
        <w:pageBreakBefore w:val="0"/>
        <w:kinsoku/>
        <w:wordWrap/>
        <w:overflowPunct/>
        <w:topLinePunct w:val="0"/>
        <w:bidi w:val="0"/>
        <w:spacing w:line="540" w:lineRule="exact"/>
        <w:ind w:left="0" w:right="0" w:hanging="140"/>
        <w:jc w:val="both"/>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法定代表人：李**</w:t>
      </w:r>
    </w:p>
    <w:p>
      <w:pPr>
        <w:keepNext w:val="0"/>
        <w:keepLines w:val="0"/>
        <w:pageBreakBefore w:val="0"/>
        <w:widowControl w:val="0"/>
        <w:kinsoku/>
        <w:wordWrap/>
        <w:overflowPunct/>
        <w:topLinePunct w:val="0"/>
        <w:autoSpaceDE w:val="0"/>
        <w:autoSpaceDN w:val="0"/>
        <w:bidi w:val="0"/>
        <w:adjustRightInd/>
        <w:snapToGrid/>
        <w:spacing w:line="540" w:lineRule="exact"/>
        <w:ind w:left="0" w:right="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color w:val="000000" w:themeColor="text1"/>
          <w:kern w:val="1"/>
          <w:sz w:val="32"/>
          <w:szCs w:val="32"/>
          <w:u w:val="none"/>
          <w:lang w:val="en-US" w:eastAsia="zh-CN"/>
          <w14:textFill>
            <w14:solidFill>
              <w14:schemeClr w14:val="tx1"/>
            </w14:solidFill>
          </w14:textFill>
        </w:rPr>
        <w:t>2024年10月25日，我局执法人员对位于乌苏市百泉镇大桥开发区繁荣路045号的乌苏市赛凌棉业有限公司籽棉收购和加工棉花等工作进行检查时，该公司正常进行籽棉收购和加工。执法人员向该公司法定代表人李**出示行政执法证件后，依法对该公司籽棉收购、加工棉花和棉花检验等场所进行检查。执法人员在该公司法定代表人李**的配合下，在该公司棉检室检查发现，正在开展棉花检验棉检员卢**未取得棉花检验员证。该公司2024年10月25日收购棉农刘**3车籽棉，单据号0000246至0000248，未发现留样且在该公司一试五定检验登记表记录时间为2024年10月24日。执法人员在籽棉留样室检查发现，该公司2024年10月4日至2024年10月25日共收购243车籽棉，留样中均无长度值的样品。</w:t>
      </w:r>
      <w:r>
        <w:rPr>
          <w:rFonts w:hint="eastAsia" w:ascii="仿宋_GB2312" w:hAnsi="仿宋_GB2312" w:eastAsia="仿宋_GB2312" w:cs="仿宋_GB2312"/>
          <w:spacing w:val="-6"/>
          <w:sz w:val="32"/>
          <w:szCs w:val="32"/>
          <w:u w:val="none"/>
          <w:lang w:val="en-US" w:eastAsia="zh-CN"/>
        </w:rPr>
        <w:t>经现场询问该公司棉检员卢**，称只试轧了毛衣分和含杂率，颜色级、回潮率、长度值、马克隆值数据均为估验所得。</w:t>
      </w:r>
    </w:p>
    <w:p>
      <w:pPr>
        <w:keepNext w:val="0"/>
        <w:keepLines w:val="0"/>
        <w:pageBreakBefore w:val="0"/>
        <w:widowControl w:val="0"/>
        <w:kinsoku/>
        <w:wordWrap/>
        <w:overflowPunct/>
        <w:topLinePunct w:val="0"/>
        <w:autoSpaceDE w:val="0"/>
        <w:autoSpaceDN w:val="0"/>
        <w:bidi w:val="0"/>
        <w:adjustRightInd/>
        <w:snapToGrid/>
        <w:spacing w:line="54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当事人在经营活动中未严格按照国家标准和技术规范要求收购棉花的行为，违反了《棉花质量监督管理条例》第七条第二款的规定。为进一步了解情况，经报局领导批准，于2024年11月11日立案，并指派崔光、张建辉对此案进行调查了解。本案已于2024年12月10日调查终结。  </w:t>
      </w:r>
    </w:p>
    <w:p>
      <w:pPr>
        <w:keepNext w:val="0"/>
        <w:keepLines w:val="0"/>
        <w:pageBreakBefore w:val="0"/>
        <w:widowControl w:val="0"/>
        <w:kinsoku/>
        <w:wordWrap/>
        <w:overflowPunct/>
        <w:topLinePunct w:val="0"/>
        <w:autoSpaceDE w:val="0"/>
        <w:autoSpaceDN w:val="0"/>
        <w:bidi w:val="0"/>
        <w:adjustRightInd/>
        <w:snapToGrid/>
        <w:spacing w:line="54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经查明，乌苏市赛凌棉业有限公司在收购籽棉期间，未严格按照国家标准和技术规范确定所收购籽棉的类别、等级，未对收购的每车籽棉的颜色级、回潮率、长度值、马克隆值做到一</w:t>
      </w:r>
      <w:bookmarkStart w:id="3" w:name="_GoBack"/>
      <w:bookmarkEnd w:id="3"/>
      <w:r>
        <w:rPr>
          <w:rFonts w:hint="eastAsia" w:ascii="仿宋_GB2312" w:hAnsi="仿宋_GB2312" w:eastAsia="仿宋_GB2312" w:cs="仿宋_GB2312"/>
          <w:sz w:val="32"/>
          <w:szCs w:val="32"/>
          <w:lang w:val="en-US" w:eastAsia="zh-CN"/>
        </w:rPr>
        <w:t>批批检验，只是试轧了毛衣分和含杂率，采取估验确定籽棉颜色级、回潮率、长度值、马克隆值。截至2024年10月25日查获时，当事人当日收购棉农刘代发籽棉3车，单据号为：0000246-0000248，未发现籽棉留样，</w:t>
      </w:r>
      <w:r>
        <w:rPr>
          <w:rFonts w:hint="eastAsia" w:ascii="仿宋_GB2312" w:hAnsi="仿宋_GB2312" w:eastAsia="仿宋_GB2312" w:cs="仿宋_GB2312"/>
          <w:color w:val="000000" w:themeColor="text1"/>
          <w:kern w:val="1"/>
          <w:sz w:val="32"/>
          <w:szCs w:val="32"/>
          <w:u w:val="none"/>
          <w:lang w:val="en-US" w:eastAsia="zh-CN"/>
          <w14:textFill>
            <w14:solidFill>
              <w14:schemeClr w14:val="tx1"/>
            </w14:solidFill>
          </w14:textFill>
        </w:rPr>
        <w:t>且在一试五定检验登记表记录时间为2024年10月24日。</w:t>
      </w:r>
      <w:r>
        <w:rPr>
          <w:rFonts w:hint="eastAsia" w:ascii="仿宋_GB2312" w:hAnsi="仿宋_GB2312" w:eastAsia="仿宋_GB2312" w:cs="仿宋_GB2312"/>
          <w:sz w:val="32"/>
          <w:szCs w:val="32"/>
          <w:lang w:val="en-US" w:eastAsia="zh-CN"/>
        </w:rPr>
        <w:t>经调查确认，当事人只试轧了毛衣分，未严格执行一试五定，</w:t>
      </w:r>
      <w:r>
        <w:rPr>
          <w:rFonts w:hint="eastAsia" w:ascii="仿宋_GB2312" w:hAnsi="仿宋_GB2312" w:eastAsia="仿宋_GB2312" w:cs="仿宋_GB2312"/>
          <w:spacing w:val="6"/>
          <w:sz w:val="32"/>
          <w:szCs w:val="32"/>
          <w:lang w:val="en-US" w:eastAsia="zh-CN"/>
        </w:rPr>
        <w:t>当事人已构成未按照国家标准和技术规范要求收购棉花</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违法行为。</w:t>
      </w:r>
      <w:r>
        <w:rPr>
          <w:rFonts w:hint="eastAsia" w:ascii="仿宋_GB2312" w:hAnsi="仿宋_GB2312" w:eastAsia="仿宋_GB2312" w:cs="仿宋_GB2312"/>
          <w:sz w:val="32"/>
          <w:szCs w:val="32"/>
          <w:lang w:eastAsia="zh-CN"/>
        </w:rPr>
        <w:t>当事人</w:t>
      </w:r>
      <w:r>
        <w:rPr>
          <w:rFonts w:hint="eastAsia" w:ascii="仿宋_GB2312" w:hAnsi="仿宋_GB2312" w:eastAsia="仿宋_GB2312" w:cs="仿宋_GB2312"/>
          <w:sz w:val="32"/>
          <w:szCs w:val="32"/>
        </w:rPr>
        <w:t>在现场</w:t>
      </w:r>
      <w:r>
        <w:rPr>
          <w:rFonts w:hint="eastAsia" w:ascii="仿宋_GB2312" w:hAnsi="仿宋_GB2312" w:eastAsia="仿宋_GB2312" w:cs="仿宋_GB2312"/>
          <w:sz w:val="32"/>
          <w:szCs w:val="32"/>
          <w:lang w:eastAsia="zh-CN"/>
        </w:rPr>
        <w:t>笔录上签字确认</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询问</w:t>
      </w:r>
      <w:r>
        <w:rPr>
          <w:rFonts w:hint="eastAsia" w:ascii="仿宋_GB2312" w:hAnsi="仿宋_GB2312" w:eastAsia="仿宋_GB2312" w:cs="仿宋_GB2312"/>
          <w:sz w:val="32"/>
          <w:szCs w:val="32"/>
        </w:rPr>
        <w:t>笔录上签字确认，未提出异议。</w:t>
      </w:r>
    </w:p>
    <w:p>
      <w:pPr>
        <w:keepNext w:val="0"/>
        <w:keepLines w:val="0"/>
        <w:pageBreakBefore w:val="0"/>
        <w:widowControl w:val="0"/>
        <w:kinsoku/>
        <w:wordWrap/>
        <w:overflowPunct/>
        <w:topLinePunct w:val="0"/>
        <w:autoSpaceDE w:val="0"/>
        <w:autoSpaceDN w:val="0"/>
        <w:bidi w:val="0"/>
        <w:adjustRightInd/>
        <w:snapToGrid/>
        <w:spacing w:line="540" w:lineRule="exact"/>
        <w:ind w:left="0" w:right="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上述事实，主要有以下证据证明：</w:t>
      </w:r>
    </w:p>
    <w:p>
      <w:pPr>
        <w:keepNext w:val="0"/>
        <w:keepLines w:val="0"/>
        <w:pageBreakBefore w:val="0"/>
        <w:widowControl w:val="0"/>
        <w:kinsoku/>
        <w:wordWrap/>
        <w:overflowPunct/>
        <w:topLinePunct w:val="0"/>
        <w:autoSpaceDE w:val="0"/>
        <w:autoSpaceDN w:val="0"/>
        <w:bidi w:val="0"/>
        <w:adjustRightInd/>
        <w:snapToGrid/>
        <w:spacing w:line="540" w:lineRule="exact"/>
        <w:ind w:left="0" w:right="0" w:firstLine="664"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pacing w:val="6"/>
          <w:sz w:val="32"/>
          <w:szCs w:val="32"/>
          <w14:textFill>
            <w14:solidFill>
              <w14:schemeClr w14:val="tx1"/>
            </w14:solidFill>
          </w14:textFill>
        </w:rPr>
        <w:t>当事人提供的营业执照复印件</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t>份</w:t>
      </w:r>
      <w:r>
        <w:rPr>
          <w:rFonts w:hint="eastAsia" w:ascii="仿宋_GB2312" w:hAnsi="仿宋_GB2312" w:eastAsia="仿宋_GB2312" w:cs="仿宋_GB2312"/>
          <w:color w:val="000000" w:themeColor="text1"/>
          <w:spacing w:val="6"/>
          <w:sz w:val="32"/>
          <w:szCs w:val="32"/>
          <w14:textFill>
            <w14:solidFill>
              <w14:schemeClr w14:val="tx1"/>
            </w14:solidFill>
          </w14:textFill>
        </w:rPr>
        <w:t>，证明当事人的</w:t>
      </w:r>
      <w:r>
        <w:rPr>
          <w:rFonts w:hint="eastAsia" w:ascii="仿宋_GB2312" w:hAnsi="仿宋_GB2312" w:eastAsia="仿宋_GB2312" w:cs="仿宋_GB2312"/>
          <w:color w:val="000000" w:themeColor="text1"/>
          <w:sz w:val="32"/>
          <w:szCs w:val="32"/>
          <w14:textFill>
            <w14:solidFill>
              <w14:schemeClr w14:val="tx1"/>
            </w14:solidFill>
          </w14:textFill>
        </w:rPr>
        <w:t xml:space="preserve">经营主体资格；                                  </w:t>
      </w:r>
    </w:p>
    <w:p>
      <w:pPr>
        <w:keepNext w:val="0"/>
        <w:keepLines w:val="0"/>
        <w:pageBreakBefore w:val="0"/>
        <w:widowControl w:val="0"/>
        <w:kinsoku/>
        <w:wordWrap/>
        <w:overflowPunct/>
        <w:topLinePunct w:val="0"/>
        <w:autoSpaceDE w:val="0"/>
        <w:autoSpaceDN w:val="0"/>
        <w:bidi w:val="0"/>
        <w:adjustRightInd/>
        <w:snapToGrid/>
        <w:spacing w:line="540" w:lineRule="exact"/>
        <w:ind w:left="0" w:righ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pacing w:val="6"/>
          <w:sz w:val="32"/>
          <w:szCs w:val="32"/>
          <w14:textFill>
            <w14:solidFill>
              <w14:schemeClr w14:val="tx1"/>
            </w14:solidFill>
          </w14:textFill>
        </w:rPr>
        <w:t>当事人提供的身份证复印件</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t>份</w:t>
      </w:r>
      <w:r>
        <w:rPr>
          <w:rFonts w:hint="eastAsia" w:ascii="仿宋_GB2312" w:hAnsi="仿宋_GB2312" w:eastAsia="仿宋_GB2312" w:cs="仿宋_GB2312"/>
          <w:color w:val="000000" w:themeColor="text1"/>
          <w:spacing w:val="6"/>
          <w:sz w:val="32"/>
          <w:szCs w:val="32"/>
          <w14:textFill>
            <w14:solidFill>
              <w14:schemeClr w14:val="tx1"/>
            </w14:solidFill>
          </w14:textFill>
        </w:rPr>
        <w:t>，证明</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该公司法定代表人</w:t>
      </w:r>
      <w:r>
        <w:rPr>
          <w:rFonts w:hint="eastAsia" w:ascii="仿宋_GB2312" w:hAnsi="仿宋_GB2312" w:eastAsia="仿宋_GB2312" w:cs="仿宋_GB2312"/>
          <w:color w:val="000000" w:themeColor="text1"/>
          <w:spacing w:val="6"/>
          <w:sz w:val="32"/>
          <w:szCs w:val="32"/>
          <w14:textFill>
            <w14:solidFill>
              <w14:schemeClr w14:val="tx1"/>
            </w14:solidFill>
          </w14:textFill>
        </w:rPr>
        <w:t>的身</w:t>
      </w:r>
      <w:r>
        <w:rPr>
          <w:rFonts w:hint="eastAsia" w:ascii="仿宋_GB2312" w:hAnsi="仿宋_GB2312" w:eastAsia="仿宋_GB2312" w:cs="仿宋_GB2312"/>
          <w:color w:val="000000" w:themeColor="text1"/>
          <w:sz w:val="32"/>
          <w:szCs w:val="32"/>
          <w14:textFill>
            <w14:solidFill>
              <w14:schemeClr w14:val="tx1"/>
            </w14:solidFill>
          </w14:textFill>
        </w:rPr>
        <w:t>份信息与营业执照登记的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信息</w:t>
      </w:r>
      <w:r>
        <w:rPr>
          <w:rFonts w:hint="eastAsia" w:ascii="仿宋_GB2312" w:hAnsi="仿宋_GB2312" w:eastAsia="仿宋_GB2312" w:cs="仿宋_GB2312"/>
          <w:color w:val="000000" w:themeColor="text1"/>
          <w:sz w:val="32"/>
          <w:szCs w:val="32"/>
          <w14:textFill>
            <w14:solidFill>
              <w14:schemeClr w14:val="tx1"/>
            </w14:solidFill>
          </w14:textFill>
        </w:rPr>
        <w:t>一致；</w:t>
      </w:r>
    </w:p>
    <w:p>
      <w:pPr>
        <w:keepNext w:val="0"/>
        <w:keepLines w:val="0"/>
        <w:pageBreakBefore w:val="0"/>
        <w:widowControl w:val="0"/>
        <w:kinsoku/>
        <w:wordWrap/>
        <w:overflowPunct/>
        <w:topLinePunct w:val="0"/>
        <w:autoSpaceDE w:val="0"/>
        <w:autoSpaceDN w:val="0"/>
        <w:bidi w:val="0"/>
        <w:adjustRightInd/>
        <w:snapToGrid/>
        <w:spacing w:line="540" w:lineRule="exact"/>
        <w:ind w:left="0" w:right="0" w:firstLine="640" w:firstLineChars="200"/>
        <w:jc w:val="both"/>
        <w:textAlignment w:val="auto"/>
        <w:rPr>
          <w:rFonts w:hint="eastAsia" w:ascii="仿宋_GB2312" w:hAnsi="仿宋_GB2312" w:eastAsia="仿宋_GB2312" w:cs="仿宋_GB2312"/>
          <w:color w:val="000000" w:themeColor="text1"/>
          <w:spacing w:val="-6"/>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t>现场笔录</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t>份，证明</w:t>
      </w:r>
      <w:r>
        <w:rPr>
          <w:rFonts w:hint="eastAsia" w:ascii="仿宋_GB2312" w:hAnsi="仿宋_GB2312" w:eastAsia="仿宋_GB2312" w:cs="仿宋_GB2312"/>
          <w:spacing w:val="6"/>
          <w:sz w:val="32"/>
          <w:szCs w:val="32"/>
          <w:lang w:eastAsia="zh-CN"/>
        </w:rPr>
        <w:t>我局</w:t>
      </w:r>
      <w:r>
        <w:rPr>
          <w:rFonts w:hint="eastAsia" w:ascii="仿宋_GB2312" w:hAnsi="仿宋_GB2312" w:eastAsia="仿宋_GB2312" w:cs="仿宋_GB2312"/>
          <w:spacing w:val="6"/>
          <w:sz w:val="32"/>
          <w:szCs w:val="32"/>
        </w:rPr>
        <w:t>执法人员</w:t>
      </w:r>
      <w:r>
        <w:rPr>
          <w:rFonts w:hint="eastAsia" w:ascii="仿宋_GB2312" w:hAnsi="仿宋_GB2312" w:eastAsia="仿宋_GB2312" w:cs="仿宋_GB2312"/>
          <w:spacing w:val="6"/>
          <w:sz w:val="32"/>
          <w:szCs w:val="32"/>
          <w:lang w:eastAsia="zh-CN"/>
        </w:rPr>
        <w:t>现场检查时发现</w:t>
      </w:r>
      <w:r>
        <w:rPr>
          <w:rFonts w:hint="eastAsia" w:ascii="仿宋_GB2312" w:hAnsi="仿宋_GB2312" w:eastAsia="仿宋_GB2312" w:cs="仿宋_GB2312"/>
          <w:sz w:val="32"/>
          <w:szCs w:val="32"/>
          <w:lang w:eastAsia="zh-CN"/>
        </w:rPr>
        <w:t>当事人</w:t>
      </w:r>
      <w:r>
        <w:rPr>
          <w:rFonts w:hint="eastAsia" w:ascii="仿宋_GB2312" w:hAnsi="仿宋_GB2312" w:eastAsia="仿宋_GB2312" w:cs="仿宋_GB2312"/>
          <w:sz w:val="32"/>
          <w:szCs w:val="32"/>
          <w:lang w:val="en-US" w:eastAsia="zh-CN"/>
        </w:rPr>
        <w:t>未按照国家标准和技术规范开展“一试五定”的</w:t>
      </w:r>
      <w:r>
        <w:rPr>
          <w:rFonts w:hint="eastAsia" w:ascii="仿宋_GB2312" w:hAnsi="仿宋_GB2312" w:eastAsia="仿宋_GB2312" w:cs="仿宋_GB2312"/>
          <w:sz w:val="32"/>
          <w:szCs w:val="32"/>
          <w:lang w:eastAsia="zh-CN"/>
        </w:rPr>
        <w:t>事实；</w:t>
      </w:r>
    </w:p>
    <w:p>
      <w:pPr>
        <w:keepNext w:val="0"/>
        <w:keepLines w:val="0"/>
        <w:pageBreakBefore w:val="0"/>
        <w:widowControl w:val="0"/>
        <w:kinsoku/>
        <w:wordWrap/>
        <w:overflowPunct/>
        <w:topLinePunct w:val="0"/>
        <w:autoSpaceDE/>
        <w:autoSpaceDN/>
        <w:bidi w:val="0"/>
        <w:adjustRightInd w:val="0"/>
        <w:snapToGrid/>
        <w:spacing w:line="540" w:lineRule="exact"/>
        <w:ind w:left="0" w:right="0" w:firstLine="640" w:firstLineChars="200"/>
        <w:jc w:val="both"/>
        <w:textAlignment w:val="baseline"/>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spacing w:val="-11"/>
          <w:kern w:val="0"/>
          <w:sz w:val="32"/>
          <w:szCs w:val="32"/>
          <w:u w:val="none"/>
          <w:lang w:val="en-US" w:eastAsia="zh-CN" w:bidi="ar-SA"/>
        </w:rPr>
        <w:t>授权委托书1份、受委托人身份证复印件1份，由当事人提供，证明受委托人的身份信息及委托事项、权限、期限</w:t>
      </w:r>
      <w:r>
        <w:rPr>
          <w:rFonts w:hint="eastAsia" w:ascii="仿宋_GB2312" w:hAnsi="仿宋_GB2312" w:eastAsia="仿宋_GB2312" w:cs="仿宋_GB2312"/>
          <w:kern w:val="1"/>
          <w:sz w:val="32"/>
          <w:szCs w:val="32"/>
        </w:rPr>
        <w:t>；</w:t>
      </w:r>
    </w:p>
    <w:p>
      <w:pPr>
        <w:keepNext w:val="0"/>
        <w:keepLines w:val="0"/>
        <w:pageBreakBefore w:val="0"/>
        <w:widowControl w:val="0"/>
        <w:kinsoku/>
        <w:wordWrap/>
        <w:overflowPunct/>
        <w:topLinePunct w:val="0"/>
        <w:autoSpaceDE w:val="0"/>
        <w:autoSpaceDN w:val="0"/>
        <w:bidi w:val="0"/>
        <w:adjustRightInd/>
        <w:snapToGrid/>
        <w:spacing w:line="540" w:lineRule="exact"/>
        <w:ind w:left="0" w:righ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询问笔录</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份，</w:t>
      </w:r>
      <w:r>
        <w:rPr>
          <w:rFonts w:hint="eastAsia" w:ascii="仿宋_GB2312" w:hAnsi="仿宋_GB2312" w:eastAsia="仿宋_GB2312" w:cs="仿宋_GB2312"/>
          <w:sz w:val="32"/>
          <w:szCs w:val="32"/>
          <w:lang w:eastAsia="zh-CN"/>
        </w:rPr>
        <w:t>证明当事人在籽棉收购经营活动中，未按规定进行</w:t>
      </w:r>
      <w:r>
        <w:rPr>
          <w:rFonts w:hint="eastAsia" w:ascii="仿宋_GB2312" w:hAnsi="仿宋_GB2312" w:eastAsia="仿宋_GB2312" w:cs="仿宋_GB2312"/>
          <w:sz w:val="32"/>
          <w:szCs w:val="32"/>
          <w:lang w:val="en-US" w:eastAsia="zh-CN"/>
        </w:rPr>
        <w:t>“一试五定”的</w:t>
      </w:r>
      <w:r>
        <w:rPr>
          <w:rFonts w:hint="eastAsia" w:ascii="仿宋_GB2312" w:hAnsi="仿宋_GB2312" w:eastAsia="仿宋_GB2312" w:cs="仿宋_GB2312"/>
          <w:sz w:val="32"/>
          <w:szCs w:val="32"/>
          <w:lang w:eastAsia="zh-CN"/>
        </w:rPr>
        <w:t>违法事实；</w:t>
      </w:r>
    </w:p>
    <w:p>
      <w:pPr>
        <w:keepNext w:val="0"/>
        <w:keepLines w:val="0"/>
        <w:pageBreakBefore w:val="0"/>
        <w:widowControl w:val="0"/>
        <w:kinsoku/>
        <w:wordWrap/>
        <w:overflowPunct/>
        <w:topLinePunct w:val="0"/>
        <w:autoSpaceDE w:val="0"/>
        <w:autoSpaceDN w:val="0"/>
        <w:bidi w:val="0"/>
        <w:adjustRightInd/>
        <w:snapToGrid/>
        <w:spacing w:line="540" w:lineRule="exact"/>
        <w:ind w:left="0" w:righ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sz w:val="32"/>
          <w:szCs w:val="32"/>
          <w:lang w:val="en-US" w:eastAsia="zh-CN"/>
        </w:rPr>
        <w:t>6、提取的乌苏市赛凌棉业有限公司籽棉收购检验单复印件1份（交售时间：2024年10月25日，单据号：0000246至0000248）、一试五定检验登记表复印件1份、收购过磅单复印件3份，证明当事人</w:t>
      </w:r>
      <w:r>
        <w:rPr>
          <w:rFonts w:hint="eastAsia" w:ascii="仿宋_GB2312" w:hAnsi="仿宋_GB2312" w:eastAsia="仿宋_GB2312" w:cs="仿宋_GB2312"/>
          <w:sz w:val="32"/>
          <w:szCs w:val="32"/>
          <w:lang w:eastAsia="zh-CN"/>
        </w:rPr>
        <w:t>在籽棉收购经营活动中，未按规定进行</w:t>
      </w:r>
      <w:r>
        <w:rPr>
          <w:rFonts w:hint="eastAsia" w:ascii="仿宋_GB2312" w:hAnsi="仿宋_GB2312" w:eastAsia="仿宋_GB2312" w:cs="仿宋_GB2312"/>
          <w:sz w:val="32"/>
          <w:szCs w:val="32"/>
          <w:lang w:val="en-US" w:eastAsia="zh-CN"/>
        </w:rPr>
        <w:t>“一试五定”的</w:t>
      </w:r>
      <w:r>
        <w:rPr>
          <w:rFonts w:hint="eastAsia" w:ascii="仿宋_GB2312" w:hAnsi="仿宋_GB2312" w:eastAsia="仿宋_GB2312" w:cs="仿宋_GB2312"/>
          <w:sz w:val="32"/>
          <w:szCs w:val="32"/>
          <w:lang w:eastAsia="zh-CN"/>
        </w:rPr>
        <w:t>违法事实；</w:t>
      </w:r>
    </w:p>
    <w:p>
      <w:pPr>
        <w:keepNext w:val="0"/>
        <w:keepLines w:val="0"/>
        <w:pageBreakBefore w:val="0"/>
        <w:widowControl w:val="0"/>
        <w:kinsoku/>
        <w:wordWrap/>
        <w:overflowPunct/>
        <w:topLinePunct w:val="0"/>
        <w:autoSpaceDE w:val="0"/>
        <w:autoSpaceDN w:val="0"/>
        <w:bidi w:val="0"/>
        <w:adjustRightInd/>
        <w:snapToGrid/>
        <w:spacing w:line="540" w:lineRule="exact"/>
        <w:ind w:left="0" w:right="0"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现场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检查</w:t>
      </w:r>
      <w:r>
        <w:rPr>
          <w:rFonts w:hint="eastAsia" w:ascii="仿宋_GB2312" w:hAnsi="仿宋_GB2312" w:eastAsia="仿宋_GB2312" w:cs="仿宋_GB2312"/>
          <w:color w:val="000000" w:themeColor="text1"/>
          <w:sz w:val="32"/>
          <w:szCs w:val="32"/>
          <w14:textFill>
            <w14:solidFill>
              <w14:schemeClr w14:val="tx1"/>
            </w14:solidFill>
          </w14:textFill>
        </w:rPr>
        <w:t>拍摄照片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4张、音像视频资料1份，</w:t>
      </w:r>
      <w:r>
        <w:rPr>
          <w:rFonts w:hint="eastAsia" w:ascii="仿宋_GB2312" w:hAnsi="仿宋_GB2312" w:eastAsia="仿宋_GB2312" w:cs="仿宋_GB2312"/>
          <w:spacing w:val="6"/>
          <w:kern w:val="1"/>
          <w:sz w:val="32"/>
          <w:szCs w:val="32"/>
        </w:rPr>
        <w:t>证明执法人</w:t>
      </w:r>
      <w:r>
        <w:rPr>
          <w:rFonts w:hint="eastAsia" w:ascii="仿宋_GB2312" w:hAnsi="仿宋_GB2312" w:eastAsia="仿宋_GB2312" w:cs="仿宋_GB2312"/>
          <w:kern w:val="1"/>
          <w:sz w:val="32"/>
          <w:szCs w:val="32"/>
        </w:rPr>
        <w:t>员在202</w:t>
      </w:r>
      <w:r>
        <w:rPr>
          <w:rFonts w:hint="eastAsia" w:ascii="仿宋_GB2312" w:hAnsi="仿宋_GB2312" w:eastAsia="仿宋_GB2312" w:cs="仿宋_GB2312"/>
          <w:kern w:val="1"/>
          <w:sz w:val="32"/>
          <w:szCs w:val="32"/>
          <w:lang w:val="en-US" w:eastAsia="zh-CN"/>
        </w:rPr>
        <w:t>4</w:t>
      </w:r>
      <w:r>
        <w:rPr>
          <w:rFonts w:hint="eastAsia" w:ascii="仿宋_GB2312" w:hAnsi="仿宋_GB2312" w:eastAsia="仿宋_GB2312" w:cs="仿宋_GB2312"/>
          <w:kern w:val="1"/>
          <w:sz w:val="32"/>
          <w:szCs w:val="32"/>
        </w:rPr>
        <w:t>年</w:t>
      </w:r>
      <w:r>
        <w:rPr>
          <w:rFonts w:hint="eastAsia" w:ascii="仿宋_GB2312" w:hAnsi="仿宋_GB2312" w:eastAsia="仿宋_GB2312" w:cs="仿宋_GB2312"/>
          <w:kern w:val="1"/>
          <w:sz w:val="32"/>
          <w:szCs w:val="32"/>
          <w:lang w:val="en-US" w:eastAsia="zh-CN"/>
        </w:rPr>
        <w:t>10</w:t>
      </w:r>
      <w:r>
        <w:rPr>
          <w:rFonts w:hint="eastAsia" w:ascii="仿宋_GB2312" w:hAnsi="仿宋_GB2312" w:eastAsia="仿宋_GB2312" w:cs="仿宋_GB2312"/>
          <w:kern w:val="1"/>
          <w:sz w:val="32"/>
          <w:szCs w:val="32"/>
        </w:rPr>
        <w:t>月</w:t>
      </w:r>
      <w:r>
        <w:rPr>
          <w:rFonts w:hint="eastAsia" w:ascii="仿宋_GB2312" w:hAnsi="仿宋_GB2312" w:eastAsia="仿宋_GB2312" w:cs="仿宋_GB2312"/>
          <w:kern w:val="1"/>
          <w:sz w:val="32"/>
          <w:szCs w:val="32"/>
          <w:lang w:val="en-US" w:eastAsia="zh-CN"/>
        </w:rPr>
        <w:t>25</w:t>
      </w:r>
      <w:r>
        <w:rPr>
          <w:rFonts w:hint="eastAsia" w:ascii="仿宋_GB2312" w:hAnsi="仿宋_GB2312" w:eastAsia="仿宋_GB2312" w:cs="仿宋_GB2312"/>
          <w:kern w:val="1"/>
          <w:sz w:val="32"/>
          <w:szCs w:val="32"/>
        </w:rPr>
        <w:t>日对乌苏市</w:t>
      </w:r>
      <w:r>
        <w:rPr>
          <w:rFonts w:hint="eastAsia" w:ascii="仿宋_GB2312" w:hAnsi="仿宋_GB2312" w:eastAsia="仿宋_GB2312" w:cs="仿宋_GB2312"/>
          <w:kern w:val="1"/>
          <w:sz w:val="32"/>
          <w:szCs w:val="32"/>
          <w:lang w:eastAsia="zh-CN"/>
        </w:rPr>
        <w:t>赛凌棉业有限公司进</w:t>
      </w:r>
      <w:r>
        <w:rPr>
          <w:rFonts w:hint="eastAsia" w:ascii="仿宋_GB2312" w:hAnsi="仿宋_GB2312" w:eastAsia="仿宋_GB2312" w:cs="仿宋_GB2312"/>
          <w:kern w:val="1"/>
          <w:sz w:val="32"/>
          <w:szCs w:val="32"/>
        </w:rPr>
        <w:t>行</w:t>
      </w:r>
      <w:r>
        <w:rPr>
          <w:rFonts w:hint="eastAsia" w:ascii="仿宋_GB2312" w:hAnsi="仿宋_GB2312" w:eastAsia="仿宋_GB2312" w:cs="仿宋_GB2312"/>
          <w:kern w:val="1"/>
          <w:sz w:val="32"/>
          <w:szCs w:val="32"/>
          <w:lang w:eastAsia="zh-CN"/>
        </w:rPr>
        <w:t>现场</w:t>
      </w:r>
      <w:r>
        <w:rPr>
          <w:rFonts w:hint="eastAsia" w:ascii="仿宋_GB2312" w:hAnsi="仿宋_GB2312" w:eastAsia="仿宋_GB2312" w:cs="仿宋_GB2312"/>
          <w:kern w:val="1"/>
          <w:sz w:val="32"/>
          <w:szCs w:val="32"/>
        </w:rPr>
        <w:t>检查发现当事人</w:t>
      </w:r>
      <w:r>
        <w:rPr>
          <w:rFonts w:hint="eastAsia" w:ascii="仿宋_GB2312" w:hAnsi="仿宋_GB2312" w:eastAsia="仿宋_GB2312" w:cs="仿宋_GB2312"/>
          <w:kern w:val="1"/>
          <w:sz w:val="32"/>
          <w:szCs w:val="32"/>
          <w:lang w:eastAsia="zh-CN"/>
        </w:rPr>
        <w:t>未按照国家标准和技术规范要求收购籽棉</w:t>
      </w:r>
      <w:r>
        <w:rPr>
          <w:rFonts w:hint="eastAsia" w:ascii="仿宋_GB2312" w:hAnsi="仿宋_GB2312" w:eastAsia="仿宋_GB2312" w:cs="仿宋_GB2312"/>
          <w:kern w:val="1"/>
          <w:sz w:val="32"/>
          <w:szCs w:val="32"/>
        </w:rPr>
        <w:t>的事实</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spacing w:line="540" w:lineRule="exact"/>
        <w:ind w:left="0" w:right="0"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以上证据材料均由当事人核对无误，并签字确认。</w:t>
      </w:r>
    </w:p>
    <w:p>
      <w:pPr>
        <w:pStyle w:val="2"/>
        <w:keepNext w:val="0"/>
        <w:keepLines w:val="0"/>
        <w:pageBreakBefore w:val="0"/>
        <w:tabs>
          <w:tab w:val="left" w:pos="9060"/>
        </w:tabs>
        <w:kinsoku/>
        <w:wordWrap/>
        <w:overflowPunct/>
        <w:topLinePunct w:val="0"/>
        <w:bidi w:val="0"/>
        <w:spacing w:line="540" w:lineRule="exact"/>
        <w:ind w:left="0" w:right="0" w:firstLine="640" w:firstLineChars="200"/>
        <w:jc w:val="both"/>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Cs/>
          <w:color w:val="000000"/>
          <w:sz w:val="32"/>
          <w:szCs w:val="32"/>
          <w:u w:val="none" w:color="auto"/>
          <w:lang w:eastAsia="zh-CN"/>
        </w:rPr>
        <w:t>我</w:t>
      </w:r>
      <w:r>
        <w:rPr>
          <w:rFonts w:hint="eastAsia" w:ascii="仿宋_GB2312" w:hAnsi="仿宋_GB2312" w:eastAsia="仿宋_GB2312" w:cs="仿宋_GB2312"/>
          <w:bCs/>
          <w:color w:val="000000"/>
          <w:sz w:val="32"/>
          <w:szCs w:val="32"/>
          <w:u w:val="none" w:color="auto"/>
        </w:rPr>
        <w:t>局于202</w:t>
      </w:r>
      <w:r>
        <w:rPr>
          <w:rFonts w:hint="eastAsia" w:ascii="仿宋_GB2312" w:hAnsi="仿宋_GB2312" w:eastAsia="仿宋_GB2312" w:cs="仿宋_GB2312"/>
          <w:bCs/>
          <w:color w:val="000000"/>
          <w:sz w:val="32"/>
          <w:szCs w:val="32"/>
          <w:u w:val="none" w:color="auto"/>
          <w:lang w:val="en-US" w:eastAsia="zh-CN"/>
        </w:rPr>
        <w:t>5</w:t>
      </w:r>
      <w:r>
        <w:rPr>
          <w:rFonts w:hint="eastAsia" w:ascii="仿宋_GB2312" w:hAnsi="仿宋_GB2312" w:eastAsia="仿宋_GB2312" w:cs="仿宋_GB2312"/>
          <w:bCs/>
          <w:color w:val="000000"/>
          <w:sz w:val="32"/>
          <w:szCs w:val="32"/>
          <w:u w:val="none" w:color="auto"/>
        </w:rPr>
        <w:t>年</w:t>
      </w:r>
      <w:r>
        <w:rPr>
          <w:rFonts w:hint="eastAsia" w:ascii="仿宋_GB2312" w:hAnsi="仿宋_GB2312" w:eastAsia="仿宋_GB2312" w:cs="仿宋_GB2312"/>
          <w:bCs/>
          <w:color w:val="000000"/>
          <w:sz w:val="32"/>
          <w:szCs w:val="32"/>
          <w:u w:val="none" w:color="auto"/>
          <w:lang w:val="en-US" w:eastAsia="zh-CN"/>
        </w:rPr>
        <w:t>1</w:t>
      </w:r>
      <w:r>
        <w:rPr>
          <w:rFonts w:hint="eastAsia" w:ascii="仿宋_GB2312" w:hAnsi="仿宋_GB2312" w:eastAsia="仿宋_GB2312" w:cs="仿宋_GB2312"/>
          <w:bCs/>
          <w:color w:val="000000"/>
          <w:sz w:val="32"/>
          <w:szCs w:val="32"/>
          <w:u w:val="none" w:color="auto"/>
        </w:rPr>
        <w:t>月</w:t>
      </w:r>
      <w:r>
        <w:rPr>
          <w:rFonts w:hint="eastAsia" w:ascii="仿宋_GB2312" w:hAnsi="仿宋_GB2312" w:eastAsia="仿宋_GB2312" w:cs="仿宋_GB2312"/>
          <w:bCs/>
          <w:color w:val="000000"/>
          <w:sz w:val="32"/>
          <w:szCs w:val="32"/>
          <w:u w:val="none" w:color="auto"/>
          <w:lang w:val="en-US" w:eastAsia="zh-CN"/>
        </w:rPr>
        <w:t>22</w:t>
      </w:r>
      <w:r>
        <w:rPr>
          <w:rFonts w:hint="eastAsia" w:ascii="仿宋_GB2312" w:hAnsi="仿宋_GB2312" w:eastAsia="仿宋_GB2312" w:cs="仿宋_GB2312"/>
          <w:bCs/>
          <w:color w:val="000000"/>
          <w:sz w:val="32"/>
          <w:szCs w:val="32"/>
          <w:u w:val="none" w:color="auto"/>
        </w:rPr>
        <w:t>日</w:t>
      </w:r>
      <w:r>
        <w:rPr>
          <w:rFonts w:hint="eastAsia" w:ascii="仿宋_GB2312" w:hAnsi="仿宋_GB2312" w:eastAsia="仿宋_GB2312" w:cs="仿宋_GB2312"/>
          <w:bCs/>
          <w:color w:val="000000"/>
          <w:sz w:val="32"/>
          <w:szCs w:val="32"/>
          <w:u w:val="none" w:color="auto"/>
          <w:lang w:eastAsia="zh-CN"/>
        </w:rPr>
        <w:t>依法</w:t>
      </w:r>
      <w:r>
        <w:rPr>
          <w:rFonts w:hint="eastAsia" w:ascii="仿宋_GB2312" w:hAnsi="仿宋_GB2312" w:eastAsia="仿宋_GB2312" w:cs="仿宋_GB2312"/>
          <w:bCs/>
          <w:color w:val="000000"/>
          <w:sz w:val="32"/>
          <w:szCs w:val="32"/>
          <w:u w:val="none" w:color="auto"/>
        </w:rPr>
        <w:t>向当事人送达了《行政处罚告知书》</w:t>
      </w:r>
      <w:r>
        <w:rPr>
          <w:rFonts w:hint="eastAsia" w:ascii="仿宋_GB2312" w:hAnsi="仿宋_GB2312" w:eastAsia="仿宋_GB2312" w:cs="仿宋_GB2312"/>
          <w:bCs/>
          <w:color w:val="000000"/>
          <w:sz w:val="32"/>
          <w:szCs w:val="32"/>
          <w:u w:val="none" w:color="auto"/>
          <w:lang w:eastAsia="zh-CN"/>
        </w:rPr>
        <w:t>（</w:t>
      </w:r>
      <w:r>
        <w:rPr>
          <w:rFonts w:hint="eastAsia" w:ascii="仿宋_GB2312" w:hAnsi="仿宋_GB2312" w:eastAsia="仿宋_GB2312" w:cs="仿宋_GB2312"/>
          <w:bCs/>
          <w:color w:val="000000"/>
          <w:sz w:val="32"/>
          <w:szCs w:val="32"/>
          <w:u w:val="none" w:color="auto"/>
          <w:lang w:val="en-US" w:eastAsia="zh-CN"/>
        </w:rPr>
        <w:t>塔乌市监罚告〔2025〕26号）</w:t>
      </w:r>
      <w:r>
        <w:rPr>
          <w:rFonts w:hint="eastAsia" w:ascii="仿宋_GB2312" w:hAnsi="仿宋_GB2312" w:eastAsia="仿宋_GB2312" w:cs="仿宋_GB2312"/>
          <w:bCs/>
          <w:color w:val="000000"/>
          <w:sz w:val="32"/>
          <w:szCs w:val="32"/>
          <w:u w:val="none" w:color="auto"/>
        </w:rPr>
        <w:t>，</w:t>
      </w:r>
      <w:r>
        <w:rPr>
          <w:rFonts w:hint="eastAsia" w:ascii="仿宋_GB2312" w:hAnsi="仿宋_GB2312" w:eastAsia="仿宋_GB2312" w:cs="仿宋_GB2312"/>
          <w:bCs/>
          <w:color w:val="000000"/>
          <w:sz w:val="32"/>
          <w:szCs w:val="32"/>
          <w:u w:val="none" w:color="auto"/>
          <w:lang w:eastAsia="zh-CN"/>
        </w:rPr>
        <w:t>告知了当事人依法享有陈述、申辩的权利，</w:t>
      </w:r>
      <w:r>
        <w:rPr>
          <w:rFonts w:hint="eastAsia" w:ascii="仿宋_GB2312" w:hAnsi="仿宋_GB2312" w:eastAsia="仿宋_GB2312" w:cs="仿宋_GB2312"/>
          <w:bCs/>
          <w:color w:val="000000"/>
          <w:sz w:val="32"/>
          <w:szCs w:val="32"/>
          <w:u w:val="none" w:color="auto"/>
        </w:rPr>
        <w:t>当事人在法定期限内</w:t>
      </w:r>
      <w:r>
        <w:rPr>
          <w:rFonts w:hint="eastAsia" w:ascii="仿宋_GB2312" w:hAnsi="仿宋_GB2312" w:eastAsia="仿宋_GB2312" w:cs="仿宋_GB2312"/>
          <w:bCs/>
          <w:color w:val="000000"/>
          <w:sz w:val="32"/>
          <w:szCs w:val="32"/>
          <w:u w:val="none" w:color="auto"/>
          <w:lang w:eastAsia="zh-CN"/>
        </w:rPr>
        <w:t>未</w:t>
      </w:r>
      <w:r>
        <w:rPr>
          <w:rFonts w:hint="eastAsia" w:ascii="仿宋_GB2312" w:hAnsi="仿宋_GB2312" w:eastAsia="仿宋_GB2312" w:cs="仿宋_GB2312"/>
          <w:bCs/>
          <w:color w:val="000000"/>
          <w:sz w:val="32"/>
          <w:szCs w:val="32"/>
          <w:u w:val="none" w:color="auto"/>
        </w:rPr>
        <w:t>提出陈述、申辩</w:t>
      </w:r>
      <w:r>
        <w:rPr>
          <w:rFonts w:hint="eastAsia" w:ascii="仿宋_GB2312" w:hAnsi="仿宋_GB2312" w:eastAsia="仿宋_GB2312" w:cs="仿宋_GB2312"/>
          <w:bCs/>
          <w:color w:val="000000"/>
          <w:sz w:val="32"/>
          <w:szCs w:val="32"/>
          <w:u w:val="none" w:color="auto"/>
          <w:lang w:eastAsia="zh-CN"/>
        </w:rPr>
        <w:t>，视为放弃此权利</w:t>
      </w:r>
      <w:r>
        <w:rPr>
          <w:rFonts w:hint="eastAsia" w:ascii="仿宋_GB2312" w:hAnsi="仿宋_GB2312" w:eastAsia="仿宋_GB2312" w:cs="仿宋_GB2312"/>
          <w:bCs/>
          <w:color w:val="000000"/>
          <w:sz w:val="32"/>
          <w:szCs w:val="32"/>
          <w:u w:val="none" w:color="auto"/>
        </w:rPr>
        <w:t xml:space="preserve">。 </w:t>
      </w:r>
      <w:r>
        <w:rPr>
          <w:rFonts w:hint="eastAsia" w:ascii="仿宋_GB2312" w:hAnsi="仿宋_GB2312" w:eastAsia="仿宋_GB2312" w:cs="仿宋_GB2312"/>
          <w:sz w:val="32"/>
          <w:szCs w:val="32"/>
          <w:u w:val="none"/>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540" w:lineRule="exact"/>
        <w:ind w:left="0" w:right="0" w:firstLine="640"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z w:val="32"/>
          <w:szCs w:val="32"/>
          <w:lang w:val="en-US" w:eastAsia="zh-CN"/>
        </w:rPr>
        <w:t>当事人在收购籽棉过程中</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未按照国家标准和技术规范收购棉花</w:t>
      </w:r>
      <w:r>
        <w:rPr>
          <w:rFonts w:hint="eastAsia" w:ascii="仿宋_GB2312" w:hAnsi="仿宋_GB2312" w:eastAsia="仿宋_GB2312" w:cs="仿宋_GB2312"/>
          <w:sz w:val="32"/>
          <w:szCs w:val="32"/>
          <w:lang w:val="en-US" w:eastAsia="zh-CN"/>
        </w:rPr>
        <w:t>的行为，违反了《棉花质量监督管理条例》第七条第二款：“棉花经营者收购棉花时，应当按照国家标准和技术规范，排除异性纤维和其他有害物质后确定所收购棉</w:t>
      </w:r>
      <w:r>
        <w:rPr>
          <w:rFonts w:hint="eastAsia" w:ascii="仿宋_GB2312" w:hAnsi="仿宋_GB2312" w:eastAsia="仿宋_GB2312" w:cs="仿宋_GB2312"/>
          <w:spacing w:val="-6"/>
          <w:sz w:val="32"/>
          <w:szCs w:val="32"/>
          <w:lang w:val="en-US" w:eastAsia="zh-CN"/>
        </w:rPr>
        <w:t>花的类别、等级、数量；所收购的棉花超出国家规定的水分标准的，应当晾晒、烘干等技术处理，保证棉花质量。”的规定。</w:t>
      </w:r>
    </w:p>
    <w:p>
      <w:pPr>
        <w:keepNext w:val="0"/>
        <w:keepLines w:val="0"/>
        <w:pageBreakBefore w:val="0"/>
        <w:widowControl w:val="0"/>
        <w:kinsoku/>
        <w:wordWrap/>
        <w:overflowPunct/>
        <w:topLinePunct w:val="0"/>
        <w:autoSpaceDE w:val="0"/>
        <w:autoSpaceDN w:val="0"/>
        <w:bidi w:val="0"/>
        <w:adjustRightInd/>
        <w:snapToGrid/>
        <w:spacing w:line="540" w:lineRule="exact"/>
        <w:ind w:left="0" w:right="0" w:firstLine="640" w:firstLineChars="200"/>
        <w:jc w:val="both"/>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sz w:val="32"/>
          <w:szCs w:val="32"/>
          <w:lang w:eastAsia="zh-CN"/>
        </w:rPr>
        <w:t>鉴于当事人在</w:t>
      </w:r>
      <w:r>
        <w:rPr>
          <w:rFonts w:hint="eastAsia" w:ascii="仿宋_GB2312" w:hAnsi="仿宋_GB2312" w:eastAsia="仿宋_GB2312" w:cs="仿宋_GB2312"/>
          <w:sz w:val="32"/>
          <w:szCs w:val="32"/>
          <w:lang w:val="en-US" w:eastAsia="zh-CN"/>
        </w:rPr>
        <w:t>案</w:t>
      </w:r>
      <w:r>
        <w:rPr>
          <w:rFonts w:hint="eastAsia" w:ascii="仿宋_GB2312" w:hAnsi="仿宋_GB2312" w:eastAsia="仿宋_GB2312" w:cs="仿宋_GB2312"/>
          <w:spacing w:val="-6"/>
          <w:sz w:val="32"/>
          <w:szCs w:val="32"/>
          <w:lang w:val="en-US" w:eastAsia="zh-CN"/>
        </w:rPr>
        <w:t>件</w:t>
      </w:r>
      <w:r>
        <w:rPr>
          <w:rFonts w:hint="eastAsia" w:ascii="仿宋_GB2312" w:hAnsi="仿宋_GB2312" w:eastAsia="仿宋_GB2312" w:cs="仿宋_GB2312"/>
          <w:spacing w:val="-6"/>
          <w:sz w:val="32"/>
          <w:szCs w:val="32"/>
          <w:lang w:eastAsia="zh-CN"/>
        </w:rPr>
        <w:t>调查过程中</w:t>
      </w:r>
      <w:r>
        <w:rPr>
          <w:rFonts w:hint="eastAsia" w:ascii="仿宋_GB2312" w:hAnsi="仿宋_GB2312" w:eastAsia="仿宋_GB2312" w:cs="仿宋_GB2312"/>
          <w:spacing w:val="-6"/>
          <w:sz w:val="32"/>
          <w:szCs w:val="32"/>
          <w:lang w:val="en-US" w:eastAsia="zh-CN"/>
        </w:rPr>
        <w:t>态度端正，积极配合调查并如实陈述违法事实，</w:t>
      </w:r>
      <w:r>
        <w:rPr>
          <w:rFonts w:hint="eastAsia" w:ascii="仿宋_GB2312" w:hAnsi="仿宋_GB2312" w:eastAsia="仿宋_GB2312" w:cs="仿宋_GB2312"/>
          <w:sz w:val="32"/>
          <w:szCs w:val="32"/>
          <w:lang w:val="en-US" w:eastAsia="zh-CN"/>
        </w:rPr>
        <w:t>违法行为危害后果轻微，认识深刻并积极主动改正。</w:t>
      </w:r>
      <w:r>
        <w:rPr>
          <w:rFonts w:hint="eastAsia" w:ascii="仿宋_GB2312" w:hAnsi="仿宋_GB2312" w:eastAsia="仿宋_GB2312" w:cs="仿宋_GB2312"/>
          <w:sz w:val="32"/>
          <w:szCs w:val="32"/>
          <w:lang w:eastAsia="zh-CN"/>
        </w:rPr>
        <w:t>当事人</w:t>
      </w:r>
      <w:r>
        <w:rPr>
          <w:rFonts w:hint="eastAsia" w:ascii="仿宋_GB2312" w:hAnsi="仿宋_GB2312" w:eastAsia="仿宋_GB2312" w:cs="仿宋_GB2312"/>
          <w:sz w:val="32"/>
          <w:szCs w:val="32"/>
          <w:lang w:val="en-US" w:eastAsia="zh-CN"/>
        </w:rPr>
        <w:t>的上述情况符合《新疆维吾尔自治区 新疆生产建设兵团市场监督管理行政处罚裁量权适用规定》第十七条第二项、第三项：“有下列情形之一的，可以依法从轻或者减轻行政处罚：（二）积极配合市场监督管理部门调查，并主动提供证据材料的；（三）违法行为轻微，社会危害性较大的；”的规定，参照《新疆维吾尔自治区 新疆生产建设兵团市场监督管理行政处罚裁量基准（2024年版）》第九章纤维检验监督管理第一节《棉花质量监督管理条例》“序号1，违法行为：棉花经营者收购棉花，不按照国家标准和技术规范排除异性纤维和其他有害物质后确定所收购的棉花的类别、等级、数量，</w:t>
      </w:r>
      <w:r>
        <w:rPr>
          <w:rFonts w:hint="eastAsia" w:ascii="仿宋_GB2312" w:hAnsi="仿宋_GB2312" w:eastAsia="仿宋_GB2312" w:cs="仿宋_GB2312"/>
          <w:spacing w:val="6"/>
          <w:sz w:val="32"/>
          <w:szCs w:val="32"/>
          <w:lang w:val="en-US" w:eastAsia="zh-CN"/>
        </w:rPr>
        <w:t>或者对所收购的棉花超出国家规定水分标准的棉花不进行</w:t>
      </w:r>
      <w:r>
        <w:rPr>
          <w:rFonts w:hint="eastAsia" w:ascii="仿宋_GB2312" w:hAnsi="仿宋_GB2312" w:eastAsia="仿宋_GB2312" w:cs="仿宋_GB2312"/>
          <w:sz w:val="32"/>
          <w:szCs w:val="32"/>
          <w:lang w:val="en-US" w:eastAsia="zh-CN"/>
        </w:rPr>
        <w:t>技术处理，或者对所收购的棉花不分类别、等级置放的行为。法律依据：《棉花质量监督管理条例》第二十四条：棉花经营者收购棉花，违反本条例第七条第二款的规定，不按照国</w:t>
      </w:r>
      <w:r>
        <w:rPr>
          <w:rFonts w:hint="eastAsia" w:ascii="仿宋_GB2312" w:hAnsi="仿宋_GB2312" w:eastAsia="仿宋_GB2312" w:cs="仿宋_GB2312"/>
          <w:spacing w:val="6"/>
          <w:sz w:val="32"/>
          <w:szCs w:val="32"/>
          <w:lang w:val="en-US" w:eastAsia="zh-CN"/>
        </w:rPr>
        <w:t>家标准和技术规范排除异性纤维和其他有害物质后确定所</w:t>
      </w:r>
      <w:r>
        <w:rPr>
          <w:rFonts w:hint="eastAsia" w:ascii="仿宋_GB2312" w:hAnsi="仿宋_GB2312" w:eastAsia="仿宋_GB2312" w:cs="仿宋_GB2312"/>
          <w:sz w:val="32"/>
          <w:szCs w:val="32"/>
          <w:lang w:val="en-US" w:eastAsia="zh-CN"/>
        </w:rPr>
        <w:t>收购的棉花的类别、等级、数量，或者对所收购的棉花超出国家规定水分标准的棉花不进行技术处理，或者对所收购的棉花不分类别、等级置放的，由棉花质量监督管理机构责令</w:t>
      </w:r>
      <w:r>
        <w:rPr>
          <w:rFonts w:hint="eastAsia" w:ascii="仿宋_GB2312" w:hAnsi="仿宋_GB2312" w:eastAsia="仿宋_GB2312" w:cs="仿宋_GB2312"/>
          <w:spacing w:val="6"/>
          <w:sz w:val="32"/>
          <w:szCs w:val="32"/>
          <w:lang w:val="en-US" w:eastAsia="zh-CN"/>
        </w:rPr>
        <w:t>改正，可以处3万元以下的罚款。违法情节：有下列情形之一的：（1）只检验籽棉衣分率，对棉花颜色级或长度或回潮率进行估验确定棉花等级、数量的</w:t>
      </w:r>
      <w:r>
        <w:rPr>
          <w:rFonts w:hint="eastAsia" w:ascii="仿宋_GB2312" w:hAnsi="仿宋_GB2312" w:eastAsia="仿宋_GB2312" w:cs="仿宋_GB2312"/>
          <w:sz w:val="32"/>
          <w:szCs w:val="32"/>
          <w:lang w:val="en-US" w:eastAsia="zh-CN"/>
        </w:rPr>
        <w:t>；裁量基准：（1）责令改正；（2）可以处9000元以上2.1万元以下罚款。”的规定，综合考虑个案情况、</w:t>
      </w:r>
      <w:r>
        <w:rPr>
          <w:rFonts w:hint="eastAsia" w:ascii="仿宋_GB2312" w:hAnsi="仿宋_GB2312" w:eastAsia="仿宋_GB2312" w:cs="仿宋_GB2312"/>
          <w:sz w:val="32"/>
          <w:szCs w:val="32"/>
          <w:lang w:eastAsia="zh-CN"/>
        </w:rPr>
        <w:t>当事人</w:t>
      </w:r>
      <w:r>
        <w:rPr>
          <w:rFonts w:hint="eastAsia" w:ascii="仿宋_GB2312" w:hAnsi="仿宋_GB2312" w:eastAsia="仿宋_GB2312" w:cs="仿宋_GB2312"/>
          <w:sz w:val="32"/>
          <w:szCs w:val="32"/>
          <w:lang w:val="en-US" w:eastAsia="zh-CN"/>
        </w:rPr>
        <w:t>主客观等相关因素，决定给予</w:t>
      </w:r>
      <w:r>
        <w:rPr>
          <w:rFonts w:hint="eastAsia" w:ascii="仿宋_GB2312" w:hAnsi="仿宋_GB2312" w:eastAsia="仿宋_GB2312" w:cs="仿宋_GB2312"/>
          <w:sz w:val="32"/>
          <w:szCs w:val="32"/>
          <w:lang w:eastAsia="zh-CN"/>
        </w:rPr>
        <w:t>当事人</w:t>
      </w:r>
      <w:r>
        <w:rPr>
          <w:rFonts w:hint="eastAsia" w:ascii="仿宋_GB2312" w:hAnsi="仿宋_GB2312" w:eastAsia="仿宋_GB2312" w:cs="仿宋_GB2312"/>
          <w:sz w:val="32"/>
          <w:szCs w:val="32"/>
          <w:lang w:val="en-US" w:eastAsia="zh-CN"/>
        </w:rPr>
        <w:t>一般行政处罚。</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val="0"/>
        <w:autoSpaceDN w:val="0"/>
        <w:bidi w:val="0"/>
        <w:adjustRightInd/>
        <w:snapToGrid/>
        <w:spacing w:line="540" w:lineRule="exact"/>
        <w:ind w:left="0" w:right="0" w:firstLine="640" w:firstLineChars="200"/>
        <w:jc w:val="both"/>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依据《棉花质量监督管理条例》第二十四条：“棉花经营者收购棉花，违反本条例第七条第二款、第三款的规定，不按照国家标准和技术规范排除异性纤维和其他有害物质后确定所收购的棉花的类别、等级、数量，或</w:t>
      </w:r>
      <w:r>
        <w:rPr>
          <w:rFonts w:hint="eastAsia" w:ascii="仿宋_GB2312" w:hAnsi="仿宋_GB2312" w:eastAsia="仿宋_GB2312" w:cs="仿宋_GB2312"/>
          <w:color w:val="000000" w:themeColor="text1"/>
          <w:spacing w:val="6"/>
          <w:sz w:val="32"/>
          <w:szCs w:val="32"/>
          <w:u w:val="none"/>
          <w:lang w:val="en-US" w:eastAsia="zh-CN"/>
          <w14:textFill>
            <w14:solidFill>
              <w14:schemeClr w14:val="tx1"/>
            </w14:solidFill>
          </w14:textFill>
        </w:rPr>
        <w:t>者对所收购的棉花超出国家规定水分标准的棉花不进行技</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术处理，或者对所收购的棉花不分类别、等级置放的，由棉花质量监督管理机构责令改正，可以处3万元以下的罚款。”的规定，责令当事人改正违法经营行为，决定对当事人处罚如下：</w:t>
      </w:r>
    </w:p>
    <w:p>
      <w:pPr>
        <w:keepNext w:val="0"/>
        <w:keepLines w:val="0"/>
        <w:pageBreakBefore w:val="0"/>
        <w:kinsoku/>
        <w:wordWrap/>
        <w:overflowPunct/>
        <w:topLinePunct w:val="0"/>
        <w:bidi w:val="0"/>
        <w:spacing w:line="540" w:lineRule="exact"/>
        <w:ind w:left="0" w:right="0" w:firstLine="640" w:firstLineChars="200"/>
        <w:jc w:val="both"/>
        <w:rPr>
          <w:rFonts w:hint="eastAsia" w:ascii="仿宋_GB2312" w:hAnsi="仿宋_GB2312" w:eastAsia="仿宋_GB2312" w:cs="仿宋_GB2312"/>
          <w:color w:val="000000"/>
          <w:sz w:val="32"/>
          <w:szCs w:val="32"/>
          <w:u w:val="none" w:color="auto"/>
          <w:lang w:val="en-US" w:eastAsia="zh-CN"/>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 xml:space="preserve">处10000元罚款。  </w:t>
      </w:r>
    </w:p>
    <w:p>
      <w:pPr>
        <w:pStyle w:val="2"/>
        <w:keepNext w:val="0"/>
        <w:keepLines w:val="0"/>
        <w:pageBreakBefore w:val="0"/>
        <w:tabs>
          <w:tab w:val="left" w:pos="9060"/>
        </w:tabs>
        <w:kinsoku/>
        <w:wordWrap/>
        <w:overflowPunct/>
        <w:topLinePunct w:val="0"/>
        <w:bidi w:val="0"/>
        <w:spacing w:line="540" w:lineRule="exact"/>
        <w:ind w:left="0" w:right="0" w:firstLine="640" w:firstLineChars="200"/>
        <w:jc w:val="both"/>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 xml:space="preserve">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人民法院强制执行。        </w:t>
      </w:r>
    </w:p>
    <w:p>
      <w:pPr>
        <w:keepNext w:val="0"/>
        <w:keepLines w:val="0"/>
        <w:pageBreakBefore w:val="0"/>
        <w:widowControl w:val="0"/>
        <w:kinsoku/>
        <w:wordWrap/>
        <w:overflowPunct/>
        <w:topLinePunct w:val="0"/>
        <w:autoSpaceDE/>
        <w:autoSpaceDN/>
        <w:bidi w:val="0"/>
        <w:adjustRightInd/>
        <w:spacing w:line="540" w:lineRule="exact"/>
        <w:ind w:left="0" w:right="0" w:firstLine="640"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 xml:space="preserve">如不服本行政处罚决定，可以在收到本行政处罚决定书之日起六十日内向乌苏市人民政府（地址：乌苏市新市区长江路139号财政大楼三楼行政复议办公室）申请行政复议；也可以在六个月内依法向乌苏市人民法院（地址：乌苏市新市区长江路140号）提起行政诉讼。申请行政复议或者提起行政诉讼期间，行政处罚不停止执行。                                                                     </w:t>
      </w:r>
    </w:p>
    <w:p>
      <w:pPr>
        <w:keepNext w:val="0"/>
        <w:keepLines w:val="0"/>
        <w:pageBreakBefore w:val="0"/>
        <w:kinsoku/>
        <w:wordWrap/>
        <w:overflowPunct/>
        <w:topLinePunct w:val="0"/>
        <w:bidi w:val="0"/>
        <w:spacing w:line="540" w:lineRule="exact"/>
        <w:ind w:left="0" w:right="0"/>
        <w:jc w:val="both"/>
        <w:rPr>
          <w:rFonts w:hint="eastAsia" w:ascii="仿宋_GB2312" w:hAnsi="仿宋_GB2312" w:eastAsia="仿宋_GB2312" w:cs="仿宋_GB2312"/>
          <w:sz w:val="32"/>
          <w:szCs w:val="32"/>
        </w:rPr>
      </w:pPr>
    </w:p>
    <w:p>
      <w:pPr>
        <w:keepNext w:val="0"/>
        <w:keepLines w:val="0"/>
        <w:pageBreakBefore w:val="0"/>
        <w:kinsoku/>
        <w:wordWrap/>
        <w:overflowPunct/>
        <w:topLinePunct w:val="0"/>
        <w:bidi w:val="0"/>
        <w:spacing w:line="540" w:lineRule="exact"/>
        <w:ind w:left="0" w:right="0" w:rightChars="0" w:firstLine="601"/>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乌苏市</w:t>
      </w:r>
      <w:r>
        <w:rPr>
          <w:rFonts w:hint="eastAsia" w:ascii="仿宋_GB2312" w:hAnsi="仿宋_GB2312" w:eastAsia="仿宋_GB2312" w:cs="仿宋_GB2312"/>
          <w:color w:val="000000"/>
          <w:sz w:val="32"/>
          <w:szCs w:val="32"/>
        </w:rPr>
        <w:t>市场监督管理局</w:t>
      </w:r>
    </w:p>
    <w:p>
      <w:pPr>
        <w:keepNext w:val="0"/>
        <w:keepLines w:val="0"/>
        <w:pageBreakBefore w:val="0"/>
        <w:kinsoku/>
        <w:wordWrap/>
        <w:overflowPunct/>
        <w:topLinePunct w:val="0"/>
        <w:bidi w:val="0"/>
        <w:spacing w:line="540" w:lineRule="exact"/>
        <w:ind w:left="0" w:right="0" w:firstLine="601"/>
        <w:jc w:val="both"/>
        <w:outlineLvl w:val="1"/>
        <w:rPr>
          <w:rFonts w:hint="eastAsia" w:ascii="仿宋_GB2312" w:hAnsi="仿宋_GB2312" w:eastAsia="仿宋_GB2312" w:cs="仿宋_GB2312"/>
          <w:color w:val="231F20"/>
          <w:spacing w:val="-16"/>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2025</w:t>
      </w:r>
      <w:r>
        <w:rPr>
          <w:rFonts w:hint="eastAsia" w:ascii="仿宋_GB2312" w:hAnsi="仿宋_GB2312" w:eastAsia="仿宋_GB2312" w:cs="仿宋_GB2312"/>
          <w:color w:val="000000"/>
          <w:sz w:val="32"/>
          <w:szCs w:val="32"/>
        </w:rPr>
        <w:t xml:space="preserve">年 </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 xml:space="preserve"> 月 </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 xml:space="preserve"> 日</w:t>
      </w:r>
    </w:p>
    <w:p>
      <w:pPr>
        <w:keepNext w:val="0"/>
        <w:keepLines w:val="0"/>
        <w:pageBreakBefore w:val="0"/>
        <w:widowControl w:val="0"/>
        <w:kinsoku/>
        <w:wordWrap/>
        <w:overflowPunct/>
        <w:topLinePunct w:val="0"/>
        <w:autoSpaceDE/>
        <w:autoSpaceDN/>
        <w:bidi w:val="0"/>
        <w:adjustRightInd/>
        <w:snapToGrid/>
        <w:spacing w:line="540" w:lineRule="exact"/>
        <w:ind w:left="0" w:right="0"/>
        <w:jc w:val="both"/>
        <w:textAlignment w:val="auto"/>
        <w:outlineLvl w:val="1"/>
        <w:rPr>
          <w:rFonts w:hint="eastAsia" w:ascii="仿宋_GB2312" w:hAnsi="仿宋_GB2312" w:eastAsia="仿宋_GB2312" w:cs="仿宋_GB2312"/>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right="0"/>
        <w:jc w:val="both"/>
        <w:textAlignment w:val="auto"/>
        <w:outlineLvl w:val="1"/>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231F20"/>
          <w:spacing w:val="-16"/>
          <w:sz w:val="32"/>
          <w:szCs w:val="32"/>
        </w:rPr>
        <w:t>（市场监督管理部门将依法向社会公开行政处罚决定信息）</w:t>
      </w:r>
    </w:p>
    <w:p>
      <w:pPr>
        <w:keepNext w:val="0"/>
        <w:keepLines w:val="0"/>
        <w:pageBreakBefore w:val="0"/>
        <w:kinsoku/>
        <w:wordWrap/>
        <w:overflowPunct/>
        <w:topLinePunct w:val="0"/>
        <w:bidi w:val="0"/>
        <w:spacing w:line="540" w:lineRule="exac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mc:AlternateContent>
          <mc:Choice Requires="wps">
            <w:drawing>
              <wp:anchor distT="0" distB="0" distL="114300" distR="114300" simplePos="0" relativeHeight="251661312" behindDoc="0" locked="0" layoutInCell="1" allowOverlap="1">
                <wp:simplePos x="0" y="0"/>
                <wp:positionH relativeFrom="column">
                  <wp:posOffset>13970</wp:posOffset>
                </wp:positionH>
                <wp:positionV relativeFrom="paragraph">
                  <wp:posOffset>36195</wp:posOffset>
                </wp:positionV>
                <wp:extent cx="5227320" cy="635"/>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522732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1pt;margin-top:2.85pt;height:0.05pt;width:411.6pt;z-index:251661312;mso-width-relative:page;mso-height-relative:page;" filled="f" stroked="t" coordsize="21600,21600" o:gfxdata="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GdRvKdIAAAAFAQAADwAAAAAAAAABACAAAAAiAAAAZHJzL2Rvd25yZXYueG1s&#10;UEsBAhQAFAAAAAgAh07iQD6HVvD+AQAA8QMAAA4AAAAAAAAAAQAgAAAAIQEAAGRycy9lMm9Eb2Mu&#10;eG1sUEsFBgAAAAAGAAYAWQEAAJEFAAAAAA==&#10;">
                <v:fill on="f" focussize="0,0"/>
                <v:stroke weight="1.25pt" color="#000000" joinstyle="round"/>
                <v:imagedata o:title=""/>
                <o:lock v:ext="edit" aspectratio="f"/>
              </v:line>
            </w:pict>
          </mc:Fallback>
        </mc:AlternateContent>
      </w: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zkdcAAAAKAQAADwAAAAAAAAABACAAAAAiAAAAZHJzL2Rvd25yZXYueG1s&#10;UEsBAhQAFAAAAAgAh07iQBSD0Df5AQAA5QMAAA4AAAAAAAAAAQAgAAAAJgEAAGRycy9lMm9Eb2Mu&#10;eG1sUEsFBgAAAAAGAAYAWQEAAJEFA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eastAsia="zh-CN"/>
        </w:rPr>
        <w:t>四</w:t>
      </w:r>
      <w:r>
        <w:rPr>
          <w:rFonts w:hint="eastAsia" w:ascii="仿宋_GB2312" w:hAnsi="仿宋_GB2312" w:eastAsia="仿宋_GB2312" w:cs="仿宋_GB2312"/>
          <w:color w:val="000000"/>
          <w:sz w:val="32"/>
          <w:szCs w:val="32"/>
        </w:rPr>
        <w:t>份，</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eastAsia="zh-CN"/>
        </w:rPr>
        <w:t>一</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份送达，</w:t>
      </w:r>
      <w:r>
        <w:rPr>
          <w:rFonts w:hint="eastAsia" w:ascii="仿宋_GB2312" w:hAnsi="仿宋_GB2312" w:eastAsia="仿宋_GB2312" w:cs="仿宋_GB2312"/>
          <w:color w:val="000000"/>
          <w:sz w:val="32"/>
          <w:szCs w:val="32"/>
          <w:u w:val="single"/>
          <w:lang w:eastAsia="zh-CN"/>
        </w:rPr>
        <w:t>三</w:t>
      </w:r>
      <w:r>
        <w:rPr>
          <w:rFonts w:hint="eastAsia" w:ascii="仿宋_GB2312" w:hAnsi="仿宋_GB2312" w:eastAsia="仿宋_GB2312" w:cs="仿宋_GB2312"/>
          <w:color w:val="000000"/>
          <w:sz w:val="32"/>
          <w:szCs w:val="32"/>
        </w:rPr>
        <w:t>份归档。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19C8581D"/>
    <w:rsid w:val="011671E7"/>
    <w:rsid w:val="080B022F"/>
    <w:rsid w:val="088550DF"/>
    <w:rsid w:val="0C0B1354"/>
    <w:rsid w:val="0E460DCC"/>
    <w:rsid w:val="110D797F"/>
    <w:rsid w:val="12003516"/>
    <w:rsid w:val="13FD3CDB"/>
    <w:rsid w:val="14B05B63"/>
    <w:rsid w:val="14F07C21"/>
    <w:rsid w:val="17B131D4"/>
    <w:rsid w:val="185E4F5D"/>
    <w:rsid w:val="19C8581D"/>
    <w:rsid w:val="1AEB658B"/>
    <w:rsid w:val="1BE77547"/>
    <w:rsid w:val="20666868"/>
    <w:rsid w:val="23A737DF"/>
    <w:rsid w:val="23D435D7"/>
    <w:rsid w:val="255802FD"/>
    <w:rsid w:val="27F6492F"/>
    <w:rsid w:val="2BEA6AC9"/>
    <w:rsid w:val="30285500"/>
    <w:rsid w:val="33450888"/>
    <w:rsid w:val="3B5C4D5C"/>
    <w:rsid w:val="3F390295"/>
    <w:rsid w:val="41DB3884"/>
    <w:rsid w:val="444051F9"/>
    <w:rsid w:val="450E02F6"/>
    <w:rsid w:val="460A7530"/>
    <w:rsid w:val="476A10AC"/>
    <w:rsid w:val="4D7164F3"/>
    <w:rsid w:val="4DA00E9B"/>
    <w:rsid w:val="521D57C4"/>
    <w:rsid w:val="52F260FF"/>
    <w:rsid w:val="552B4AC9"/>
    <w:rsid w:val="561B17C3"/>
    <w:rsid w:val="5BA853F2"/>
    <w:rsid w:val="5F933EDA"/>
    <w:rsid w:val="60327E35"/>
    <w:rsid w:val="62F435E7"/>
    <w:rsid w:val="64D4607B"/>
    <w:rsid w:val="64DB2C7B"/>
    <w:rsid w:val="65000502"/>
    <w:rsid w:val="689A2A1B"/>
    <w:rsid w:val="6D24429C"/>
    <w:rsid w:val="6ED30A35"/>
    <w:rsid w:val="70804A45"/>
    <w:rsid w:val="71775FF0"/>
    <w:rsid w:val="74BD4884"/>
    <w:rsid w:val="7AB57E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autoRedefine/>
    <w:qFormat/>
    <w:uiPriority w:val="1"/>
    <w:pPr>
      <w:autoSpaceDE w:val="0"/>
      <w:autoSpaceDN w:val="0"/>
      <w:adjustRightInd w:val="0"/>
      <w:jc w:val="left"/>
    </w:pPr>
    <w:rPr>
      <w:rFonts w:ascii="Arial Unicode MS" w:hAnsi="Times New Roman" w:eastAsia="Arial Unicode MS"/>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2766</Words>
  <Characters>2954</Characters>
  <Lines>0</Lines>
  <Paragraphs>0</Paragraphs>
  <TotalTime>61</TotalTime>
  <ScaleCrop>false</ScaleCrop>
  <LinksUpToDate>false</LinksUpToDate>
  <CharactersWithSpaces>3308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2021-08-02T08:42:00Z</dcterms:created>
  <dc:creator>莺歌燕舞</dc:creator>
  <cp:lastModifiedBy>喜文</cp:lastModifiedBy>
  <cp:lastPrinted>2025-02-10T09:56:00Z</cp:lastPrinted>
  <dcterms:modified xsi:type="dcterms:W3CDTF">2025-02-25T04:08:57Z</dcterms:modified>
  <dc:title>乌苏市市场监督管理局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E79DE57D6F17470AA817688BB55BB9D1</vt:lpwstr>
  </property>
  <property fmtid="{D5CDD505-2E9C-101B-9397-08002B2CF9AE}" pid="4" name="KSOTemplateDocerSaveRecord">
    <vt:lpwstr>eyJoZGlkIjoiMjhjYjA5MTE5ZDA4NTVkMjc4ZGUyZjQzZWU4NWQ2Y2YiLCJ1c2VySWQiOiI5NTE2MTA2NTAifQ==</vt:lpwstr>
  </property>
</Properties>
</file>