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ind w:left="0" w:leftChars="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bidi w:val="0"/>
        <w:spacing w:line="560" w:lineRule="exact"/>
        <w:ind w:left="0" w:leftChars="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val="0"/>
        <w:kinsoku/>
        <w:wordWrap/>
        <w:overflowPunct/>
        <w:topLinePunct w:val="0"/>
        <w:autoSpaceDE/>
        <w:autoSpaceDN/>
        <w:bidi w:val="0"/>
        <w:snapToGrid/>
        <w:spacing w:line="560" w:lineRule="exact"/>
        <w:ind w:left="0" w:leftChars="0" w:right="0"/>
        <w:jc w:val="center"/>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kern w:val="1"/>
          <w:sz w:val="32"/>
          <w:szCs w:val="32"/>
          <w:u w:val="none" w:color="auto"/>
          <w:lang w:val="en-US" w:eastAsia="zh-CN"/>
        </w:rPr>
        <w:t>塔乌</w:t>
      </w:r>
      <w:r>
        <w:rPr>
          <w:rFonts w:hint="eastAsia" w:ascii="仿宋_GB2312" w:hAnsi="仿宋_GB2312" w:eastAsia="仿宋_GB2312" w:cs="仿宋_GB2312"/>
          <w:kern w:val="1"/>
          <w:sz w:val="32"/>
          <w:szCs w:val="32"/>
          <w:u w:val="none" w:color="auto"/>
        </w:rPr>
        <w:t>市监处罚〔</w:t>
      </w:r>
      <w:r>
        <w:rPr>
          <w:rFonts w:hint="eastAsia" w:ascii="仿宋_GB2312" w:hAnsi="仿宋_GB2312" w:eastAsia="仿宋_GB2312" w:cs="仿宋_GB2312"/>
          <w:kern w:val="1"/>
          <w:sz w:val="32"/>
          <w:szCs w:val="32"/>
          <w:u w:val="none" w:color="auto"/>
          <w:lang w:val="en-US" w:eastAsia="zh-CN"/>
        </w:rPr>
        <w:t>2025</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1"/>
          <w:sz w:val="32"/>
          <w:szCs w:val="32"/>
          <w:u w:val="none" w:color="auto"/>
          <w:lang w:val="en-US" w:eastAsia="zh-CN"/>
        </w:rPr>
        <w:t>34</w:t>
      </w:r>
      <w:r>
        <w:rPr>
          <w:rFonts w:hint="eastAsia" w:ascii="仿宋_GB2312" w:hAnsi="仿宋_GB2312" w:eastAsia="仿宋_GB2312" w:cs="仿宋_GB2312"/>
          <w:kern w:val="1"/>
          <w:sz w:val="32"/>
          <w:szCs w:val="32"/>
          <w:u w:val="none" w:color="auto"/>
        </w:rPr>
        <w:t>号</w:t>
      </w:r>
    </w:p>
    <w:p>
      <w:pPr>
        <w:keepNext w:val="0"/>
        <w:keepLines w:val="0"/>
        <w:pageBreakBefore w:val="0"/>
        <w:widowControl/>
        <w:kinsoku/>
        <w:overflowPunct/>
        <w:bidi w:val="0"/>
        <w:snapToGrid w:val="0"/>
        <w:spacing w:line="560" w:lineRule="exact"/>
        <w:ind w:left="0" w:leftChars="0" w:right="0" w:firstLine="5440" w:firstLineChars="1700"/>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bidi w:val="0"/>
        <w:spacing w:line="560" w:lineRule="exact"/>
        <w:ind w:left="0" w:leftChars="0" w:right="0" w:hanging="140"/>
        <w:textAlignment w:val="auto"/>
        <w:rPr>
          <w:rFonts w:hint="eastAsia" w:ascii="Times New Roman" w:hAnsi="Times New Roman" w:eastAsia="仿宋_GB2312" w:cs="Mongolian Baiti"/>
          <w:bCs/>
          <w:sz w:val="32"/>
          <w:szCs w:val="32"/>
          <w:u w:val="none" w:color="auto"/>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 xml:space="preserve">乌苏市鑫润达五金建材店     </w:t>
      </w:r>
      <w:r>
        <w:rPr>
          <w:rFonts w:hint="eastAsia" w:ascii="仿宋_GB2312" w:hAnsi="Times New Roman" w:eastAsia="仿宋_GB2312"/>
          <w:sz w:val="32"/>
          <w:szCs w:val="32"/>
          <w:u w:val="none" w:color="auto"/>
          <w:lang w:val="en-US" w:eastAsia="zh-CN"/>
        </w:rPr>
        <w:t xml:space="preserve">                             </w:t>
      </w:r>
      <w:r>
        <w:rPr>
          <w:rFonts w:hint="eastAsia" w:ascii="Times New Roman" w:hAnsi="Times New Roman" w:eastAsia="仿宋_GB2312" w:cs="Mongolian Baiti"/>
          <w:kern w:val="1"/>
          <w:sz w:val="32"/>
          <w:szCs w:val="32"/>
          <w:u w:val="none" w:color="auto"/>
        </w:rPr>
        <w:t xml:space="preserve">   </w:t>
      </w:r>
    </w:p>
    <w:p>
      <w:pPr>
        <w:keepNext w:val="0"/>
        <w:keepLines w:val="0"/>
        <w:pageBreakBefore w:val="0"/>
        <w:widowControl w:val="0"/>
        <w:kinsoku/>
        <w:wordWrap/>
        <w:overflowPunct/>
        <w:topLinePunct w:val="0"/>
        <w:autoSpaceDE/>
        <w:autoSpaceDN/>
        <w:bidi w:val="0"/>
        <w:spacing w:line="560" w:lineRule="exact"/>
        <w:ind w:left="0" w:leftChars="0" w:right="0" w:hanging="140"/>
        <w:jc w:val="both"/>
        <w:textAlignment w:val="auto"/>
        <w:rPr>
          <w:rFonts w:hint="eastAsia" w:ascii="Times New Roman" w:hAnsi="Times New Roman" w:eastAsia="仿宋_GB2312" w:cs="Mongolian Baiti"/>
          <w:kern w:val="1"/>
          <w:sz w:val="32"/>
          <w:szCs w:val="32"/>
          <w:u w:val="none" w:color="auto"/>
          <w:lang w:eastAsia="zh-CN"/>
        </w:rPr>
      </w:pPr>
      <w:r>
        <w:rPr>
          <w:rFonts w:hint="eastAsia" w:ascii="Times New Roman" w:hAnsi="Times New Roman" w:eastAsia="仿宋_GB2312" w:cs="微软雅黑"/>
          <w:bCs/>
          <w:kern w:val="1"/>
          <w:sz w:val="32"/>
          <w:szCs w:val="32"/>
          <w:u w:val="none" w:color="auto"/>
        </w:rPr>
        <w:t>主体资格证照</w:t>
      </w:r>
      <w:r>
        <w:rPr>
          <w:rFonts w:hint="eastAsia" w:ascii="Times New Roman" w:hAnsi="Times New Roman" w:eastAsia="仿宋_GB2312" w:cs="Mongolian Baiti"/>
          <w:kern w:val="1"/>
          <w:sz w:val="32"/>
          <w:szCs w:val="32"/>
          <w:u w:val="none" w:color="auto"/>
        </w:rPr>
        <w:t>名称：</w:t>
      </w:r>
      <w:r>
        <w:rPr>
          <w:rFonts w:hint="eastAsia" w:ascii="Times New Roman" w:hAnsi="Times New Roman" w:eastAsia="仿宋_GB2312" w:cs="Mongolian Baiti"/>
          <w:kern w:val="1"/>
          <w:sz w:val="32"/>
          <w:szCs w:val="32"/>
          <w:u w:val="none" w:color="auto"/>
          <w:lang w:eastAsia="zh-CN"/>
        </w:rPr>
        <w:t>《营业执照》</w:t>
      </w:r>
    </w:p>
    <w:p>
      <w:pPr>
        <w:keepNext w:val="0"/>
        <w:keepLines w:val="0"/>
        <w:pageBreakBefore w:val="0"/>
        <w:widowControl w:val="0"/>
        <w:kinsoku/>
        <w:wordWrap/>
        <w:overflowPunct/>
        <w:topLinePunct w:val="0"/>
        <w:autoSpaceDE/>
        <w:autoSpaceDN/>
        <w:bidi w:val="0"/>
        <w:spacing w:line="560" w:lineRule="exact"/>
        <w:ind w:left="0" w:leftChars="0" w:right="0" w:hanging="140"/>
        <w:jc w:val="both"/>
        <w:textAlignment w:val="auto"/>
        <w:rPr>
          <w:rFonts w:hint="eastAsia" w:ascii="仿宋_GB2312" w:hAnsi="仿宋_GB2312" w:eastAsia="仿宋_GB2312" w:cs="仿宋_GB2312"/>
          <w:bCs/>
          <w:sz w:val="32"/>
          <w:szCs w:val="32"/>
          <w:u w:val="none" w:color="auto"/>
          <w:lang w:val="en-US" w:eastAsia="zh-CN"/>
        </w:rPr>
      </w:pPr>
      <w:r>
        <w:rPr>
          <w:rFonts w:hint="eastAsia" w:ascii="Times New Roman" w:hAnsi="Times New Roman" w:eastAsia="仿宋_GB2312" w:cs="Mongolian Baiti"/>
          <w:kern w:val="1"/>
          <w:sz w:val="32"/>
          <w:szCs w:val="32"/>
          <w:u w:val="none" w:color="auto"/>
        </w:rPr>
        <w:t>统一社会信用代码：</w:t>
      </w:r>
      <w:r>
        <w:rPr>
          <w:rFonts w:hint="eastAsia" w:ascii="仿宋_GB2312" w:hAnsi="仿宋_GB2312" w:eastAsia="仿宋_GB2312" w:cs="仿宋_GB2312"/>
          <w:bCs/>
          <w:sz w:val="32"/>
          <w:szCs w:val="32"/>
          <w:u w:val="none" w:color="auto"/>
          <w:lang w:val="en-US" w:eastAsia="zh-CN"/>
        </w:rPr>
        <w:t>92654202MA79AUN43N</w:t>
      </w:r>
    </w:p>
    <w:p>
      <w:pPr>
        <w:keepNext w:val="0"/>
        <w:keepLines w:val="0"/>
        <w:pageBreakBefore w:val="0"/>
        <w:widowControl w:val="0"/>
        <w:kinsoku/>
        <w:wordWrap/>
        <w:overflowPunct/>
        <w:topLinePunct w:val="0"/>
        <w:autoSpaceDE/>
        <w:autoSpaceDN/>
        <w:bidi w:val="0"/>
        <w:spacing w:line="560" w:lineRule="exact"/>
        <w:ind w:left="0" w:leftChars="0" w:right="0" w:hanging="140"/>
        <w:jc w:val="both"/>
        <w:textAlignment w:val="auto"/>
        <w:rPr>
          <w:rFonts w:hint="eastAsia" w:ascii="仿宋_GB2312" w:hAnsi="仿宋_GB2312" w:eastAsia="仿宋_GB2312" w:cs="仿宋_GB2312"/>
          <w:bCs/>
          <w:sz w:val="32"/>
          <w:szCs w:val="32"/>
          <w:lang w:val="en-US" w:eastAsia="zh-CN"/>
        </w:rPr>
      </w:pPr>
      <w:r>
        <w:rPr>
          <w:rFonts w:hint="eastAsia" w:ascii="Times New Roman" w:hAnsi="Times New Roman" w:eastAsia="仿宋_GB2312" w:cs="Mongolian Baiti"/>
          <w:kern w:val="1"/>
          <w:sz w:val="32"/>
          <w:szCs w:val="32"/>
          <w:u w:val="none" w:color="auto"/>
        </w:rPr>
        <w:t>住所（住址）：</w:t>
      </w:r>
      <w:r>
        <w:rPr>
          <w:rFonts w:hint="eastAsia" w:ascii="仿宋_GB2312" w:hAnsi="仿宋_GB2312" w:eastAsia="仿宋_GB2312" w:cs="仿宋_GB2312"/>
          <w:bCs/>
          <w:sz w:val="32"/>
          <w:szCs w:val="32"/>
          <w:lang w:val="en-US" w:eastAsia="zh-CN"/>
        </w:rPr>
        <w:t>新疆塔城地区乌苏市新市区街道文德路社区黄</w:t>
      </w:r>
    </w:p>
    <w:p>
      <w:pPr>
        <w:keepNext w:val="0"/>
        <w:keepLines w:val="0"/>
        <w:pageBreakBefore w:val="0"/>
        <w:widowControl w:val="0"/>
        <w:kinsoku/>
        <w:wordWrap/>
        <w:overflowPunct/>
        <w:topLinePunct w:val="0"/>
        <w:autoSpaceDE/>
        <w:autoSpaceDN/>
        <w:bidi w:val="0"/>
        <w:spacing w:line="560" w:lineRule="exact"/>
        <w:ind w:left="0" w:leftChars="0" w:right="0" w:hanging="14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河东路651号文林小区26幢1层1-04号（文林小区北门西</w:t>
      </w:r>
    </w:p>
    <w:p>
      <w:pPr>
        <w:keepNext w:val="0"/>
        <w:keepLines w:val="0"/>
        <w:pageBreakBefore w:val="0"/>
        <w:widowControl w:val="0"/>
        <w:kinsoku/>
        <w:wordWrap/>
        <w:overflowPunct/>
        <w:topLinePunct w:val="0"/>
        <w:autoSpaceDE/>
        <w:autoSpaceDN/>
        <w:bidi w:val="0"/>
        <w:spacing w:line="560" w:lineRule="exact"/>
        <w:ind w:left="0" w:leftChars="0" w:right="0" w:hanging="14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侧）</w:t>
      </w:r>
    </w:p>
    <w:p>
      <w:pPr>
        <w:keepNext w:val="0"/>
        <w:keepLines w:val="0"/>
        <w:pageBreakBefore w:val="0"/>
        <w:widowControl w:val="0"/>
        <w:kinsoku/>
        <w:wordWrap/>
        <w:overflowPunct/>
        <w:topLinePunct w:val="0"/>
        <w:autoSpaceDE/>
        <w:autoSpaceDN/>
        <w:bidi w:val="0"/>
        <w:spacing w:line="560" w:lineRule="exact"/>
        <w:ind w:left="0" w:leftChars="0" w:right="0" w:hanging="140"/>
        <w:jc w:val="both"/>
        <w:textAlignment w:val="auto"/>
        <w:rPr>
          <w:rFonts w:hint="default" w:ascii="仿宋_GB2312" w:hAnsi="仿宋_GB2312" w:eastAsia="仿宋_GB2312" w:cs="仿宋_GB2312"/>
          <w:spacing w:val="0"/>
          <w:sz w:val="32"/>
          <w:szCs w:val="32"/>
          <w:u w:val="none" w:color="auto"/>
          <w:lang w:val="en-US" w:eastAsia="zh-CN"/>
        </w:rPr>
      </w:pPr>
      <w:r>
        <w:rPr>
          <w:rFonts w:hint="eastAsia" w:ascii="Times New Roman" w:hAnsi="Times New Roman" w:eastAsia="仿宋_GB2312" w:cs="Mongolian Baiti"/>
          <w:kern w:val="1"/>
          <w:sz w:val="32"/>
          <w:szCs w:val="32"/>
          <w:u w:val="none" w:color="auto"/>
        </w:rPr>
        <w:t>法定代表人：</w:t>
      </w:r>
      <w:r>
        <w:rPr>
          <w:rFonts w:hint="eastAsia" w:ascii="仿宋_GB2312" w:hAnsi="仿宋_GB2312" w:eastAsia="仿宋_GB2312" w:cs="仿宋_GB2312"/>
          <w:bCs/>
          <w:sz w:val="32"/>
          <w:szCs w:val="32"/>
          <w:lang w:val="en-US" w:eastAsia="zh-CN"/>
        </w:rPr>
        <w:t>张**</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Times New Roman" w:eastAsia="仿宋_GB2312" w:cs="仿宋_GB2312"/>
          <w:color w:val="000000"/>
          <w:u w:val="none" w:color="auto"/>
        </w:rPr>
        <w:t xml:space="preserve">  </w:t>
      </w:r>
      <w:r>
        <w:rPr>
          <w:rFonts w:hint="eastAsia" w:ascii="仿宋_GB2312" w:hAnsi="仿宋_GB2312" w:eastAsia="仿宋_GB2312" w:cs="仿宋_GB2312"/>
          <w:bCs/>
          <w:kern w:val="2"/>
          <w:sz w:val="32"/>
          <w:szCs w:val="32"/>
          <w:lang w:val="en-US" w:eastAsia="zh-CN" w:bidi="ar-SA"/>
        </w:rPr>
        <w:t>2024年9月11日，在自治区市场监督管理局组织的2024年燃气用具连接用不锈钢波纹管、瓶装液化石油调压器产品质量监督抽查中，委托新疆维吾尔自治区产品质量监督检验研究院对乌苏市鑫润达五金建材店销售的燃气用具连接用不锈钢波纹管进行了抽查检验。2025年1月9日，我局收到塔城地区产品质量监督检查后处理工作转办单（塔地市监质转〔2025〕1号）和新疆维吾尔自治区市场监督管理局产品质量抽查检验结果通知书（编号为：2024X-J-JS02333）及新疆维吾尔自治区产品质量监督检验研究院出具的编号为NO:2024X-J-JS02333的检验报告，检验结论为：“经抽样检验，弯曲性项目不符合GB/T 41317-2022标准，依据《新疆维吾尔自治区燃气软管产品质量监督抽查实施细则》，判定为不合格。”执法人员于当日对当事人经营场所进行</w:t>
      </w:r>
      <w:r>
        <w:rPr>
          <w:rFonts w:hint="eastAsia" w:ascii="仿宋_GB2312" w:hAnsi="仿宋_GB2312" w:eastAsia="仿宋_GB2312" w:cs="仿宋_GB2312"/>
          <w:bCs/>
          <w:sz w:val="32"/>
          <w:szCs w:val="32"/>
          <w:lang w:val="en-US" w:eastAsia="zh-CN"/>
        </w:rPr>
        <w:t>现场检查，发现该批不符合国家标准的</w:t>
      </w:r>
      <w:r>
        <w:rPr>
          <w:rFonts w:hint="eastAsia" w:ascii="仿宋_GB2312" w:hAnsi="仿宋_GB2312" w:eastAsia="仿宋_GB2312" w:cs="仿宋_GB2312"/>
          <w:bCs/>
          <w:kern w:val="2"/>
          <w:sz w:val="32"/>
          <w:szCs w:val="32"/>
          <w:lang w:val="en-US" w:eastAsia="zh-CN" w:bidi="ar-SA"/>
        </w:rPr>
        <w:t>燃气用具连接用不锈钢波纹管已销售完毕，当事人对检验结论无异议。为进一步了解情况，经报局领导批准，于2025年1月10日立案，并指派加依娜</w:t>
      </w:r>
      <w:r>
        <w:rPr>
          <w:rFonts w:hint="eastAsia" w:ascii="仿宋_GB2312" w:hAnsi="仿宋_GB2312" w:eastAsia="仿宋_GB2312" w:cs="仿宋_GB2312"/>
          <w:bCs/>
          <w:sz w:val="32"/>
          <w:szCs w:val="32"/>
          <w:lang w:val="en-US" w:eastAsia="zh-CN"/>
        </w:rPr>
        <w:t>、宋皓</w:t>
      </w:r>
      <w:r>
        <w:rPr>
          <w:rFonts w:hint="eastAsia" w:ascii="仿宋_GB2312" w:hAnsi="仿宋_GB2312" w:eastAsia="仿宋_GB2312" w:cs="仿宋_GB2312"/>
          <w:bCs/>
          <w:kern w:val="2"/>
          <w:sz w:val="32"/>
          <w:szCs w:val="32"/>
          <w:lang w:val="en-US" w:eastAsia="zh-CN" w:bidi="ar-SA"/>
        </w:rPr>
        <w:t>对此案进行调查了解，本案已于2025年1月17日调查终结。</w:t>
      </w:r>
    </w:p>
    <w:p>
      <w:pPr>
        <w:pStyle w:val="2"/>
        <w:keepNext w:val="0"/>
        <w:keepLines w:val="0"/>
        <w:pageBreakBefore w:val="0"/>
        <w:tabs>
          <w:tab w:val="left" w:pos="9060"/>
        </w:tabs>
        <w:kinsoku/>
        <w:overflowPunct/>
        <w:bidi w:val="0"/>
        <w:spacing w:line="560" w:lineRule="exact"/>
        <w:ind w:left="0" w:leftChars="0" w:right="0"/>
        <w:jc w:val="both"/>
        <w:textAlignment w:val="auto"/>
        <w:rPr>
          <w:rFonts w:hint="eastAsia" w:ascii="仿宋_GB2312" w:hAnsi="仿宋_GB2312" w:eastAsia="仿宋_GB2312" w:cs="仿宋_GB2312"/>
          <w:color w:val="auto"/>
          <w:kern w:val="0"/>
          <w:sz w:val="32"/>
          <w:szCs w:val="32"/>
          <w:lang w:val="en-US" w:eastAsia="zh-CN"/>
        </w:rPr>
      </w:pPr>
      <w:r>
        <w:rPr>
          <w:rFonts w:hint="eastAsia" w:ascii="Times New Roman" w:hAnsi="Times New Roman" w:eastAsia="仿宋_GB2312" w:cs="Mongolian Baiti"/>
          <w:kern w:val="1"/>
          <w:sz w:val="32"/>
          <w:szCs w:val="32"/>
          <w:u w:val="none" w:color="auto"/>
        </w:rPr>
        <w:t xml:space="preserve">   </w:t>
      </w:r>
      <w:r>
        <w:rPr>
          <w:rFonts w:hint="eastAsia" w:ascii="Times New Roman" w:eastAsia="仿宋_GB2312" w:cs="Mongolian Baiti"/>
          <w:kern w:val="1"/>
          <w:sz w:val="32"/>
          <w:szCs w:val="32"/>
          <w:u w:val="none" w:color="auto"/>
          <w:lang w:val="en-US" w:eastAsia="zh-CN"/>
        </w:rPr>
        <w:t xml:space="preserve"> </w:t>
      </w:r>
      <w:r>
        <w:rPr>
          <w:rFonts w:hint="eastAsia" w:ascii="仿宋_GB2312" w:hAnsi="仿宋_GB2312" w:eastAsia="仿宋_GB2312" w:cs="仿宋_GB2312"/>
          <w:bCs/>
          <w:sz w:val="32"/>
          <w:szCs w:val="32"/>
          <w:lang w:val="en-US" w:eastAsia="zh-CN"/>
        </w:rPr>
        <w:t>经查，乌苏市鑫润达五金建材店于2024年2月26日从石河子九麦王洁具店购进了10根燃气用具连接用不锈钢波纹管，产品标示：产品名称：燃气用具连接用不锈钢波纹管，</w:t>
      </w:r>
      <w:r>
        <w:rPr>
          <w:rFonts w:hint="eastAsia" w:ascii="仿宋_GB2312" w:hAnsi="仿宋_GB2312" w:eastAsia="仿宋_GB2312" w:cs="仿宋_GB2312"/>
          <w:bCs/>
          <w:color w:val="auto"/>
          <w:sz w:val="32"/>
          <w:szCs w:val="32"/>
          <w:lang w:val="en-US" w:eastAsia="zh-CN"/>
        </w:rPr>
        <w:t>执行标准：GB\T41317-2022，</w:t>
      </w:r>
      <w:r>
        <w:rPr>
          <w:rFonts w:hint="eastAsia" w:ascii="仿宋_GB2312" w:hAnsi="仿宋_GB2312" w:eastAsia="仿宋_GB2312" w:cs="仿宋_GB2312"/>
          <w:color w:val="auto"/>
          <w:kern w:val="1"/>
          <w:sz w:val="32"/>
          <w:szCs w:val="32"/>
          <w:u w:val="none" w:color="auto"/>
          <w:lang w:val="en-US" w:eastAsia="zh-CN"/>
        </w:rPr>
        <w:t>型号：RLB-ZH-10</w:t>
      </w:r>
      <w:r>
        <w:rPr>
          <w:rFonts w:hint="default" w:ascii="Arial" w:hAnsi="Arial" w:eastAsia="仿宋_GB2312" w:cs="Arial"/>
          <w:color w:val="auto"/>
          <w:kern w:val="1"/>
          <w:sz w:val="32"/>
          <w:szCs w:val="32"/>
          <w:u w:val="none" w:color="auto"/>
          <w:lang w:val="en-US" w:eastAsia="zh-CN"/>
        </w:rPr>
        <w:t>×</w:t>
      </w:r>
      <w:r>
        <w:rPr>
          <w:rFonts w:hint="eastAsia" w:ascii="仿宋_GB2312" w:hAnsi="仿宋_GB2312" w:eastAsia="仿宋_GB2312" w:cs="仿宋_GB2312"/>
          <w:color w:val="auto"/>
          <w:kern w:val="1"/>
          <w:sz w:val="32"/>
          <w:szCs w:val="32"/>
          <w:u w:val="none" w:color="auto"/>
          <w:lang w:val="en-US" w:eastAsia="zh-CN"/>
        </w:rPr>
        <w:t>1500，生产日期/批号：2023-10-22，商标：姚远，生产商：余姚市陆埠诺诺水暖厂，生产商地址：余姚市郭姆村工业区。</w:t>
      </w:r>
      <w:r>
        <w:rPr>
          <w:rFonts w:hint="eastAsia" w:ascii="仿宋_GB2312" w:hAnsi="仿宋_GB2312" w:eastAsia="仿宋_GB2312" w:cs="仿宋_GB2312"/>
          <w:bCs/>
          <w:sz w:val="32"/>
          <w:szCs w:val="32"/>
          <w:lang w:val="en-US" w:eastAsia="zh-CN"/>
        </w:rPr>
        <w:t>2024年9月11日，在自治区市场监督管理局组织的2024年燃气用具连接用不锈钢波纹管、瓶装液化石油调压器产品质量监督抽查中，委托新疆维吾尔自治区产品质量监督检验研究院对乌苏市鑫润达五金建材店的燃气用具连接用不锈钢波纹管进行了抽样检验，经抽样检验，判定为被抽查产品不合格。</w:t>
      </w:r>
      <w:r>
        <w:rPr>
          <w:rFonts w:hint="eastAsia" w:ascii="仿宋_GB2312" w:hAnsi="仿宋_GB2312" w:eastAsia="仿宋_GB2312" w:cs="仿宋_GB2312"/>
          <w:color w:val="auto"/>
          <w:kern w:val="1"/>
          <w:sz w:val="32"/>
          <w:szCs w:val="32"/>
          <w:u w:val="none" w:color="auto"/>
          <w:lang w:val="en-US" w:eastAsia="zh-CN"/>
        </w:rPr>
        <w:t>经调查，该批</w:t>
      </w:r>
      <w:r>
        <w:rPr>
          <w:rFonts w:hint="eastAsia" w:ascii="仿宋_GB2312" w:hAnsi="仿宋_GB2312" w:eastAsia="仿宋_GB2312" w:cs="仿宋_GB2312"/>
          <w:bCs/>
          <w:sz w:val="32"/>
          <w:szCs w:val="32"/>
          <w:lang w:val="en-US" w:eastAsia="zh-CN"/>
        </w:rPr>
        <w:t>燃气用具连接用不锈钢波纹管</w:t>
      </w:r>
      <w:r>
        <w:rPr>
          <w:rFonts w:hint="eastAsia" w:ascii="仿宋_GB2312" w:hAnsi="仿宋_GB2312" w:eastAsia="仿宋_GB2312" w:cs="仿宋_GB2312"/>
          <w:color w:val="auto"/>
          <w:kern w:val="1"/>
          <w:sz w:val="32"/>
          <w:szCs w:val="32"/>
          <w:u w:val="none" w:color="auto"/>
          <w:lang w:val="en-US" w:eastAsia="zh-CN"/>
        </w:rPr>
        <w:t>进货单价为12元，</w:t>
      </w:r>
      <w:r>
        <w:rPr>
          <w:rFonts w:hint="eastAsia" w:ascii="仿宋_GB2312" w:hAnsi="仿宋_GB2312" w:eastAsia="仿宋_GB2312" w:cs="仿宋_GB2312"/>
          <w:bCs/>
          <w:sz w:val="32"/>
          <w:szCs w:val="32"/>
          <w:lang w:val="en-US" w:eastAsia="zh-CN"/>
        </w:rPr>
        <w:t>在本次监督抽查中检验机构按30元/根的价格购买燃气用具连接用不锈钢波纹管样品6根，截至2025年1月9日执法人员检查时当事人销售4根同批次燃气用具连接用不锈钢波纹管，该批次燃气用具连接用不锈钢波纹管全部已销售完毕。</w:t>
      </w:r>
      <w:r>
        <w:rPr>
          <w:rFonts w:hint="eastAsia" w:ascii="仿宋_GB2312" w:hAnsi="仿宋_GB2312" w:eastAsia="仿宋_GB2312" w:cs="仿宋_GB2312"/>
          <w:color w:val="auto"/>
          <w:kern w:val="1"/>
          <w:sz w:val="32"/>
          <w:szCs w:val="32"/>
          <w:u w:val="none" w:color="auto"/>
          <w:lang w:val="en-US" w:eastAsia="zh-CN"/>
        </w:rPr>
        <w:t>当事人</w:t>
      </w:r>
      <w:r>
        <w:rPr>
          <w:rFonts w:hint="eastAsia" w:ascii="仿宋_GB2312" w:hAnsi="仿宋_GB2312" w:eastAsia="仿宋_GB2312" w:cs="仿宋_GB2312"/>
          <w:bCs/>
          <w:sz w:val="32"/>
          <w:szCs w:val="32"/>
          <w:lang w:val="en-US" w:eastAsia="zh-CN"/>
        </w:rPr>
        <w:t>未做销售台账，故涉案燃气用具连接用不锈钢波纹管无法召回。</w:t>
      </w:r>
      <w:r>
        <w:rPr>
          <w:rFonts w:hint="eastAsia" w:ascii="仿宋_GB2312" w:hAnsi="仿宋_GB2312" w:eastAsia="仿宋_GB2312" w:cs="仿宋_GB2312"/>
          <w:color w:val="auto"/>
          <w:kern w:val="1"/>
          <w:sz w:val="32"/>
          <w:szCs w:val="32"/>
          <w:u w:val="none" w:color="auto"/>
          <w:lang w:val="en-US" w:eastAsia="zh-CN"/>
        </w:rPr>
        <w:t>该批</w:t>
      </w:r>
      <w:r>
        <w:rPr>
          <w:rFonts w:hint="eastAsia" w:ascii="仿宋_GB2312" w:hAnsi="仿宋_GB2312" w:eastAsia="仿宋_GB2312" w:cs="仿宋_GB2312"/>
          <w:bCs/>
          <w:sz w:val="32"/>
          <w:szCs w:val="32"/>
          <w:lang w:val="en-US" w:eastAsia="zh-CN"/>
        </w:rPr>
        <w:t>燃气用具连接用不锈钢波纹管货值金额为300元（</w:t>
      </w:r>
      <w:r>
        <w:rPr>
          <w:rFonts w:hint="eastAsia" w:ascii="仿宋_GB2312" w:hAnsi="仿宋" w:eastAsia="仿宋_GB2312" w:cs="Mongolian Baiti"/>
          <w:spacing w:val="-20"/>
          <w:kern w:val="1"/>
          <w:sz w:val="32"/>
          <w:szCs w:val="32"/>
          <w:lang w:val="en-US" w:eastAsia="zh-CN"/>
        </w:rPr>
        <w:t>30元/根</w:t>
      </w:r>
      <w:r>
        <w:rPr>
          <w:rFonts w:ascii="仿宋_GB2312" w:hAnsi="仿宋" w:eastAsia="仿宋_GB2312" w:cs="Mongolian Baiti"/>
          <w:spacing w:val="-20"/>
          <w:kern w:val="1"/>
          <w:sz w:val="32"/>
          <w:szCs w:val="32"/>
        </w:rPr>
        <w:t>×</w:t>
      </w:r>
      <w:r>
        <w:rPr>
          <w:rFonts w:hint="eastAsia" w:ascii="仿宋_GB2312" w:hAnsi="仿宋" w:eastAsia="仿宋_GB2312" w:cs="Mongolian Baiti"/>
          <w:spacing w:val="-20"/>
          <w:kern w:val="1"/>
          <w:sz w:val="32"/>
          <w:szCs w:val="32"/>
          <w:lang w:val="en-US" w:eastAsia="zh-CN"/>
        </w:rPr>
        <w:t>10根=300元</w:t>
      </w:r>
      <w:r>
        <w:rPr>
          <w:rFonts w:hint="eastAsia" w:ascii="仿宋_GB2312" w:hAnsi="仿宋_GB2312" w:eastAsia="仿宋_GB2312" w:cs="仿宋_GB2312"/>
          <w:bCs/>
          <w:sz w:val="32"/>
          <w:szCs w:val="32"/>
          <w:lang w:val="en-US" w:eastAsia="zh-CN"/>
        </w:rPr>
        <w:t>），违法所得为180元，10根</w:t>
      </w:r>
      <w:r>
        <w:rPr>
          <w:rFonts w:ascii="仿宋_GB2312" w:hAnsi="仿宋" w:eastAsia="仿宋_GB2312" w:cs="Mongolian Baiti"/>
          <w:spacing w:val="-20"/>
          <w:kern w:val="1"/>
          <w:sz w:val="32"/>
          <w:szCs w:val="32"/>
        </w:rPr>
        <w:t>×</w:t>
      </w:r>
      <w:r>
        <w:rPr>
          <w:rFonts w:hint="eastAsia" w:ascii="仿宋_GB2312" w:hAnsi="仿宋" w:eastAsia="仿宋_GB2312" w:cs="Mongolian Baiti"/>
          <w:spacing w:val="-20"/>
          <w:kern w:val="1"/>
          <w:sz w:val="32"/>
          <w:szCs w:val="32"/>
          <w:lang w:eastAsia="zh-CN"/>
        </w:rPr>
        <w:t>（</w:t>
      </w:r>
      <w:r>
        <w:rPr>
          <w:rFonts w:hint="eastAsia" w:ascii="仿宋_GB2312" w:hAnsi="仿宋" w:eastAsia="仿宋_GB2312" w:cs="Mongolian Baiti"/>
          <w:spacing w:val="-20"/>
          <w:kern w:val="1"/>
          <w:sz w:val="32"/>
          <w:szCs w:val="32"/>
          <w:lang w:val="en-US" w:eastAsia="zh-CN"/>
        </w:rPr>
        <w:t>30元/根-12元/根</w:t>
      </w:r>
      <w:r>
        <w:rPr>
          <w:rFonts w:hint="eastAsia" w:ascii="仿宋_GB2312" w:hAnsi="仿宋" w:eastAsia="仿宋_GB2312" w:cs="Mongolian Baiti"/>
          <w:spacing w:val="-20"/>
          <w:kern w:val="1"/>
          <w:sz w:val="32"/>
          <w:szCs w:val="32"/>
          <w:lang w:eastAsia="zh-CN"/>
        </w:rPr>
        <w:t>）</w:t>
      </w:r>
      <w:r>
        <w:rPr>
          <w:rFonts w:hint="eastAsia" w:ascii="仿宋_GB2312" w:hAnsi="仿宋" w:eastAsia="仿宋_GB2312" w:cs="Mongolian Baiti"/>
          <w:spacing w:val="-20"/>
          <w:kern w:val="1"/>
          <w:sz w:val="32"/>
          <w:szCs w:val="32"/>
          <w:lang w:val="en-US" w:eastAsia="zh-CN"/>
        </w:rPr>
        <w:t>=180元</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val="0"/>
        <w:overflowPunct/>
        <w:topLinePunct/>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snapToGrid w:val="0"/>
          <w:color w:val="000000"/>
          <w:spacing w:val="0"/>
          <w:kern w:val="0"/>
          <w:sz w:val="32"/>
          <w:szCs w:val="32"/>
          <w:u w:val="none"/>
        </w:rPr>
      </w:pPr>
      <w:r>
        <w:rPr>
          <w:rFonts w:hint="eastAsia" w:ascii="仿宋_GB2312" w:hAnsi="仿宋_GB2312" w:eastAsia="仿宋_GB2312" w:cs="仿宋_GB2312"/>
          <w:snapToGrid w:val="0"/>
          <w:color w:val="000000"/>
          <w:spacing w:val="0"/>
          <w:kern w:val="0"/>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1、营业执照及身份证复印件各1份，由当事人提供，证明经营者身份信息和经营主体资格及经营范围；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2、现场笔录1份，</w:t>
      </w:r>
      <w:r>
        <w:rPr>
          <w:rFonts w:hint="eastAsia" w:ascii="仿宋_GB2312" w:hAnsi="仿宋" w:eastAsia="仿宋_GB2312" w:cs="Mongolian Baiti"/>
          <w:kern w:val="1"/>
          <w:sz w:val="32"/>
          <w:szCs w:val="32"/>
          <w:lang w:val="zh-CN"/>
        </w:rPr>
        <w:t>证明执法人员于20</w:t>
      </w:r>
      <w:r>
        <w:rPr>
          <w:rFonts w:hint="eastAsia" w:ascii="仿宋_GB2312" w:hAnsi="仿宋" w:eastAsia="仿宋_GB2312" w:cs="Mongolian Baiti"/>
          <w:kern w:val="1"/>
          <w:sz w:val="32"/>
          <w:szCs w:val="32"/>
        </w:rPr>
        <w:t>2</w:t>
      </w:r>
      <w:r>
        <w:rPr>
          <w:rFonts w:hint="eastAsia" w:ascii="仿宋_GB2312" w:hAnsi="仿宋" w:eastAsia="仿宋_GB2312" w:cs="Mongolian Baiti"/>
          <w:kern w:val="1"/>
          <w:sz w:val="32"/>
          <w:szCs w:val="32"/>
          <w:lang w:val="en-US" w:eastAsia="zh-CN"/>
        </w:rPr>
        <w:t>5</w:t>
      </w:r>
      <w:r>
        <w:rPr>
          <w:rFonts w:hint="eastAsia" w:ascii="仿宋_GB2312" w:hAnsi="仿宋" w:eastAsia="仿宋_GB2312" w:cs="Mongolian Baiti"/>
          <w:kern w:val="1"/>
          <w:sz w:val="32"/>
          <w:szCs w:val="32"/>
          <w:lang w:val="zh-CN"/>
        </w:rPr>
        <w:t>年</w:t>
      </w:r>
      <w:r>
        <w:rPr>
          <w:rFonts w:hint="eastAsia" w:ascii="仿宋_GB2312" w:hAnsi="仿宋" w:eastAsia="仿宋_GB2312" w:cs="Mongolian Baiti"/>
          <w:kern w:val="1"/>
          <w:sz w:val="32"/>
          <w:szCs w:val="32"/>
          <w:lang w:val="en-US" w:eastAsia="zh-CN"/>
        </w:rPr>
        <w:t>1</w:t>
      </w:r>
      <w:r>
        <w:rPr>
          <w:rFonts w:hint="eastAsia" w:ascii="仿宋_GB2312" w:hAnsi="仿宋" w:eastAsia="仿宋_GB2312" w:cs="Mongolian Baiti"/>
          <w:kern w:val="1"/>
          <w:sz w:val="32"/>
          <w:szCs w:val="32"/>
          <w:lang w:val="zh-CN"/>
        </w:rPr>
        <w:t>月</w:t>
      </w:r>
      <w:r>
        <w:rPr>
          <w:rFonts w:hint="eastAsia" w:ascii="仿宋_GB2312" w:hAnsi="仿宋" w:eastAsia="仿宋_GB2312" w:cs="Mongolian Baiti"/>
          <w:kern w:val="1"/>
          <w:sz w:val="32"/>
          <w:szCs w:val="32"/>
          <w:lang w:val="en-US" w:eastAsia="zh-CN"/>
        </w:rPr>
        <w:t>9</w:t>
      </w:r>
      <w:r>
        <w:rPr>
          <w:rFonts w:hint="eastAsia" w:ascii="仿宋_GB2312" w:hAnsi="仿宋" w:eastAsia="仿宋_GB2312" w:cs="Mongolian Baiti"/>
          <w:kern w:val="1"/>
          <w:sz w:val="32"/>
          <w:szCs w:val="32"/>
          <w:lang w:val="zh-CN"/>
        </w:rPr>
        <w:t>日对当事人经营场所进行现场检查的经过。</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3、询问笔录1份，证明当事人销售不符合国家标准的燃气用具连接用不锈钢波纹管的事实，以及进货数量、进货价格、销售价格；</w:t>
      </w:r>
      <w:r>
        <w:rPr>
          <w:rFonts w:hint="eastAsia" w:ascii="Times New Roman" w:hAnsi="Times New Roman" w:eastAsia="仿宋_GB2312" w:cs="仿宋_GB2312"/>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4、现场检查拍摄照片</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sz w:val="32"/>
          <w:szCs w:val="32"/>
          <w:lang w:val="en-US" w:eastAsia="zh-CN"/>
        </w:rPr>
        <w:t>张、音像视频资料1份，证明执法人员现场对当事人销售的不符合国家标准的燃气用具连接用不锈钢波纹管</w:t>
      </w:r>
      <w:r>
        <w:rPr>
          <w:rFonts w:hint="eastAsia" w:ascii="仿宋_GB2312" w:hAnsi="仿宋" w:eastAsia="仿宋_GB2312" w:cs="Mongolian Baiti"/>
          <w:kern w:val="1"/>
          <w:sz w:val="32"/>
          <w:szCs w:val="32"/>
          <w:lang w:val="zh-CN"/>
        </w:rPr>
        <w:t>库存数量进行</w:t>
      </w:r>
      <w:r>
        <w:rPr>
          <w:rFonts w:hint="eastAsia" w:ascii="仿宋_GB2312" w:hAnsi="仿宋" w:eastAsia="仿宋_GB2312" w:cs="Mongolian Baiti"/>
          <w:kern w:val="1"/>
          <w:sz w:val="32"/>
          <w:szCs w:val="32"/>
        </w:rPr>
        <w:t>现场检查情况</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Mongolian Baiti"/>
          <w:kern w:val="1"/>
          <w:sz w:val="32"/>
          <w:szCs w:val="32"/>
          <w:lang w:val="zh-CN"/>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kern w:val="2"/>
          <w:sz w:val="32"/>
          <w:szCs w:val="32"/>
          <w:lang w:val="en-US" w:eastAsia="zh-CN" w:bidi="ar-SA"/>
        </w:rPr>
        <w:t>塔城地区产品质量监督检查后处理工作转办单（塔地市监质转〔2025〕1号）及相关材料1份</w:t>
      </w:r>
      <w:r>
        <w:rPr>
          <w:rFonts w:hint="eastAsia" w:ascii="仿宋_GB2312" w:hAnsi="仿宋_GB2312" w:eastAsia="仿宋_GB2312" w:cs="仿宋_GB2312"/>
          <w:bCs/>
          <w:sz w:val="32"/>
          <w:szCs w:val="32"/>
          <w:highlight w:val="none"/>
          <w:lang w:val="en-US" w:eastAsia="zh-CN"/>
        </w:rPr>
        <w:t>、新疆维吾尔自治区产品质量监督检验研究院</w:t>
      </w:r>
      <w:r>
        <w:rPr>
          <w:rFonts w:hint="eastAsia" w:ascii="仿宋_GB2312" w:hAnsi="仿宋" w:eastAsia="仿宋_GB2312" w:cs="Mongolian Baiti"/>
          <w:kern w:val="1"/>
          <w:sz w:val="32"/>
          <w:szCs w:val="32"/>
          <w:lang w:val="zh-CN"/>
        </w:rPr>
        <w:t>出具的</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val="zh-CN"/>
        </w:rPr>
        <w:t>检验报告》（</w:t>
      </w:r>
      <w:r>
        <w:rPr>
          <w:rFonts w:hint="eastAsia" w:ascii="仿宋_GB2312" w:hAnsi="仿宋" w:eastAsia="仿宋_GB2312" w:cs="Mongolian Baiti"/>
          <w:kern w:val="1"/>
          <w:sz w:val="32"/>
          <w:szCs w:val="32"/>
          <w:lang w:val="zh-CN" w:eastAsia="zh-CN"/>
        </w:rPr>
        <w:t>NO:2024X-J-JS02333</w:t>
      </w:r>
      <w:r>
        <w:rPr>
          <w:rFonts w:hint="eastAsia" w:ascii="仿宋_GB2312" w:hAnsi="仿宋" w:eastAsia="仿宋_GB2312" w:cs="Mongolian Baiti"/>
          <w:kern w:val="1"/>
          <w:sz w:val="32"/>
          <w:szCs w:val="32"/>
          <w:lang w:val="zh-CN"/>
        </w:rPr>
        <w:t>）</w:t>
      </w:r>
      <w:r>
        <w:rPr>
          <w:rFonts w:hint="eastAsia" w:ascii="仿宋_GB2312" w:hAnsi="仿宋" w:eastAsia="仿宋_GB2312" w:cs="Mongolian Baiti"/>
          <w:kern w:val="1"/>
          <w:sz w:val="32"/>
          <w:szCs w:val="32"/>
          <w:lang w:val="en-US" w:eastAsia="zh-CN"/>
        </w:rPr>
        <w:t>1</w:t>
      </w:r>
      <w:r>
        <w:rPr>
          <w:rFonts w:hint="eastAsia" w:ascii="仿宋_GB2312" w:hAnsi="仿宋" w:eastAsia="仿宋_GB2312" w:cs="Mongolian Baiti"/>
          <w:kern w:val="1"/>
          <w:sz w:val="32"/>
          <w:szCs w:val="32"/>
          <w:lang w:val="zh-CN"/>
        </w:rPr>
        <w:t>份，证明</w:t>
      </w:r>
      <w:r>
        <w:rPr>
          <w:rFonts w:hint="eastAsia" w:ascii="仿宋_GB2312" w:hAnsi="仿宋" w:eastAsia="仿宋_GB2312" w:cs="Mongolian Baiti"/>
          <w:kern w:val="1"/>
          <w:sz w:val="32"/>
          <w:szCs w:val="32"/>
          <w:lang w:eastAsia="zh-CN"/>
        </w:rPr>
        <w:t>当事人购进的</w:t>
      </w:r>
      <w:r>
        <w:rPr>
          <w:rFonts w:hint="eastAsia" w:ascii="仿宋_GB2312" w:hAnsi="仿宋_GB2312" w:eastAsia="仿宋_GB2312" w:cs="仿宋_GB2312"/>
          <w:bCs/>
          <w:sz w:val="32"/>
          <w:szCs w:val="32"/>
          <w:lang w:val="en-US" w:eastAsia="zh-CN"/>
        </w:rPr>
        <w:t>燃气用具连接用不锈钢波纹管</w:t>
      </w:r>
      <w:r>
        <w:rPr>
          <w:rFonts w:hint="eastAsia" w:ascii="仿宋_GB2312" w:hAnsi="仿宋" w:eastAsia="仿宋_GB2312" w:cs="Mongolian Baiti"/>
          <w:kern w:val="1"/>
          <w:sz w:val="32"/>
          <w:szCs w:val="32"/>
          <w:lang w:val="zh-CN"/>
        </w:rPr>
        <w:t>经检验被判定为不合格产品的事实；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6、当事人提供的发货单1份，证明当事人购进涉案燃气用具连接用不锈钢波纹管的供货商、数量、价格的事实。</w:t>
      </w:r>
    </w:p>
    <w:p>
      <w:pPr>
        <w:pStyle w:val="2"/>
        <w:keepNext w:val="0"/>
        <w:keepLines w:val="0"/>
        <w:pageBreakBefore w:val="0"/>
        <w:tabs>
          <w:tab w:val="left" w:pos="9060"/>
        </w:tabs>
        <w:kinsoku/>
        <w:overflowPunct/>
        <w:bidi w:val="0"/>
        <w:spacing w:line="560" w:lineRule="exact"/>
        <w:ind w:left="0" w:leftChars="0" w:right="0" w:firstLine="640" w:firstLineChars="200"/>
        <w:jc w:val="both"/>
        <w:textAlignment w:val="auto"/>
        <w:rPr>
          <w:rFonts w:hint="eastAsia" w:ascii="Times New Roman" w:eastAsia="仿宋_GB2312" w:cs="仿宋_GB2312"/>
          <w:color w:val="000000"/>
          <w:u w:val="none" w:color="auto"/>
        </w:rPr>
      </w:pPr>
      <w:r>
        <w:rPr>
          <w:rFonts w:hint="eastAsia" w:ascii="仿宋_GB2312" w:hAnsi="仿宋_GB2312" w:eastAsia="仿宋_GB2312" w:cs="仿宋_GB2312"/>
          <w:color w:val="000000"/>
          <w:u w:val="none" w:color="auto"/>
        </w:rPr>
        <w:t>我局于</w:t>
      </w:r>
      <w:r>
        <w:rPr>
          <w:rFonts w:hint="eastAsia" w:ascii="仿宋_GB2312" w:hAnsi="仿宋_GB2312" w:eastAsia="仿宋_GB2312" w:cs="仿宋_GB2312"/>
          <w:color w:val="000000"/>
          <w:u w:val="none" w:color="auto"/>
          <w:lang w:val="en-US" w:eastAsia="zh-CN"/>
        </w:rPr>
        <w:t>2025年2月5日</w:t>
      </w:r>
      <w:r>
        <w:rPr>
          <w:rFonts w:hint="eastAsia" w:ascii="仿宋_GB2312" w:hAnsi="仿宋_GB2312" w:eastAsia="仿宋_GB2312" w:cs="仿宋_GB2312"/>
          <w:color w:val="000000"/>
          <w:u w:val="none" w:color="auto"/>
        </w:rPr>
        <w:t>依法向当事人送达了《行政处罚告知书》（</w:t>
      </w:r>
      <w:r>
        <w:rPr>
          <w:rFonts w:hint="eastAsia" w:ascii="仿宋_GB2312" w:hAnsi="仿宋_GB2312" w:eastAsia="仿宋_GB2312" w:cs="仿宋_GB2312"/>
          <w:color w:val="000000"/>
          <w:u w:val="none" w:color="auto"/>
          <w:lang w:eastAsia="zh-CN"/>
        </w:rPr>
        <w:t>塔</w:t>
      </w:r>
      <w:r>
        <w:rPr>
          <w:rFonts w:hint="eastAsia" w:ascii="仿宋_GB2312" w:hAnsi="仿宋_GB2312" w:eastAsia="仿宋_GB2312" w:cs="仿宋_GB2312"/>
          <w:color w:val="000000"/>
          <w:u w:val="none" w:color="auto"/>
        </w:rPr>
        <w:t>乌市监罚告〔202</w:t>
      </w:r>
      <w:r>
        <w:rPr>
          <w:rFonts w:hint="eastAsia" w:ascii="仿宋_GB2312" w:hAnsi="仿宋_GB2312" w:eastAsia="仿宋_GB2312" w:cs="仿宋_GB2312"/>
          <w:color w:val="000000"/>
          <w:u w:val="none" w:color="auto"/>
          <w:lang w:val="en-US" w:eastAsia="zh-CN"/>
        </w:rPr>
        <w:t>5</w:t>
      </w:r>
      <w:r>
        <w:rPr>
          <w:rFonts w:hint="eastAsia" w:ascii="仿宋_GB2312" w:hAnsi="仿宋_GB2312" w:eastAsia="仿宋_GB2312" w:cs="仿宋_GB2312"/>
          <w:color w:val="000000"/>
          <w:u w:val="none" w:color="auto"/>
        </w:rPr>
        <w:t>〕</w:t>
      </w:r>
      <w:r>
        <w:rPr>
          <w:rFonts w:hint="eastAsia" w:ascii="仿宋_GB2312" w:hAnsi="仿宋_GB2312" w:eastAsia="仿宋_GB2312" w:cs="仿宋_GB2312"/>
          <w:color w:val="000000"/>
          <w:u w:val="none" w:color="auto"/>
          <w:lang w:val="en-US" w:eastAsia="zh-CN"/>
        </w:rPr>
        <w:t>10</w:t>
      </w:r>
      <w:r>
        <w:rPr>
          <w:rFonts w:hint="eastAsia" w:ascii="仿宋_GB2312" w:hAnsi="仿宋_GB2312" w:eastAsia="仿宋_GB2312" w:cs="仿宋_GB2312"/>
          <w:color w:val="000000"/>
          <w:u w:val="none" w:color="auto"/>
        </w:rPr>
        <w:t xml:space="preserve">号），告知了当事人依法享有陈述、申辩的权利，当事人在法定期限内未提出陈述、申辩，视为放弃此权利。 </w:t>
      </w:r>
      <w:r>
        <w:rPr>
          <w:rFonts w:hint="eastAsia" w:ascii="Times New Roman" w:eastAsia="仿宋_GB2312" w:cs="仿宋_GB2312"/>
          <w:color w:val="000000"/>
          <w:u w:val="none" w:color="auto"/>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default" w:ascii="Times New Roman" w:eastAsia="仿宋_GB2312" w:cs="仿宋_GB2312"/>
          <w:color w:val="000000"/>
          <w:u w:val="none" w:color="auto"/>
          <w:lang w:val="en-US" w:eastAsia="zh-CN"/>
        </w:rPr>
      </w:pPr>
      <w:r>
        <w:rPr>
          <w:rFonts w:hint="eastAsia" w:ascii="仿宋_GB2312" w:hAnsi="仿宋_GB2312" w:eastAsia="仿宋_GB2312" w:cs="仿宋_GB2312"/>
          <w:sz w:val="32"/>
          <w:szCs w:val="32"/>
          <w:u w:val="none" w:color="auto"/>
        </w:rPr>
        <w:t>本局认为，当事人的上述行为违反了</w:t>
      </w:r>
      <w:r>
        <w:rPr>
          <w:rFonts w:hint="eastAsia" w:ascii="仿宋_GB2312" w:hAnsi="仿宋_GB2312" w:eastAsia="仿宋_GB2312" w:cs="仿宋_GB2312"/>
          <w:bCs/>
          <w:sz w:val="32"/>
          <w:szCs w:val="32"/>
          <w:lang w:val="en-US" w:eastAsia="zh-CN"/>
        </w:rPr>
        <w:t>《中华人民共和国产品质量法》第十三条第一款：“可能危及人体健康和人身、财产安全的国家标准、行业标准；未制定国家标准和行业标准的，必须符合保障人体健康和人身、财产安全的标准。”和第二款“禁止生产、销售不符合保障人体健康和人身、财产安全的标准和要求的工业产品。具体管理办法由国务院规定。”的规定，属违法行为。</w:t>
      </w:r>
      <w:r>
        <w:rPr>
          <w:rFonts w:hint="eastAsia" w:ascii="仿宋_GB2312" w:hAnsi="仿宋_GB2312" w:eastAsia="仿宋_GB2312" w:cs="仿宋_GB2312"/>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lang w:val="en-US" w:eastAsia="zh-CN"/>
        </w:rPr>
        <w:t>鉴于当事人系初次违法，态度端正，积极配合案件调查，如实陈述违法事实并主动提供证据材料，并承诺今后守法经营，其购进的燃气用具连接用不锈钢波纹管数量较少，未造成社会危害后果。参照《新疆维吾尔自治区  新疆生产建设兵团市场监督管理行政处罚裁量基准（2024年版）》第五章产品质量、生产许可管理第一节《中华人民共和国产品质量法》</w:t>
      </w:r>
      <w:bookmarkStart w:id="3" w:name="_GoBack"/>
      <w:bookmarkEnd w:id="3"/>
      <w:r>
        <w:rPr>
          <w:rFonts w:hint="eastAsia" w:ascii="仿宋_GB2312" w:hAnsi="仿宋_GB2312" w:eastAsia="仿宋_GB2312" w:cs="仿宋_GB2312"/>
          <w:bCs/>
          <w:sz w:val="32"/>
          <w:szCs w:val="32"/>
          <w:lang w:val="en-US" w:eastAsia="zh-CN"/>
        </w:rPr>
        <w:t>序号1，违法行为：生产、销售不符合保障人体健康和人身、财产安全的国家标准、行业标准的产品行为，“有下列情形之一的：（1）产品已售出且未能全部召回、追回的。（2）没有其他从轻、从重情形的；裁量基准：（1）责令停止生产、销售；（2）没收违法生产、销售的产品；（3）并处违法生产、销售产品货值金额1.6 倍以上2.4倍以下罚款；（4）有违法所得的，并处没收违法所得。”的规定，综合考虑个案情况，责令当事人改正违法行为，决定给予当事人一般行政处罚。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和《中华人民共和国行政处罚法》第二十八条第一款“行政机关实施行政处罚时，应当责令当事人改正或者限期改正违法行为”</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一、责令停止销售不符合国家标准的燃气用具连接用不锈钢波纹管；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没收违法所得</w:t>
      </w:r>
      <w:r>
        <w:rPr>
          <w:rFonts w:hint="eastAsia" w:ascii="仿宋_GB2312" w:hAnsi="仿宋_GB2312" w:eastAsia="仿宋_GB2312" w:cs="仿宋_GB2312"/>
          <w:kern w:val="0"/>
          <w:sz w:val="32"/>
          <w:szCs w:val="32"/>
          <w:lang w:val="en-US" w:eastAsia="zh-CN"/>
        </w:rPr>
        <w:t>180元；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三、处该批不符合国家标准燃气用具连接用不锈钢波纹管货值金额300元二倍的罚款600元。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罚没款共计780元。</w:t>
      </w:r>
    </w:p>
    <w:p>
      <w:pPr>
        <w:pStyle w:val="2"/>
        <w:keepNext w:val="0"/>
        <w:keepLines w:val="0"/>
        <w:pageBreakBefore w:val="0"/>
        <w:numPr>
          <w:ilvl w:val="0"/>
          <w:numId w:val="0"/>
        </w:numPr>
        <w:tabs>
          <w:tab w:val="left" w:pos="8405"/>
        </w:tabs>
        <w:kinsoku/>
        <w:overflowPunct/>
        <w:bidi w:val="0"/>
        <w:spacing w:line="560" w:lineRule="exact"/>
        <w:ind w:left="0" w:leftChars="0" w:right="0" w:firstLine="640" w:firstLineChars="200"/>
        <w:jc w:val="both"/>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overflowPunct/>
        <w:topLinePunct w:val="0"/>
        <w:autoSpaceDE/>
        <w:autoSpaceDN/>
        <w:bidi w:val="0"/>
        <w:adjustRightInd/>
        <w:spacing w:line="560" w:lineRule="exact"/>
        <w:ind w:left="0" w:leftChars="0" w:right="0" w:firstLine="640" w:firstLineChars="200"/>
        <w:jc w:val="both"/>
        <w:textAlignment w:val="auto"/>
        <w:rPr>
          <w:rFonts w:hint="eastAsia" w:eastAsia="宋体"/>
          <w:lang w:eastAsia="zh-CN"/>
        </w:rPr>
      </w:pPr>
      <w:r>
        <w:rPr>
          <w:rFonts w:hint="eastAsia" w:ascii="仿宋" w:hAnsi="仿宋" w:eastAsia="仿宋" w:cs="仿宋"/>
          <w:sz w:val="32"/>
          <w:szCs w:val="32"/>
          <w:u w:val="none"/>
        </w:rPr>
        <w:t>如不服本行政处罚决定，可以在收到本行政处罚决定书之日起六十日内向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p>
    <w:p>
      <w:pPr>
        <w:keepNext w:val="0"/>
        <w:keepLines w:val="0"/>
        <w:pageBreakBefore w:val="0"/>
        <w:kinsoku/>
        <w:overflowPunct/>
        <w:bidi w:val="0"/>
        <w:spacing w:line="560" w:lineRule="exact"/>
        <w:ind w:left="0" w:leftChars="0" w:right="0"/>
        <w:jc w:val="both"/>
        <w:textAlignment w:val="auto"/>
      </w:pPr>
    </w:p>
    <w:p>
      <w:pPr>
        <w:keepNext w:val="0"/>
        <w:keepLines w:val="0"/>
        <w:pageBreakBefore w:val="0"/>
        <w:kinsoku/>
        <w:overflowPunct/>
        <w:bidi w:val="0"/>
        <w:spacing w:line="560" w:lineRule="exact"/>
        <w:ind w:left="0" w:leftChars="0" w:right="0"/>
        <w:jc w:val="both"/>
        <w:textAlignment w:val="auto"/>
      </w:pPr>
    </w:p>
    <w:p>
      <w:pPr>
        <w:keepNext w:val="0"/>
        <w:keepLines w:val="0"/>
        <w:pageBreakBefore w:val="0"/>
        <w:kinsoku/>
        <w:overflowPunct/>
        <w:bidi w:val="0"/>
        <w:spacing w:line="560" w:lineRule="exact"/>
        <w:ind w:left="0" w:leftChars="0" w:right="0" w:rightChars="0" w:firstLine="601"/>
        <w:jc w:val="center"/>
        <w:textAlignment w:val="auto"/>
        <w:rPr>
          <w:rFonts w:hint="eastAsia" w:ascii="仿宋_GB2312" w:hAnsi="仿宋_GB2312" w:eastAsia="仿宋_GB2312" w:cs="仿宋_GB2312"/>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overflowPunct/>
        <w:bidi w:val="0"/>
        <w:spacing w:line="560" w:lineRule="exact"/>
        <w:ind w:left="0" w:leftChars="0" w:right="0" w:firstLine="601"/>
        <w:jc w:val="center"/>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日</w:t>
      </w:r>
    </w:p>
    <w:p>
      <w:pPr>
        <w:keepNext w:val="0"/>
        <w:keepLines w:val="0"/>
        <w:pageBreakBefore w:val="0"/>
        <w:kinsoku/>
        <w:overflowPunct/>
        <w:bidi w:val="0"/>
        <w:spacing w:line="560" w:lineRule="exact"/>
        <w:ind w:left="0" w:leftChars="0" w:right="0" w:firstLine="601"/>
        <w:jc w:val="center"/>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overflowPunct/>
        <w:bidi w:val="0"/>
        <w:spacing w:line="560" w:lineRule="exact"/>
        <w:ind w:left="0" w:leftChars="0" w:right="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bidi w:val="0"/>
        <w:spacing w:line="560" w:lineRule="exact"/>
        <w:ind w:left="0" w:leftChars="0" w:right="0"/>
        <w:jc w:val="center"/>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621173B"/>
    <w:rsid w:val="06A12170"/>
    <w:rsid w:val="085D7491"/>
    <w:rsid w:val="088550DF"/>
    <w:rsid w:val="0B450582"/>
    <w:rsid w:val="0C197F77"/>
    <w:rsid w:val="12003516"/>
    <w:rsid w:val="14F07C21"/>
    <w:rsid w:val="17032E61"/>
    <w:rsid w:val="19C8581D"/>
    <w:rsid w:val="1D2B4F43"/>
    <w:rsid w:val="1E6C03DB"/>
    <w:rsid w:val="214D70FE"/>
    <w:rsid w:val="23311E21"/>
    <w:rsid w:val="23A737DF"/>
    <w:rsid w:val="23D435D7"/>
    <w:rsid w:val="255802FD"/>
    <w:rsid w:val="268B284C"/>
    <w:rsid w:val="27F6492F"/>
    <w:rsid w:val="28AB70F6"/>
    <w:rsid w:val="2C6A365C"/>
    <w:rsid w:val="30544E8A"/>
    <w:rsid w:val="37E769AD"/>
    <w:rsid w:val="38890EFC"/>
    <w:rsid w:val="3ADD0722"/>
    <w:rsid w:val="3F390295"/>
    <w:rsid w:val="41151E02"/>
    <w:rsid w:val="444051F9"/>
    <w:rsid w:val="46C867D1"/>
    <w:rsid w:val="46D467C4"/>
    <w:rsid w:val="49581419"/>
    <w:rsid w:val="49D80C93"/>
    <w:rsid w:val="4D7164F3"/>
    <w:rsid w:val="501424D0"/>
    <w:rsid w:val="5410653F"/>
    <w:rsid w:val="552B4AC9"/>
    <w:rsid w:val="55D62940"/>
    <w:rsid w:val="5F933EDA"/>
    <w:rsid w:val="62F435E7"/>
    <w:rsid w:val="64CF54A2"/>
    <w:rsid w:val="64D4607B"/>
    <w:rsid w:val="66A21537"/>
    <w:rsid w:val="66C04922"/>
    <w:rsid w:val="6765379E"/>
    <w:rsid w:val="6B2B0D20"/>
    <w:rsid w:val="6D24429C"/>
    <w:rsid w:val="6EB44023"/>
    <w:rsid w:val="739738D0"/>
    <w:rsid w:val="74BD4884"/>
    <w:rsid w:val="7A0452DA"/>
    <w:rsid w:val="7F3A2165"/>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2744</Words>
  <Characters>2997</Characters>
  <Lines>0</Lines>
  <Paragraphs>0</Paragraphs>
  <TotalTime>7</TotalTime>
  <ScaleCrop>false</ScaleCrop>
  <LinksUpToDate>false</LinksUpToDate>
  <CharactersWithSpaces>3305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2025-02-17T03:21:00Z</cp:lastPrinted>
  <dcterms:modified xsi:type="dcterms:W3CDTF">2025-02-25T04:14:53Z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