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ascii="方正小标宋简体" w:eastAsia="方正小标宋简体" w:hAnsi="方正小标宋简体" w:cs="方正小标宋简体" w:hint="eastAsia"/>
          <w:spacing w:val="10"/>
          <w:sz w:val="44"/>
          <w:szCs w:val="44"/>
          <w:lang w:val="en-US" w:eastAsia="zh-CN"/>
        </w:rPr>
      </w:pPr>
      <w:r>
        <w:rPr>
          <w:rFonts w:ascii="方正小标宋简体" w:eastAsia="方正小标宋简体" w:hAnsi="方正小标宋简体" w:cs="方正小标宋简体" w:hint="eastAsia"/>
          <w:spacing w:val="10"/>
          <w:sz w:val="44"/>
          <w:szCs w:val="44"/>
          <w:lang w:val="en-US" w:eastAsia="zh-CN"/>
        </w:rPr>
        <w:t>2024年度述法报告</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lang w:val="en-US" w:eastAsia="zh-CN"/>
        </w:rPr>
      </w:pPr>
      <w:r>
        <w:rPr>
          <w:rFonts w:ascii="楷体_GB2312" w:eastAsia="楷体_GB2312" w:hAnsi="楷体_GB2312" w:cs="楷体_GB2312" w:hint="eastAsia"/>
          <w:spacing w:val="10"/>
          <w:sz w:val="32"/>
          <w:szCs w:val="32"/>
          <w:lang w:val="en-US" w:eastAsia="zh-CN"/>
        </w:rPr>
        <w:t>乌苏市医疗保障局党组书记、副局长  许丽萍</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eastAsia="仿宋_GB2312" w:hAnsi="仿宋_GB2312" w:cs="仿宋_GB2312" w:hint="eastAsia"/>
          <w:spacing w:val="10"/>
          <w:sz w:val="32"/>
          <w:szCs w:val="32"/>
        </w:rPr>
      </w:pP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eastAsia="仿宋_GB2312" w:hAnsi="仿宋_GB2312" w:cs="仿宋_GB2312" w:hint="eastAsia"/>
          <w:spacing w:val="10"/>
          <w:sz w:val="32"/>
          <w:szCs w:val="32"/>
          <w:lang w:eastAsia="zh-CN"/>
        </w:rPr>
      </w:pPr>
      <w:r>
        <w:rPr>
          <w:rFonts w:ascii="仿宋_GB2312" w:eastAsia="仿宋_GB2312" w:hAnsi="仿宋_GB2312" w:cs="仿宋_GB2312" w:hint="eastAsia"/>
          <w:spacing w:val="10"/>
          <w:sz w:val="32"/>
          <w:szCs w:val="32"/>
        </w:rPr>
        <w:t>根据</w:t>
      </w:r>
      <w:r>
        <w:rPr>
          <w:rFonts w:ascii="仿宋_GB2312" w:eastAsia="仿宋_GB2312" w:hAnsi="仿宋_GB2312" w:cs="仿宋_GB2312" w:hint="eastAsia"/>
          <w:spacing w:val="10"/>
          <w:sz w:val="32"/>
          <w:szCs w:val="32"/>
          <w:lang w:eastAsia="zh-CN"/>
        </w:rPr>
        <w:t>工作要求</w:t>
      </w:r>
      <w:r>
        <w:rPr>
          <w:rFonts w:ascii="仿宋_GB2312" w:eastAsia="仿宋_GB2312" w:hAnsi="仿宋_GB2312" w:cs="仿宋_GB2312" w:hint="eastAsia"/>
          <w:spacing w:val="10"/>
          <w:sz w:val="32"/>
          <w:szCs w:val="32"/>
        </w:rPr>
        <w:t>，现</w:t>
      </w:r>
      <w:r>
        <w:rPr>
          <w:rFonts w:ascii="仿宋_GB2312" w:eastAsia="仿宋_GB2312" w:hAnsi="仿宋_GB2312" w:cs="仿宋_GB2312" w:hint="eastAsia"/>
          <w:spacing w:val="10"/>
          <w:sz w:val="32"/>
          <w:szCs w:val="32"/>
          <w:lang w:eastAsia="zh-CN"/>
        </w:rPr>
        <w:t>述法如下：</w:t>
      </w:r>
    </w:p>
    <w:p>
      <w:pPr>
        <w:pStyle w:val="Heading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textAlignment w:val="auto"/>
        <w:rPr>
          <w:rStyle w:val="Strong"/>
          <w:rFonts w:ascii="黑体" w:eastAsia="黑体" w:hAnsi="黑体" w:cs="黑体" w:hint="eastAsia"/>
          <w:b w:val="0"/>
          <w:bCs/>
          <w:color w:val="auto"/>
          <w:spacing w:val="10"/>
          <w:sz w:val="32"/>
          <w:szCs w:val="32"/>
        </w:rPr>
      </w:pPr>
      <w:r>
        <w:rPr>
          <w:rStyle w:val="Strong"/>
          <w:rFonts w:ascii="黑体" w:eastAsia="黑体" w:hAnsi="黑体" w:cs="黑体" w:hint="eastAsia"/>
          <w:b w:val="0"/>
          <w:bCs/>
          <w:color w:val="auto"/>
          <w:spacing w:val="10"/>
          <w:sz w:val="32"/>
          <w:szCs w:val="32"/>
          <w:lang w:eastAsia="zh-CN"/>
        </w:rPr>
        <w:t>一</w:t>
      </w:r>
      <w:r>
        <w:rPr>
          <w:rStyle w:val="Strong"/>
          <w:rFonts w:ascii="黑体" w:eastAsia="黑体" w:hAnsi="黑体" w:cs="黑体" w:hint="eastAsia"/>
          <w:b w:val="0"/>
          <w:bCs/>
          <w:color w:val="auto"/>
          <w:spacing w:val="10"/>
          <w:sz w:val="32"/>
          <w:szCs w:val="32"/>
        </w:rPr>
        <w:t>、履职情况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eastAsia="楷体_GB2312" w:hAnsi="楷体_GB2312" w:cs="楷体_GB2312" w:hint="eastAsia"/>
          <w:b w:val="0"/>
          <w:bCs w:val="0"/>
          <w:sz w:val="32"/>
          <w:szCs w:val="32"/>
          <w:lang w:eastAsia="zh-CN"/>
        </w:rPr>
      </w:pPr>
      <w:r>
        <w:rPr>
          <w:rFonts w:ascii="楷体_GB2312" w:eastAsia="楷体_GB2312" w:hAnsi="楷体_GB2312" w:cs="楷体_GB2312" w:hint="eastAsia"/>
          <w:b w:val="0"/>
          <w:bCs w:val="0"/>
          <w:sz w:val="32"/>
          <w:szCs w:val="32"/>
        </w:rPr>
        <w:t>（一）坚持以上率下，</w:t>
      </w:r>
      <w:r>
        <w:rPr>
          <w:rFonts w:ascii="楷体_GB2312" w:eastAsia="楷体_GB2312" w:hAnsi="楷体_GB2312" w:cs="楷体_GB2312" w:hint="eastAsia"/>
          <w:b w:val="0"/>
          <w:bCs w:val="0"/>
          <w:sz w:val="32"/>
          <w:szCs w:val="32"/>
          <w:lang w:eastAsia="zh-CN"/>
        </w:rPr>
        <w:t>提升党员干部法治意识</w:t>
      </w:r>
    </w:p>
    <w:p>
      <w:pPr>
        <w:pStyle w:val="NormalWeb"/>
        <w:keepNext w:val="0"/>
        <w:keepLines w:val="0"/>
        <w:pageBreakBefore w:val="0"/>
        <w:widowControl/>
        <w:numPr>
          <w:ilvl w:val="0"/>
          <w:numId w:val="0"/>
        </w:numPr>
        <w:suppressLineNumbers w:val="0"/>
        <w:kinsoku/>
        <w:wordWrap/>
        <w:overflowPunct/>
        <w:autoSpaceDE/>
        <w:autoSpaceDN/>
        <w:bidi w:val="0"/>
        <w:adjustRightInd/>
        <w:snapToGrid/>
        <w:spacing w:beforeAutospacing="0" w:afterAutospacing="0" w:line="560" w:lineRule="exact"/>
        <w:ind w:right="0" w:firstLine="640" w:rightChars="0" w:firstLineChars="200"/>
        <w:textAlignment w:val="auto"/>
        <w:rPr>
          <w:rFonts w:ascii="仿宋" w:eastAsia="仿宋" w:hAnsi="仿宋" w:cs="仿宋" w:hint="eastAsia"/>
          <w:sz w:val="32"/>
          <w:szCs w:val="32"/>
        </w:rPr>
      </w:pPr>
      <w:r>
        <w:rPr>
          <w:rFonts w:ascii="仿宋_GB2312" w:eastAsia="仿宋_GB2312" w:hAnsi="仿宋_GB2312" w:cs="仿宋_GB2312" w:hint="eastAsia"/>
          <w:spacing w:val="10"/>
          <w:kern w:val="0"/>
          <w:sz w:val="32"/>
          <w:szCs w:val="32"/>
          <w:lang w:val="en-US" w:eastAsia="zh-CN" w:bidi="ar"/>
        </w:rPr>
        <w:t>一年来，我始终把学习宣传习近平法治思想作为首要政治任务，认真落实</w:t>
      </w:r>
      <w:r>
        <w:rPr>
          <w:rFonts w:ascii="仿宋_GB2312" w:eastAsia="仿宋_GB2312" w:hAnsi="仿宋_GB2312" w:cs="仿宋_GB2312" w:hint="eastAsia"/>
          <w:spacing w:val="10"/>
          <w:kern w:val="0"/>
          <w:sz w:val="32"/>
          <w:szCs w:val="32"/>
          <w:lang w:val="en-US" w:eastAsia="zh-CN" w:bidi="ar"/>
        </w:rPr>
        <w:t>“第一议题”制度</w:t>
      </w:r>
      <w:r>
        <w:rPr>
          <w:rFonts w:ascii="仿宋_GB2312" w:eastAsia="仿宋_GB2312" w:hAnsi="仿宋_GB2312" w:cs="仿宋_GB2312" w:hint="eastAsia"/>
          <w:i w:val="0"/>
          <w:caps w:val="0"/>
          <w:color w:val="000000"/>
          <w:spacing w:val="0"/>
          <w:sz w:val="32"/>
          <w:szCs w:val="32"/>
          <w:shd w:val="clear" w:color="auto" w:fill="FFFFFF"/>
        </w:rPr>
        <w:t>，将</w:t>
      </w:r>
      <w:r>
        <w:rPr>
          <w:rFonts w:ascii="仿宋_GB2312" w:eastAsia="仿宋_GB2312" w:hAnsi="仿宋_GB2312" w:cs="仿宋_GB2312" w:hint="eastAsia"/>
          <w:spacing w:val="10"/>
          <w:kern w:val="0"/>
          <w:sz w:val="32"/>
          <w:szCs w:val="32"/>
          <w:lang w:val="en-US" w:eastAsia="zh-CN" w:bidi="ar"/>
        </w:rPr>
        <w:t>党的二十大、党的二十届三中全会精神</w:t>
      </w:r>
      <w:r>
        <w:rPr>
          <w:rFonts w:ascii="仿宋" w:eastAsia="仿宋" w:hAnsi="仿宋" w:cs="仿宋" w:hint="eastAsia"/>
          <w:sz w:val="32"/>
          <w:szCs w:val="32"/>
        </w:rPr>
        <w:t>特别是习近平总书记关于全面依法治国的重要论述</w:t>
      </w:r>
      <w:r>
        <w:rPr>
          <w:rFonts w:ascii="仿宋" w:eastAsia="仿宋" w:hAnsi="仿宋" w:cs="仿宋" w:hint="eastAsia"/>
          <w:sz w:val="32"/>
          <w:szCs w:val="32"/>
          <w:lang w:eastAsia="zh-CN"/>
        </w:rPr>
        <w:t>列入党组中心组学习内容</w:t>
      </w:r>
      <w:r>
        <w:rPr>
          <w:rFonts w:ascii="仿宋" w:eastAsia="仿宋" w:hAnsi="仿宋" w:cs="仿宋" w:hint="eastAsia"/>
          <w:sz w:val="32"/>
          <w:szCs w:val="32"/>
        </w:rPr>
        <w:t>，深刻把握其核心要义、精神实质</w:t>
      </w:r>
      <w:r>
        <w:rPr>
          <w:rFonts w:ascii="仿宋" w:eastAsia="仿宋" w:hAnsi="仿宋" w:cs="仿宋" w:hint="eastAsia"/>
          <w:sz w:val="32"/>
          <w:szCs w:val="32"/>
          <w:lang w:eastAsia="zh-CN"/>
        </w:rPr>
        <w:t>，</w:t>
      </w:r>
      <w:r>
        <w:rPr>
          <w:rFonts w:ascii="仿宋" w:eastAsia="仿宋" w:hAnsi="仿宋" w:cs="仿宋" w:hint="eastAsia"/>
          <w:sz w:val="32"/>
          <w:szCs w:val="32"/>
        </w:rPr>
        <w:t>不断增强“四个意识”、坚定“四个自信”、做到“两个维护”，切实把思想和行动统一到党中央关于全面依法治国的重大决策部署上来</w:t>
      </w:r>
      <w:r>
        <w:rPr>
          <w:rFonts w:ascii="仿宋" w:eastAsia="仿宋" w:hAnsi="仿宋" w:cs="仿宋" w:hint="eastAsia"/>
          <w:sz w:val="32"/>
          <w:szCs w:val="32"/>
          <w:lang w:eastAsia="zh-CN"/>
        </w:rPr>
        <w:t>。</w:t>
      </w:r>
      <w:r>
        <w:rPr>
          <w:rFonts w:ascii="仿宋" w:eastAsia="仿宋" w:hAnsi="仿宋" w:cs="仿宋" w:hint="eastAsia"/>
          <w:sz w:val="32"/>
          <w:szCs w:val="32"/>
        </w:rPr>
        <w:t>带头研读原著、学习原文、领悟原理，依托党组织带头学、每周集体学习、“三会一课</w:t>
      </w:r>
      <w:r>
        <w:rPr>
          <w:rFonts w:ascii="仿宋" w:eastAsia="仿宋" w:hAnsi="仿宋" w:cs="仿宋" w:hint="eastAsia"/>
          <w:sz w:val="32"/>
          <w:szCs w:val="32"/>
          <w:lang w:eastAsia="zh-CN"/>
        </w:rPr>
        <w:t>”“</w:t>
      </w:r>
      <w:r>
        <w:rPr>
          <w:rFonts w:ascii="仿宋" w:eastAsia="仿宋" w:hAnsi="仿宋" w:cs="仿宋" w:hint="eastAsia"/>
          <w:sz w:val="32"/>
          <w:szCs w:val="32"/>
        </w:rPr>
        <w:t>学习强国”平台自主学习、邀请专家提升学习等方法，常态化地开展法治教育活动。并结合具体工作要求，学习了《</w:t>
      </w:r>
      <w:r>
        <w:rPr>
          <w:rFonts w:ascii="仿宋" w:eastAsia="仿宋" w:hAnsi="仿宋" w:cs="仿宋" w:hint="eastAsia"/>
          <w:sz w:val="32"/>
          <w:szCs w:val="32"/>
          <w:lang w:eastAsia="zh-CN"/>
        </w:rPr>
        <w:t>中华人民共和国民法典》《</w:t>
      </w:r>
      <w:r>
        <w:rPr>
          <w:rFonts w:ascii="仿宋" w:eastAsia="仿宋" w:hAnsi="仿宋" w:cs="仿宋" w:hint="eastAsia"/>
          <w:sz w:val="32"/>
          <w:szCs w:val="32"/>
        </w:rPr>
        <w:t>保密法</w:t>
      </w:r>
      <w:r>
        <w:rPr>
          <w:rFonts w:ascii="仿宋" w:eastAsia="仿宋" w:hAnsi="仿宋" w:cs="仿宋" w:hint="eastAsia"/>
          <w:sz w:val="32"/>
          <w:szCs w:val="32"/>
          <w:lang w:eastAsia="zh-CN"/>
        </w:rPr>
        <w:t>》《中华人民共和国国家安全法</w:t>
      </w:r>
      <w:r>
        <w:rPr>
          <w:rFonts w:ascii="仿宋" w:eastAsia="仿宋" w:hAnsi="仿宋" w:cs="仿宋" w:hint="eastAsia"/>
          <w:sz w:val="32"/>
          <w:szCs w:val="32"/>
        </w:rPr>
        <w:t>》等相关法律，截至目前，已参加党组</w:t>
      </w:r>
      <w:r>
        <w:rPr>
          <w:rFonts w:ascii="仿宋" w:eastAsia="仿宋" w:hAnsi="仿宋" w:cs="仿宋" w:hint="eastAsia"/>
          <w:sz w:val="32"/>
          <w:szCs w:val="32"/>
          <w:lang w:eastAsia="zh-CN"/>
        </w:rPr>
        <w:t>理论学习中心组</w:t>
      </w:r>
      <w:r>
        <w:rPr>
          <w:rFonts w:ascii="仿宋" w:eastAsia="仿宋" w:hAnsi="仿宋" w:cs="仿宋" w:hint="eastAsia"/>
          <w:sz w:val="32"/>
          <w:szCs w:val="32"/>
        </w:rPr>
        <w:t>学习12次</w:t>
      </w:r>
      <w:r>
        <w:rPr>
          <w:rFonts w:ascii="仿宋" w:eastAsia="仿宋" w:hAnsi="仿宋" w:cs="仿宋" w:hint="eastAsia"/>
          <w:sz w:val="32"/>
          <w:szCs w:val="32"/>
          <w:lang w:eastAsia="zh-CN"/>
        </w:rPr>
        <w:t>，</w:t>
      </w:r>
      <w:r>
        <w:rPr>
          <w:rFonts w:ascii="仿宋" w:eastAsia="仿宋" w:hAnsi="仿宋" w:cs="仿宋" w:hint="eastAsia"/>
          <w:sz w:val="32"/>
          <w:szCs w:val="32"/>
        </w:rPr>
        <w:t>组织参观廉政教育展，并集中观看三次廉政警示教育片，督促党员干部全面覆盖党纪学习教育</w:t>
      </w:r>
      <w:r>
        <w:rPr>
          <w:rFonts w:ascii="仿宋" w:eastAsia="仿宋" w:hAnsi="仿宋" w:cs="仿宋" w:hint="eastAsia"/>
          <w:sz w:val="32"/>
          <w:szCs w:val="32"/>
          <w:lang w:eastAsia="zh-CN"/>
        </w:rPr>
        <w:t>，引导干部</w:t>
      </w:r>
      <w:r>
        <w:rPr>
          <w:rFonts w:ascii="仿宋" w:eastAsia="仿宋" w:hAnsi="仿宋" w:cs="仿宋" w:hint="eastAsia"/>
          <w:sz w:val="32"/>
          <w:szCs w:val="32"/>
        </w:rPr>
        <w:t>努力营造办事依法、遇事找法、解决问题用法、化解矛盾靠法的良好法治环境</w:t>
      </w:r>
      <w:r>
        <w:rPr>
          <w:rFonts w:ascii="仿宋" w:eastAsia="仿宋" w:hAnsi="仿宋" w:cs="仿宋" w:hint="eastAsia"/>
          <w:sz w:val="32"/>
          <w:szCs w:val="32"/>
          <w:lang w:eastAsia="zh-CN"/>
        </w:rPr>
        <w:t>，</w:t>
      </w:r>
      <w:r>
        <w:rPr>
          <w:rFonts w:ascii="仿宋" w:eastAsia="仿宋" w:hAnsi="仿宋" w:cs="仿宋" w:hint="eastAsia"/>
          <w:sz w:val="32"/>
          <w:szCs w:val="32"/>
        </w:rPr>
        <w:t>提高运用法律手段及法治思维解决问题的能力。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val="0"/>
          <w:bCs w:val="0"/>
          <w:sz w:val="32"/>
          <w:szCs w:val="32"/>
          <w:lang w:val="en-US" w:eastAsia="zh-CN"/>
        </w:rPr>
        <w:t>（二）加强组织领导，确保法治建设责任落实。</w:t>
      </w:r>
    </w:p>
    <w:p>
      <w:pPr>
        <w:keepNext w:val="0"/>
        <w:keepLines w:val="0"/>
        <w:pageBreakBefore w:val="0"/>
        <w:widowControl w:val="0"/>
        <w:tabs>
          <w:tab w:val="left" w:pos="583"/>
        </w:tabs>
        <w:kinsoku/>
        <w:wordWrap/>
        <w:overflowPunct/>
        <w:topLinePunct/>
        <w:autoSpaceDE/>
        <w:autoSpaceDN/>
        <w:bidi w:val="0"/>
        <w:adjustRightInd/>
        <w:snapToGrid/>
        <w:spacing w:beforeAutospacing="0" w:afterAutospacing="0" w:line="560" w:lineRule="exact"/>
        <w:ind w:firstLine="640" w:firstLineChars="200"/>
        <w:textAlignment w:val="auto"/>
        <w:rPr>
          <w:rFonts w:ascii="Times New Roman" w:eastAsia="仿宋_GB2312" w:hAnsi="Times New Roman" w:cs="Times New Roman" w:hint="eastAsia"/>
          <w:sz w:val="32"/>
          <w:szCs w:val="32"/>
          <w:lang w:val="en-US" w:eastAsia="zh-CN"/>
        </w:rPr>
      </w:pPr>
      <w:r>
        <w:rPr>
          <w:rFonts w:ascii="仿宋_GB2312" w:eastAsia="仿宋_GB2312" w:hAnsi="楷体" w:cs="Arial" w:hint="eastAsia"/>
          <w:bCs/>
          <w:color w:val="000000" w:themeColor="text1"/>
          <w:kern w:val="0"/>
          <w:sz w:val="32"/>
          <w:szCs w:val="32"/>
          <w14:textFill>
            <w14:solidFill>
              <w14:schemeClr w14:val="tx1"/>
            </w14:solidFill>
          </w14:textFill>
        </w:rPr>
        <w:t>局党组高度重视部门法治建设，切实履行《乌苏市</w:t>
      </w:r>
      <w:r>
        <w:rPr>
          <w:rFonts w:ascii="仿宋_GB2312" w:eastAsia="仿宋_GB2312" w:hAnsi="楷体" w:cs="Arial" w:hint="eastAsia"/>
          <w:bCs/>
          <w:color w:val="000000" w:themeColor="text1"/>
          <w:kern w:val="0"/>
          <w:sz w:val="32"/>
          <w:szCs w:val="32"/>
          <w:lang w:eastAsia="zh-CN"/>
          <w14:textFill>
            <w14:solidFill>
              <w14:schemeClr w14:val="tx1"/>
            </w14:solidFill>
          </w14:textFill>
        </w:rPr>
        <w:t>贯彻</w:t>
      </w:r>
      <w:r>
        <w:rPr>
          <w:rFonts w:ascii="仿宋_GB2312" w:eastAsia="仿宋_GB2312" w:hAnsi="楷体" w:cs="Arial" w:hint="eastAsia"/>
          <w:bCs/>
          <w:color w:val="000000" w:themeColor="text1"/>
          <w:kern w:val="0"/>
          <w:sz w:val="32"/>
          <w:szCs w:val="32"/>
          <w14:textFill>
            <w14:solidFill>
              <w14:schemeClr w14:val="tx1"/>
            </w14:solidFill>
          </w14:textFill>
        </w:rPr>
        <w:t>落实党政主要负责人履行推进法治建设第一责任人职责规定工作责任清单》，将依法行政工作纳入年度工作要点。成立局依法行政工作领导小组，由我担任组长，局长担任副组长、各股室负责人为成员，确保各项法治工作有序推进。加强重大行政决策集体决定，规范文件制定审核，严格落实</w:t>
      </w:r>
      <w:r>
        <w:rPr>
          <w:rFonts w:ascii="仿宋_GB2312" w:eastAsia="仿宋_GB2312" w:hAnsi="楷体" w:cs="Arial" w:hint="eastAsia"/>
          <w:bCs/>
          <w:color w:val="000000" w:themeColor="text1"/>
          <w:kern w:val="0"/>
          <w:sz w:val="32"/>
          <w:szCs w:val="32"/>
          <w:lang w:eastAsia="zh-CN"/>
          <w14:textFill>
            <w14:solidFill>
              <w14:schemeClr w14:val="tx1"/>
            </w14:solidFill>
          </w14:textFill>
        </w:rPr>
        <w:t>权责</w:t>
      </w:r>
      <w:r>
        <w:rPr>
          <w:rFonts w:ascii="仿宋_GB2312" w:eastAsia="仿宋_GB2312" w:hAnsi="楷体" w:cs="Arial" w:hint="eastAsia"/>
          <w:bCs/>
          <w:color w:val="000000" w:themeColor="text1"/>
          <w:kern w:val="0"/>
          <w:sz w:val="32"/>
          <w:szCs w:val="32"/>
          <w14:textFill>
            <w14:solidFill>
              <w14:schemeClr w14:val="tx1"/>
            </w14:solidFill>
          </w14:textFill>
        </w:rPr>
        <w:t>清单</w:t>
      </w:r>
      <w:r>
        <w:rPr>
          <w:rFonts w:ascii="仿宋_GB2312" w:eastAsia="仿宋_GB2312" w:hAnsi="楷体" w:cs="Arial" w:hint="eastAsia"/>
          <w:bCs/>
          <w:color w:val="000000" w:themeColor="text1"/>
          <w:kern w:val="0"/>
          <w:sz w:val="32"/>
          <w:szCs w:val="32"/>
          <w:lang w:eastAsia="zh-CN"/>
          <w14:textFill>
            <w14:solidFill>
              <w14:schemeClr w14:val="tx1"/>
            </w14:solidFill>
          </w14:textFill>
        </w:rPr>
        <w:t>，</w:t>
      </w:r>
      <w:r>
        <w:rPr>
          <w:rFonts w:ascii="仿宋_GB2312" w:eastAsia="仿宋_GB2312" w:hAnsi="仿宋_GB2312" w:cs="仿宋_GB2312" w:hint="eastAsia"/>
          <w:i w:val="0"/>
          <w:caps w:val="0"/>
          <w:color w:val="000000"/>
          <w:spacing w:val="0"/>
          <w:sz w:val="32"/>
          <w:szCs w:val="32"/>
          <w:shd w:val="clear" w:color="auto" w:fill="FFFFFF"/>
        </w:rPr>
        <w:t>局党组召开法治建设专题会议</w:t>
      </w:r>
      <w:r>
        <w:rPr>
          <w:rFonts w:ascii="仿宋_GB2312" w:eastAsia="仿宋_GB2312" w:hAnsi="仿宋_GB2312" w:cs="仿宋_GB2312" w:hint="eastAsia"/>
          <w:i w:val="0"/>
          <w:caps w:val="0"/>
          <w:color w:val="000000"/>
          <w:spacing w:val="0"/>
          <w:sz w:val="32"/>
          <w:szCs w:val="32"/>
          <w:shd w:val="clear" w:color="auto" w:fill="FFFFFF"/>
          <w:lang w:val="en-US" w:eastAsia="zh-CN"/>
        </w:rPr>
        <w:t>2</w:t>
      </w:r>
      <w:r>
        <w:rPr>
          <w:rFonts w:ascii="仿宋_GB2312" w:eastAsia="仿宋_GB2312" w:hAnsi="仿宋_GB2312" w:cs="仿宋_GB2312" w:hint="eastAsia"/>
          <w:i w:val="0"/>
          <w:caps w:val="0"/>
          <w:color w:val="000000"/>
          <w:spacing w:val="0"/>
          <w:sz w:val="32"/>
          <w:szCs w:val="32"/>
          <w:shd w:val="clear" w:color="auto" w:fill="FFFFFF"/>
        </w:rPr>
        <w:t>次，研究制定各项工作要点</w:t>
      </w:r>
      <w:r>
        <w:rPr>
          <w:rFonts w:ascii="仿宋_GB2312" w:eastAsia="仿宋_GB2312" w:hAnsi="仿宋_GB2312" w:cs="仿宋_GB2312" w:hint="eastAsia"/>
          <w:i w:val="0"/>
          <w:caps w:val="0"/>
          <w:color w:val="000000"/>
          <w:spacing w:val="0"/>
          <w:sz w:val="32"/>
          <w:szCs w:val="32"/>
          <w:shd w:val="clear" w:color="auto" w:fill="FFFFFF"/>
          <w:lang w:eastAsia="zh-CN"/>
        </w:rPr>
        <w:t>，</w:t>
      </w:r>
      <w:r>
        <w:rPr>
          <w:rFonts w:ascii="仿宋_GB2312" w:eastAsia="仿宋_GB2312" w:hAnsi="仿宋_GB2312" w:cs="仿宋_GB2312" w:hint="eastAsia"/>
          <w:i w:val="0"/>
          <w:caps w:val="0"/>
          <w:color w:val="000000"/>
          <w:spacing w:val="0"/>
          <w:sz w:val="32"/>
          <w:szCs w:val="32"/>
          <w:shd w:val="clear" w:color="auto" w:fill="FFFFFF"/>
        </w:rPr>
        <w:t>部署法治建设工作</w:t>
      </w:r>
      <w:r>
        <w:rPr>
          <w:rFonts w:ascii="仿宋_GB2312" w:eastAsia="仿宋_GB2312" w:hAnsi="仿宋_GB2312" w:cs="仿宋_GB2312" w:hint="eastAsia"/>
          <w:i w:val="0"/>
          <w:caps w:val="0"/>
          <w:color w:val="000000"/>
          <w:spacing w:val="0"/>
          <w:sz w:val="32"/>
          <w:szCs w:val="32"/>
          <w:shd w:val="clear" w:color="auto" w:fill="FFFFFF"/>
          <w:lang w:eastAsia="zh-CN"/>
        </w:rPr>
        <w:t>，</w:t>
      </w:r>
      <w:r>
        <w:rPr>
          <w:rFonts w:ascii="仿宋_GB2312" w:eastAsia="仿宋_GB2312" w:hAnsi="仿宋_GB2312" w:cs="仿宋_GB2312" w:hint="eastAsia"/>
          <w:color w:val="auto"/>
          <w:sz w:val="32"/>
          <w:szCs w:val="32"/>
        </w:rPr>
        <w:t>根据市依法治市委员会</w:t>
      </w:r>
      <w:r>
        <w:rPr>
          <w:rFonts w:ascii="仿宋_GB2312" w:eastAsia="仿宋_GB2312" w:hAnsi="仿宋_GB2312" w:cs="仿宋_GB2312" w:hint="eastAsia"/>
          <w:color w:val="auto"/>
          <w:sz w:val="32"/>
          <w:szCs w:val="32"/>
          <w:lang w:eastAsia="zh-CN"/>
        </w:rPr>
        <w:t>统一部署</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医疗保障局共承接贯彻落实“法治建设”一规划两纲要</w:t>
      </w:r>
      <w:r>
        <w:rPr>
          <w:rFonts w:ascii="仿宋_GB2312" w:eastAsia="仿宋_GB2312" w:hAnsi="仿宋_GB2312" w:cs="仿宋_GB2312" w:hint="eastAsia"/>
          <w:color w:val="auto"/>
          <w:sz w:val="32"/>
          <w:szCs w:val="32"/>
          <w:lang w:val="en-US" w:eastAsia="zh-CN"/>
        </w:rPr>
        <w:t>14项任务，目前已全面完成，</w:t>
      </w:r>
      <w:r>
        <w:rPr>
          <w:rFonts w:ascii="Times New Roman" w:eastAsia="仿宋_GB2312" w:hAnsi="Times New Roman" w:cs="Times New Roman" w:hint="eastAsia"/>
          <w:sz w:val="32"/>
          <w:szCs w:val="32"/>
          <w:lang w:val="en-US" w:eastAsia="zh-CN"/>
        </w:rPr>
        <w:t>全面推进本单位法治建设各项工作。</w:t>
      </w:r>
    </w:p>
    <w:p>
      <w:pPr>
        <w:keepNext w:val="0"/>
        <w:keepLines w:val="0"/>
        <w:pageBreakBefore w:val="0"/>
        <w:widowControl/>
        <w:kinsoku/>
        <w:wordWrap/>
        <w:overflowPunct/>
        <w:autoSpaceDE/>
        <w:autoSpaceDN/>
        <w:bidi w:val="0"/>
        <w:adjustRightInd/>
        <w:snapToGrid/>
        <w:spacing w:line="560" w:lineRule="exact"/>
        <w:ind w:firstLine="648"/>
        <w:jc w:val="left"/>
        <w:textAlignment w:val="auto"/>
        <w:rPr>
          <w:rFonts w:ascii="楷体_GB2312" w:eastAsia="楷体_GB2312" w:hAnsi="楷体" w:cs="Arial" w:hint="eastAsia"/>
          <w:b w:val="0"/>
          <w:bCs/>
          <w:color w:val="000000" w:themeColor="text1"/>
          <w:kern w:val="0"/>
          <w:sz w:val="32"/>
          <w:szCs w:val="32"/>
          <w:lang w:eastAsia="zh-CN"/>
          <w14:textFill>
            <w14:solidFill>
              <w14:schemeClr w14:val="tx1"/>
            </w14:solidFill>
          </w14:textFill>
        </w:rPr>
      </w:pPr>
      <w:r>
        <w:rPr>
          <w:rFonts w:ascii="楷体_GB2312" w:eastAsia="楷体_GB2312" w:hAnsi="楷体" w:cs="Arial" w:hint="eastAsia"/>
          <w:b w:val="0"/>
          <w:bCs/>
          <w:color w:val="000000" w:themeColor="text1"/>
          <w:kern w:val="0"/>
          <w:sz w:val="32"/>
          <w:szCs w:val="32"/>
          <w:lang w:eastAsia="zh-CN"/>
          <w14:textFill>
            <w14:solidFill>
              <w14:schemeClr w14:val="tx1"/>
            </w14:solidFill>
          </w14:textFill>
        </w:rPr>
        <w:t>（三）</w:t>
      </w:r>
      <w:r>
        <w:rPr>
          <w:rFonts w:ascii="楷体_GB2312" w:eastAsia="楷体_GB2312" w:hAnsi="楷体" w:cs="Arial" w:hint="eastAsia"/>
          <w:b w:val="0"/>
          <w:bCs/>
          <w:color w:val="000000" w:themeColor="text1"/>
          <w:kern w:val="0"/>
          <w:sz w:val="32"/>
          <w:szCs w:val="32"/>
          <w14:textFill>
            <w14:solidFill>
              <w14:schemeClr w14:val="tx1"/>
            </w14:solidFill>
          </w14:textFill>
        </w:rPr>
        <w:t>履行业务职责</w:t>
      </w:r>
      <w:r>
        <w:rPr>
          <w:rFonts w:ascii="楷体_GB2312" w:eastAsia="楷体_GB2312" w:hAnsi="楷体" w:cs="Arial" w:hint="eastAsia"/>
          <w:b w:val="0"/>
          <w:bCs/>
          <w:color w:val="000000" w:themeColor="text1"/>
          <w:kern w:val="0"/>
          <w:sz w:val="32"/>
          <w:szCs w:val="32"/>
          <w:lang w:eastAsia="zh-CN"/>
          <w14:textFill>
            <w14:solidFill>
              <w14:schemeClr w14:val="tx1"/>
            </w14:solidFill>
          </w14:textFill>
        </w:rPr>
        <w:t>，切实提高工作成效。</w:t>
      </w:r>
    </w:p>
    <w:p>
      <w:pPr>
        <w:keepNext w:val="0"/>
        <w:keepLines w:val="0"/>
        <w:pageBreakBefore w:val="0"/>
        <w:widowControl/>
        <w:kinsoku/>
        <w:wordWrap/>
        <w:overflowPunct/>
        <w:autoSpaceDE/>
        <w:autoSpaceDN/>
        <w:bidi w:val="0"/>
        <w:adjustRightInd/>
        <w:snapToGrid/>
        <w:spacing w:line="560" w:lineRule="exact"/>
        <w:ind w:firstLine="648"/>
        <w:jc w:val="left"/>
        <w:textAlignment w:val="auto"/>
        <w:rPr>
          <w:rStyle w:val="Strong"/>
          <w:rFonts w:ascii="仿宋_GB2312" w:eastAsia="仿宋_GB2312" w:hAnsi="仿宋_GB2312" w:cs="仿宋_GB2312" w:hint="default"/>
          <w:b w:val="0"/>
          <w:bCs w:val="0"/>
          <w:i w:val="0"/>
          <w:iCs w:val="0"/>
          <w:caps w:val="0"/>
          <w:color w:val="auto"/>
          <w:spacing w:val="0"/>
          <w:kern w:val="0"/>
          <w:sz w:val="32"/>
          <w:szCs w:val="32"/>
          <w:highlight w:val="none"/>
          <w:shd w:val="clear" w:color="auto" w:fill="auto"/>
          <w:lang w:val="en-US" w:eastAsia="zh-CN"/>
        </w:rPr>
      </w:pPr>
      <w:r>
        <w:rPr>
          <w:rFonts w:ascii="仿宋_GB2312" w:eastAsia="仿宋_GB2312" w:hAnsi="仿宋_GB2312" w:cs="仿宋_GB2312" w:hint="eastAsia"/>
          <w:b w:val="0"/>
          <w:bCs w:val="0"/>
          <w:i w:val="0"/>
          <w:iCs w:val="0"/>
          <w:color w:val="auto"/>
          <w:kern w:val="2"/>
          <w:sz w:val="32"/>
          <w:szCs w:val="32"/>
          <w:lang w:val="en-US" w:eastAsia="zh-CN" w:bidi="ar-SA"/>
        </w:rPr>
        <w:t>一是积极贯彻党对人大工作的全面领导，深入领会党关于医保领域立法、监督等人大履职要点的指示精神，确定一名人大代表担任医保义务监督员，就医保政策落实、基金监督管理等征求人大代表意见，确保医保工作契合法治轨道与民意期待。二是落实基层减负要求，提高医保办理实效。</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rPr>
        <w:t>简化异地就医办理流程，提供线上线下多种办理方式，参保人在异地直接结算，切实解决参保群众异地转诊转院备案耗时费力痛点</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lang w:eastAsia="zh-CN"/>
        </w:rPr>
        <w:t>。</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rPr>
        <w:t>指导群众在手机“新疆医保服务平台”申请办理</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lang w:eastAsia="zh-CN"/>
        </w:rPr>
        <w:t>医保业务</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rPr>
        <w:t>，普及手机线上办理。2024年医保业务网上平均办结率已经达到81.23%，其中异地安置网办率可达99.28%，实现医保业务网上办、掌上办、就近办</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lang w:eastAsia="zh-CN"/>
        </w:rPr>
        <w:t>。三是严格落实“谁执法谁普法”。明确各科室岗位的普法职责，常态化开展法治培训，共举办</w:t>
      </w:r>
      <w:r>
        <w:rPr>
          <w:rStyle w:val="Strong"/>
          <w:rFonts w:ascii="仿宋_GB2312" w:eastAsia="仿宋_GB2312" w:hAnsi="仿宋_GB2312" w:cs="仿宋_GB2312" w:hint="eastAsia"/>
          <w:b w:val="0"/>
          <w:bCs w:val="0"/>
          <w:i w:val="0"/>
          <w:iCs w:val="0"/>
          <w:caps w:val="0"/>
          <w:color w:val="auto"/>
          <w:spacing w:val="0"/>
          <w:kern w:val="0"/>
          <w:sz w:val="32"/>
          <w:szCs w:val="32"/>
          <w:highlight w:val="none"/>
          <w:shd w:val="clear" w:color="auto" w:fill="auto"/>
          <w:lang w:val="en-US" w:eastAsia="zh-CN"/>
        </w:rPr>
        <w:t>6场面向参保群众的医保政策宣讲会，进村入户开展宣传活动160余次，针对定点医疗机构、药店开展专题法治培训4场，参训人员600余人次，不断规范医保服务行为。</w:t>
      </w:r>
    </w:p>
    <w:p>
      <w:pPr>
        <w:keepNext w:val="0"/>
        <w:keepLines w:val="0"/>
        <w:pageBreakBefore w:val="0"/>
        <w:widowControl w:val="0"/>
        <w:kinsoku/>
        <w:wordWrap/>
        <w:overflowPunct/>
        <w:topLinePunct/>
        <w:autoSpaceDE/>
        <w:autoSpaceDN/>
        <w:bidi w:val="0"/>
        <w:adjustRightInd/>
        <w:snapToGrid/>
        <w:spacing w:line="560" w:lineRule="exact"/>
        <w:ind w:left="0" w:firstLine="640" w:leftChars="0" w:firstLineChars="200"/>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（四）明确任务措施，确保抓好问题整改。</w:t>
      </w:r>
    </w:p>
    <w:p>
      <w:pPr>
        <w:keepNext w:val="0"/>
        <w:keepLines w:val="0"/>
        <w:pageBreakBefore w:val="0"/>
        <w:widowControl w:val="0"/>
        <w:tabs>
          <w:tab w:val="left" w:pos="583"/>
        </w:tabs>
        <w:kinsoku/>
        <w:wordWrap/>
        <w:overflowPunct/>
        <w:topLinePunct/>
        <w:autoSpaceDE/>
        <w:autoSpaceDN/>
        <w:bidi w:val="0"/>
        <w:adjustRightInd/>
        <w:snapToGrid/>
        <w:spacing w:line="560" w:lineRule="exact"/>
        <w:ind w:left="0" w:firstLine="640" w:leftChars="0" w:firstLineChars="200"/>
        <w:textAlignment w:val="auto"/>
        <w:rPr>
          <w:rFonts w:hint="eastAsia"/>
          <w:lang w:eastAsia="zh-CN"/>
        </w:rPr>
      </w:pPr>
      <w:r>
        <w:rPr>
          <w:rFonts w:ascii="Times New Roman" w:eastAsia="仿宋_GB2312" w:hAnsi="Times New Roman" w:cs="Times New Roman" w:hint="default"/>
          <w:sz w:val="32"/>
          <w:szCs w:val="32"/>
          <w:lang w:val="en-US" w:eastAsia="zh-CN"/>
        </w:rPr>
        <w:t>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年度述法</w:t>
      </w:r>
      <w:r>
        <w:rPr>
          <w:rFonts w:ascii="Times New Roman" w:eastAsia="仿宋_GB2312" w:hAnsi="Times New Roman" w:cs="Times New Roman" w:hint="eastAsia"/>
          <w:sz w:val="32"/>
          <w:szCs w:val="32"/>
          <w:lang w:val="en-US" w:eastAsia="zh-CN"/>
        </w:rPr>
        <w:t>报告</w:t>
      </w:r>
      <w:r>
        <w:rPr>
          <w:rFonts w:ascii="Times New Roman" w:eastAsia="仿宋_GB2312" w:hAnsi="Times New Roman" w:cs="Times New Roman" w:hint="default"/>
          <w:sz w:val="32"/>
          <w:szCs w:val="32"/>
          <w:lang w:val="en-US" w:eastAsia="zh-CN"/>
        </w:rPr>
        <w:t>中</w:t>
      </w:r>
      <w:r>
        <w:rPr>
          <w:rFonts w:ascii="Times New Roman" w:eastAsia="仿宋_GB2312" w:hAnsi="Times New Roman" w:cs="Times New Roman" w:hint="eastAsia"/>
          <w:sz w:val="32"/>
          <w:szCs w:val="32"/>
          <w:lang w:val="en-US" w:eastAsia="zh-CN"/>
        </w:rPr>
        <w:t>提出</w:t>
      </w:r>
      <w:r>
        <w:rPr>
          <w:rFonts w:ascii="Times New Roman" w:eastAsia="仿宋_GB2312" w:hAnsi="Times New Roman" w:cs="Times New Roman" w:hint="default"/>
          <w:sz w:val="32"/>
          <w:szCs w:val="32"/>
          <w:lang w:val="en-US" w:eastAsia="zh-CN"/>
        </w:rPr>
        <w:t>问题</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条，分别为</w:t>
      </w:r>
      <w:r>
        <w:rPr>
          <w:rFonts w:ascii="Times New Roman" w:eastAsia="仿宋_GB2312" w:hAnsi="Times New Roman" w:cs="Times New Roman" w:hint="eastAsia"/>
          <w:sz w:val="32"/>
          <w:szCs w:val="32"/>
          <w:lang w:val="en-US" w:eastAsia="zh-CN"/>
        </w:rPr>
        <w:t>学习贯彻习近平法治思想不系统、不深入，学用结合不紧密。法治基础和执法力量薄弱；医疗保障领域监管模式</w:t>
      </w:r>
      <w:r>
        <w:rPr>
          <w:rFonts w:ascii="仿宋_GB2312" w:eastAsia="仿宋_GB2312" w:hAnsi="仿宋_GB2312" w:cs="仿宋_GB2312" w:hint="eastAsia"/>
          <w:sz w:val="32"/>
          <w:szCs w:val="32"/>
          <w:lang w:val="en-US" w:eastAsia="zh-CN"/>
        </w:rPr>
        <w:t>仍需进一步创新，与相关部门之间的联动机制需健全；以上三个问题已认真对照研究，</w:t>
      </w:r>
      <w:r>
        <w:rPr>
          <w:rFonts w:ascii="Times New Roman" w:eastAsia="仿宋_GB2312" w:hAnsi="Times New Roman" w:cs="Times New Roman" w:hint="eastAsia"/>
          <w:sz w:val="32"/>
          <w:szCs w:val="32"/>
          <w:lang w:val="en-US" w:eastAsia="zh-CN"/>
        </w:rPr>
        <w:t>逐一整改落实。涉及自治区、地区及乌苏市法治督查反馈问题均进行举一反三，逐一对照检查，涉及问题均建立整改台账，明确整改责任人、整改时限，按要求整改完毕。</w:t>
      </w:r>
    </w:p>
    <w:p>
      <w:pPr>
        <w:keepNext w:val="0"/>
        <w:keepLines w:val="0"/>
        <w:pageBreakBefore w:val="0"/>
        <w:widowControl/>
        <w:kinsoku/>
        <w:wordWrap/>
        <w:overflowPunct/>
        <w:autoSpaceDE/>
        <w:autoSpaceDN/>
        <w:bidi w:val="0"/>
        <w:adjustRightInd/>
        <w:snapToGrid/>
        <w:spacing w:line="560" w:lineRule="exact"/>
        <w:ind w:firstLine="648"/>
        <w:jc w:val="left"/>
        <w:textAlignment w:val="auto"/>
        <w:rPr>
          <w:rStyle w:val="Strong"/>
          <w:rFonts w:ascii="黑体" w:eastAsia="黑体" w:hAnsi="黑体" w:cs="黑体" w:hint="eastAsia"/>
          <w:b w:val="0"/>
          <w:bCs/>
          <w:i w:val="0"/>
          <w:iCs w:val="0"/>
          <w:caps w:val="0"/>
          <w:color w:val="auto"/>
          <w:spacing w:val="0"/>
          <w:kern w:val="0"/>
          <w:sz w:val="32"/>
          <w:szCs w:val="32"/>
          <w:highlight w:val="none"/>
          <w:shd w:val="clear" w:color="auto" w:fill="auto"/>
          <w:lang w:val="en-US" w:eastAsia="zh-CN" w:bidi="ar-SA"/>
        </w:rPr>
      </w:pPr>
      <w:r>
        <w:rPr>
          <w:rStyle w:val="Strong"/>
          <w:rFonts w:ascii="黑体" w:eastAsia="黑体" w:hAnsi="黑体" w:cs="黑体" w:hint="eastAsia"/>
          <w:b w:val="0"/>
          <w:bCs/>
          <w:i w:val="0"/>
          <w:iCs w:val="0"/>
          <w:caps w:val="0"/>
          <w:color w:val="auto"/>
          <w:spacing w:val="0"/>
          <w:kern w:val="0"/>
          <w:sz w:val="32"/>
          <w:szCs w:val="32"/>
          <w:highlight w:val="none"/>
          <w:shd w:val="clear" w:color="auto" w:fill="auto"/>
          <w:lang w:val="en-US" w:eastAsia="zh-CN" w:bidi="ar-SA"/>
        </w:rPr>
        <w:t>三、亮点工作</w:t>
      </w:r>
    </w:p>
    <w:p>
      <w:pPr>
        <w:keepNext w:val="0"/>
        <w:keepLines w:val="0"/>
        <w:pageBreakBefore w:val="0"/>
        <w:widowControl/>
        <w:kinsoku/>
        <w:wordWrap/>
        <w:overflowPunct/>
        <w:autoSpaceDE/>
        <w:autoSpaceDN/>
        <w:bidi w:val="0"/>
        <w:adjustRightInd/>
        <w:snapToGrid/>
        <w:spacing w:line="560" w:lineRule="exact"/>
        <w:ind w:firstLine="648"/>
        <w:jc w:val="left"/>
        <w:textAlignment w:val="auto"/>
        <w:rPr>
          <w:rStyle w:val="Strong"/>
          <w:rFonts w:ascii="楷体_GB2312" w:eastAsia="楷体_GB2312" w:hAnsi="楷体_GB2312" w:cs="楷体_GB2312" w:hint="eastAsia"/>
          <w:b w:val="0"/>
          <w:bCs/>
          <w:i w:val="0"/>
          <w:iCs w:val="0"/>
          <w:caps w:val="0"/>
          <w:color w:val="auto"/>
          <w:spacing w:val="0"/>
          <w:kern w:val="0"/>
          <w:sz w:val="32"/>
          <w:szCs w:val="32"/>
          <w:highlight w:val="none"/>
          <w:shd w:val="clear" w:color="auto" w:fill="auto"/>
          <w:lang w:val="en-US" w:eastAsia="zh-CN" w:bidi="ar-SA"/>
        </w:rPr>
      </w:pPr>
      <w:r>
        <w:rPr>
          <w:rStyle w:val="Strong"/>
          <w:rFonts w:ascii="楷体_GB2312" w:eastAsia="楷体_GB2312" w:hAnsi="楷体_GB2312" w:cs="楷体_GB2312" w:hint="eastAsia"/>
          <w:b w:val="0"/>
          <w:bCs/>
          <w:i w:val="0"/>
          <w:iCs w:val="0"/>
          <w:caps w:val="0"/>
          <w:color w:val="auto"/>
          <w:spacing w:val="0"/>
          <w:kern w:val="0"/>
          <w:sz w:val="32"/>
          <w:szCs w:val="32"/>
          <w:highlight w:val="none"/>
          <w:shd w:val="clear" w:color="auto" w:fill="auto"/>
          <w:lang w:val="en-US" w:eastAsia="zh-CN" w:bidi="ar-SA"/>
        </w:rPr>
        <w:t>（一）</w:t>
      </w:r>
      <w:r>
        <w:rPr>
          <w:rFonts w:ascii="楷体_GB2312" w:eastAsia="楷体_GB2312" w:hAnsi="楷体_GB2312" w:cs="楷体_GB2312" w:hint="eastAsia"/>
          <w:b w:val="0"/>
          <w:bCs/>
          <w:sz w:val="32"/>
          <w:szCs w:val="32"/>
        </w:rPr>
        <w:t>坚持依法行政，建设医保基金监管长效机制</w:t>
      </w:r>
      <w:r>
        <w:rPr>
          <w:rFonts w:ascii="楷体_GB2312" w:eastAsia="楷体_GB2312" w:hAnsi="楷体_GB2312" w:cs="楷体_GB2312" w:hint="eastAsia"/>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i w:val="0"/>
          <w:iCs w:val="0"/>
          <w:caps w:val="0"/>
          <w:color w:val="auto"/>
          <w:spacing w:val="0"/>
          <w:kern w:val="0"/>
          <w:sz w:val="32"/>
          <w:szCs w:val="32"/>
          <w:highlight w:val="none"/>
          <w:shd w:val="clear" w:color="auto" w:fill="auto"/>
          <w:lang w:val="en-US" w:eastAsia="zh-CN"/>
        </w:rPr>
      </w:pPr>
      <w:r>
        <w:rPr>
          <w:rFonts w:ascii="仿宋_GB2312" w:eastAsia="仿宋_GB2312" w:hAnsi="仿宋_GB2312" w:cs="仿宋_GB2312" w:hint="eastAsia"/>
          <w:sz w:val="32"/>
          <w:szCs w:val="32"/>
          <w:lang w:eastAsia="zh-CN"/>
        </w:rPr>
        <w:t>一是提升执法人员能力素质。定期</w:t>
      </w:r>
      <w:r>
        <w:rPr>
          <w:rFonts w:ascii="仿宋_GB2312" w:eastAsia="仿宋_GB2312" w:hAnsi="仿宋_GB2312" w:cs="仿宋_GB2312" w:hint="eastAsia"/>
          <w:sz w:val="32"/>
          <w:szCs w:val="32"/>
        </w:rPr>
        <w:t>对医保政策法规、行政执法程序、证据收集与固定等内容进行系统培训</w:t>
      </w:r>
      <w:r>
        <w:rPr>
          <w:rFonts w:ascii="仿宋_GB2312" w:eastAsia="仿宋_GB2312" w:hAnsi="仿宋_GB2312" w:cs="仿宋_GB2312" w:hint="eastAsia"/>
          <w:sz w:val="32"/>
          <w:szCs w:val="32"/>
          <w:lang w:eastAsia="zh-CN"/>
        </w:rPr>
        <w:t>，截至目前共开展培训</w:t>
      </w:r>
      <w:r>
        <w:rPr>
          <w:rFonts w:ascii="仿宋_GB2312" w:eastAsia="仿宋_GB2312" w:hAnsi="仿宋_GB2312" w:cs="仿宋_GB2312" w:hint="eastAsia"/>
          <w:sz w:val="32"/>
          <w:szCs w:val="32"/>
          <w:lang w:val="en-US" w:eastAsia="zh-CN"/>
        </w:rPr>
        <w:t>10次，完成了全年60学时的培训要求。</w:t>
      </w:r>
      <w:r>
        <w:rPr>
          <w:rFonts w:ascii="仿宋_GB2312" w:eastAsia="仿宋_GB2312" w:hAnsi="仿宋_GB2312" w:cs="仿宋_GB2312" w:hint="eastAsia"/>
          <w:b w:val="0"/>
          <w:bCs w:val="0"/>
          <w:i w:val="0"/>
          <w:caps w:val="0"/>
          <w:color w:val="auto"/>
          <w:spacing w:val="0"/>
          <w:kern w:val="0"/>
          <w:sz w:val="32"/>
          <w:szCs w:val="32"/>
          <w:u w:val="none"/>
          <w:shd w:val="clear" w:color="auto" w:fill="auto"/>
          <w:lang w:eastAsia="zh-CN"/>
        </w:rPr>
        <w:t>鼓励干部通过学习获取执法证，</w:t>
      </w:r>
      <w:r>
        <w:rPr>
          <w:rFonts w:ascii="仿宋_GB2312" w:eastAsia="仿宋_GB2312" w:hAnsi="仿宋_GB2312" w:cs="仿宋_GB2312" w:hint="eastAsia"/>
          <w:b w:val="0"/>
          <w:bCs w:val="0"/>
          <w:i w:val="0"/>
          <w:caps w:val="0"/>
          <w:color w:val="auto"/>
          <w:spacing w:val="0"/>
          <w:kern w:val="0"/>
          <w:sz w:val="32"/>
          <w:szCs w:val="32"/>
          <w:u w:val="none"/>
          <w:shd w:val="clear" w:color="auto" w:fill="auto"/>
          <w:lang w:val="en-US" w:eastAsia="zh-CN"/>
        </w:rPr>
        <w:t>2024年新增9人参加执法证考试。共</w:t>
      </w:r>
      <w:r>
        <w:rPr>
          <w:rFonts w:ascii="仿宋_GB2312" w:eastAsia="仿宋_GB2312" w:hAnsi="仿宋_GB2312" w:cs="仿宋_GB2312" w:hint="eastAsia"/>
          <w:b w:val="0"/>
          <w:bCs w:val="0"/>
          <w:color w:val="auto"/>
          <w:sz w:val="32"/>
          <w:szCs w:val="32"/>
          <w:lang w:val="en-US" w:eastAsia="zh-CN"/>
        </w:rPr>
        <w:t>梳理行</w:t>
      </w:r>
      <w:r>
        <w:rPr>
          <w:rFonts w:ascii="仿宋_GB2312" w:eastAsia="仿宋_GB2312" w:hAnsi="仿宋_GB2312" w:cs="仿宋_GB2312" w:hint="eastAsia"/>
          <w:sz w:val="32"/>
          <w:szCs w:val="32"/>
          <w:lang w:val="en-US" w:eastAsia="zh-CN"/>
        </w:rPr>
        <w:t>政执法事项16项，严格按权责清单开展行政执法工作，同市场监督管理局、卫健委、公安局开展联合执法11次。二是</w:t>
      </w:r>
      <w:r>
        <w:rPr>
          <w:rFonts w:ascii="仿宋_GB2312" w:eastAsia="仿宋_GB2312" w:hAnsi="仿宋_GB2312" w:cs="仿宋_GB2312" w:hint="eastAsia"/>
          <w:sz w:val="32"/>
          <w:szCs w:val="32"/>
        </w:rPr>
        <w:t>创新监管模式，提升基金监管综合效能。结合</w:t>
      </w:r>
      <w:r>
        <w:rPr>
          <w:rFonts w:ascii="仿宋_GB2312" w:eastAsia="仿宋_GB2312" w:hAnsi="仿宋_GB2312" w:cs="仿宋_GB2312" w:hint="eastAsia"/>
          <w:sz w:val="32"/>
          <w:szCs w:val="32"/>
          <w:lang w:eastAsia="zh-CN"/>
        </w:rPr>
        <w:t>乌苏市</w:t>
      </w:r>
      <w:r>
        <w:rPr>
          <w:rFonts w:ascii="仿宋_GB2312" w:eastAsia="仿宋_GB2312" w:hAnsi="仿宋_GB2312" w:cs="仿宋_GB2312" w:hint="eastAsia"/>
          <w:sz w:val="32"/>
          <w:szCs w:val="32"/>
        </w:rPr>
        <w:t>医保定点零售药店情况研究</w:t>
      </w:r>
      <w:r>
        <w:rPr>
          <w:rFonts w:ascii="仿宋_GB2312" w:eastAsia="仿宋_GB2312" w:hAnsi="仿宋_GB2312" w:cs="仿宋_GB2312" w:hint="eastAsia"/>
          <w:sz w:val="32"/>
          <w:szCs w:val="32"/>
          <w:lang w:eastAsia="zh-CN"/>
        </w:rPr>
        <w:t>完善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定点医疗机构管理协议</w:t>
      </w:r>
      <w:r>
        <w:rPr>
          <w:rFonts w:ascii="仿宋_GB2312" w:eastAsia="仿宋_GB2312" w:hAnsi="仿宋_GB2312" w:cs="仿宋_GB2312" w:hint="eastAsia"/>
          <w:sz w:val="32"/>
          <w:szCs w:val="32"/>
        </w:rPr>
        <w:t>》，</w:t>
      </w:r>
      <w:r>
        <w:rPr>
          <w:rFonts w:ascii="仿宋_GB2312" w:eastAsia="仿宋_GB2312" w:hAnsi="仿宋_GB2312" w:cs="仿宋_GB2312" w:hint="eastAsia"/>
          <w:color w:val="auto"/>
          <w:sz w:val="32"/>
          <w:szCs w:val="32"/>
          <w:highlight w:val="none"/>
          <w:lang w:val="en-US" w:eastAsia="zh-CN"/>
        </w:rPr>
        <w:t>深入开展“打击欺诈骗保维护基金安全”宣传月活动，及时在乌苏市医疗保障局公众号上向社会公示有关政策和打击欺诈骗保典型案例，</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rPr>
        <w:t>常态化开展全覆</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lang w:eastAsia="zh-CN"/>
        </w:rPr>
        <w:t>盖的</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rPr>
        <w:t>日常监管、交叉检查，因地制宜开展专项整治自查自纠工作，全面规范医疗服务行为，进一步深化打击欺诈骗保基金违法犯罪行为，强化重点打击能力。</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lang w:eastAsia="zh-CN"/>
        </w:rPr>
        <w:t>截至</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lang w:val="en-US" w:eastAsia="zh-CN"/>
        </w:rPr>
        <w:t>目前</w:t>
      </w: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rPr>
        <w:t>，共处理定点医药机构违法违规行为178家次，追回违规医保基金566.51万元。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sz w:val="32"/>
          <w:szCs w:val="32"/>
        </w:rPr>
      </w:pPr>
      <w:r>
        <w:rPr>
          <w:rStyle w:val="Strong"/>
          <w:rFonts w:ascii="楷体_GB2312" w:eastAsia="楷体_GB2312" w:hAnsi="楷体_GB2312" w:cs="楷体_GB2312" w:hint="eastAsia"/>
          <w:b w:val="0"/>
          <w:bCs/>
          <w:i w:val="0"/>
          <w:iCs w:val="0"/>
          <w:caps w:val="0"/>
          <w:color w:val="auto"/>
          <w:spacing w:val="0"/>
          <w:kern w:val="0"/>
          <w:sz w:val="32"/>
          <w:szCs w:val="32"/>
          <w:highlight w:val="none"/>
          <w:shd w:val="clear" w:color="auto" w:fill="auto"/>
          <w:lang w:val="en-US" w:eastAsia="zh-CN" w:bidi="ar-SA"/>
        </w:rPr>
        <w:t>（二）</w:t>
      </w:r>
      <w:r>
        <w:rPr>
          <w:rFonts w:ascii="楷体_GB2312" w:eastAsia="楷体_GB2312" w:hAnsi="楷体_GB2312" w:cs="楷体_GB2312" w:hint="eastAsia"/>
          <w:sz w:val="32"/>
          <w:szCs w:val="32"/>
        </w:rPr>
        <w:t>坚持医保惠民，深入推进</w:t>
      </w:r>
      <w:r>
        <w:rPr>
          <w:rFonts w:ascii="楷体_GB2312" w:eastAsia="楷体_GB2312" w:hAnsi="楷体_GB2312" w:cs="楷体_GB2312" w:hint="eastAsia"/>
          <w:sz w:val="32"/>
          <w:szCs w:val="32"/>
          <w:lang w:eastAsia="zh-CN"/>
        </w:rPr>
        <w:t>“放管服”</w:t>
      </w:r>
      <w:r>
        <w:rPr>
          <w:rFonts w:ascii="楷体_GB2312" w:eastAsia="楷体_GB2312" w:hAnsi="楷体_GB2312" w:cs="楷体_GB2312" w:hint="eastAsia"/>
          <w:sz w:val="32"/>
          <w:szCs w:val="32"/>
        </w:rPr>
        <w:t>领域改革</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b w:val="0"/>
          <w:bCs/>
          <w:color w:val="auto"/>
          <w:spacing w:val="0"/>
          <w:kern w:val="0"/>
          <w:sz w:val="32"/>
          <w:szCs w:val="32"/>
          <w:highlight w:val="none"/>
          <w:shd w:val="clear" w:color="auto" w:fill="auto"/>
          <w:lang w:val="en-US" w:eastAsia="zh-CN" w:bidi="ar"/>
        </w:rPr>
      </w:pPr>
      <w:r>
        <w:rPr>
          <w:rStyle w:val="Strong"/>
          <w:rFonts w:ascii="仿宋_GB2312" w:eastAsia="仿宋_GB2312" w:hAnsi="仿宋_GB2312" w:cs="仿宋_GB2312" w:hint="eastAsia"/>
          <w:b w:val="0"/>
          <w:bCs/>
          <w:i w:val="0"/>
          <w:iCs w:val="0"/>
          <w:caps w:val="0"/>
          <w:color w:val="auto"/>
          <w:spacing w:val="0"/>
          <w:kern w:val="0"/>
          <w:sz w:val="32"/>
          <w:szCs w:val="32"/>
          <w:highlight w:val="none"/>
          <w:shd w:val="clear" w:color="auto" w:fill="auto"/>
          <w:lang w:val="en-US" w:eastAsia="zh-CN"/>
        </w:rPr>
        <w:t>一是</w:t>
      </w:r>
      <w:r>
        <w:rPr>
          <w:rFonts w:ascii="仿宋_GB2312" w:eastAsia="仿宋_GB2312" w:hAnsi="仿宋_GB2312" w:cs="仿宋_GB2312" w:hint="eastAsia"/>
          <w:b w:val="0"/>
          <w:bCs/>
          <w:i w:val="0"/>
          <w:iCs w:val="0"/>
          <w:caps w:val="0"/>
          <w:color w:val="auto"/>
          <w:spacing w:val="0"/>
          <w:kern w:val="0"/>
          <w:sz w:val="32"/>
          <w:szCs w:val="32"/>
          <w:highlight w:val="none"/>
          <w:shd w:val="clear" w:color="auto" w:fill="auto"/>
        </w:rPr>
        <w:t>药品集采实现常态化、制度化，有效降低了药品价格，减轻了患者负担，提升了药品可及性，公立医疗机构集采参与率100%</w:t>
      </w:r>
      <w:r>
        <w:rPr>
          <w:rFonts w:ascii="仿宋_GB2312" w:eastAsia="仿宋_GB2312" w:hAnsi="仿宋_GB2312" w:cs="仿宋_GB2312" w:hint="eastAsia"/>
          <w:b w:val="0"/>
          <w:bCs/>
          <w:i w:val="0"/>
          <w:iCs w:val="0"/>
          <w:caps w:val="0"/>
          <w:color w:val="auto"/>
          <w:spacing w:val="0"/>
          <w:kern w:val="0"/>
          <w:sz w:val="32"/>
          <w:szCs w:val="32"/>
          <w:highlight w:val="none"/>
          <w:shd w:val="clear" w:color="auto" w:fill="auto"/>
          <w:lang w:eastAsia="zh-CN"/>
        </w:rPr>
        <w:t>，</w:t>
      </w:r>
      <w:r>
        <w:rPr>
          <w:rFonts w:ascii="仿宋_GB2312" w:eastAsia="仿宋_GB2312" w:hAnsi="仿宋_GB2312" w:cs="仿宋_GB2312" w:hint="eastAsia"/>
          <w:b w:val="0"/>
          <w:bCs/>
          <w:i w:val="0"/>
          <w:iCs w:val="0"/>
          <w:caps w:val="0"/>
          <w:color w:val="auto"/>
          <w:spacing w:val="0"/>
          <w:kern w:val="0"/>
          <w:sz w:val="32"/>
          <w:szCs w:val="32"/>
          <w:highlight w:val="none"/>
          <w:shd w:val="clear" w:color="auto" w:fill="auto"/>
          <w:lang w:val="en-US" w:eastAsia="zh-CN"/>
        </w:rPr>
        <w:t>网采率总体95％以上。二是</w:t>
      </w:r>
      <w:r>
        <w:rPr>
          <w:rFonts w:ascii="仿宋_GB2312" w:eastAsia="仿宋_GB2312" w:hAnsi="仿宋_GB2312" w:cs="仿宋_GB2312" w:hint="eastAsia"/>
          <w:b w:val="0"/>
          <w:bCs/>
          <w:i w:val="0"/>
          <w:iCs w:val="0"/>
          <w:caps w:val="0"/>
          <w:color w:val="auto"/>
          <w:spacing w:val="0"/>
          <w:kern w:val="0"/>
          <w:sz w:val="32"/>
          <w:szCs w:val="32"/>
          <w:highlight w:val="none"/>
          <w:shd w:val="clear" w:color="auto" w:fill="auto"/>
        </w:rPr>
        <w:t>积极推进“互联网+医保”建设，全市177家定点医药机构均实现医保码全流程应用及药品追溯码接口改造工作，电子处方流转已接入139家。参保群众通过手机即可完成医保基金和个人自付费用结算，切实解决参保群众在看病就医过程中遇到的“挂号难”“缴费慢”“排长队”等问题。</w:t>
      </w:r>
      <w:r>
        <w:rPr>
          <w:rFonts w:ascii="仿宋_GB2312" w:eastAsia="仿宋_GB2312" w:hAnsi="仿宋_GB2312" w:cs="仿宋_GB2312" w:hint="eastAsia"/>
          <w:b w:val="0"/>
          <w:bCs/>
          <w:i w:val="0"/>
          <w:iCs w:val="0"/>
          <w:caps w:val="0"/>
          <w:color w:val="auto"/>
          <w:spacing w:val="0"/>
          <w:kern w:val="0"/>
          <w:sz w:val="32"/>
          <w:szCs w:val="32"/>
          <w:highlight w:val="none"/>
          <w:shd w:val="clear" w:color="auto" w:fill="auto"/>
          <w:lang w:eastAsia="zh-CN"/>
        </w:rPr>
        <w:t>三</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是推进DRG支付方式改革。通过DRG支付方式改革，患者</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住院次均费用由2021年5968.35元降至2024年的</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4820</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元，降幅</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19.24</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%，平均为患者节约住院费用</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1000余元，减轻了患者的经济负担，</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使参保人员充分享受医保带来的红利。四是</w:t>
      </w:r>
      <w:r>
        <w:rPr>
          <w:rFonts w:ascii="仿宋_GB2312" w:eastAsia="仿宋_GB2312" w:hAnsi="仿宋_GB2312" w:cs="仿宋_GB2312" w:hint="eastAsia"/>
          <w:b w:val="0"/>
          <w:bCs/>
          <w:color w:val="auto"/>
          <w:spacing w:val="0"/>
          <w:kern w:val="0"/>
          <w:sz w:val="32"/>
          <w:szCs w:val="32"/>
          <w:highlight w:val="none"/>
          <w:shd w:val="clear" w:color="auto" w:fill="auto"/>
        </w:rPr>
        <w:t>积极推进乡村通暨“15分钟医保服务圈”建设，建立</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186</w:t>
      </w:r>
      <w:r>
        <w:rPr>
          <w:rFonts w:ascii="仿宋_GB2312" w:eastAsia="仿宋_GB2312" w:hAnsi="仿宋_GB2312" w:cs="仿宋_GB2312" w:hint="eastAsia"/>
          <w:b w:val="0"/>
          <w:bCs/>
          <w:color w:val="auto"/>
          <w:spacing w:val="0"/>
          <w:kern w:val="0"/>
          <w:sz w:val="32"/>
          <w:szCs w:val="32"/>
          <w:highlight w:val="none"/>
          <w:shd w:val="clear" w:color="auto" w:fill="auto"/>
        </w:rPr>
        <w:t>个村队（社区）</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6</w:t>
      </w:r>
      <w:r>
        <w:rPr>
          <w:rFonts w:ascii="仿宋_GB2312" w:eastAsia="仿宋_GB2312" w:hAnsi="仿宋_GB2312" w:cs="仿宋_GB2312" w:hint="eastAsia"/>
          <w:b w:val="0"/>
          <w:bCs/>
          <w:color w:val="auto"/>
          <w:spacing w:val="0"/>
          <w:kern w:val="0"/>
          <w:sz w:val="32"/>
          <w:szCs w:val="32"/>
          <w:highlight w:val="none"/>
          <w:shd w:val="clear" w:color="auto" w:fill="auto"/>
        </w:rPr>
        <w:t>家银行</w:t>
      </w:r>
      <w:r>
        <w:rPr>
          <w:rFonts w:ascii="仿宋_GB2312" w:eastAsia="仿宋_GB2312" w:hAnsi="仿宋_GB2312" w:cs="仿宋_GB2312" w:hint="eastAsia"/>
          <w:b w:val="0"/>
          <w:bCs/>
          <w:color w:val="auto"/>
          <w:spacing w:val="0"/>
          <w:kern w:val="0"/>
          <w:sz w:val="32"/>
          <w:szCs w:val="32"/>
          <w:highlight w:val="none"/>
          <w:shd w:val="clear" w:color="auto" w:fill="auto"/>
          <w:lang w:val="en-US" w:eastAsia="zh-CN"/>
        </w:rPr>
        <w:t>39</w:t>
      </w:r>
      <w:r>
        <w:rPr>
          <w:rFonts w:ascii="仿宋_GB2312" w:eastAsia="仿宋_GB2312" w:hAnsi="仿宋_GB2312" w:cs="仿宋_GB2312" w:hint="eastAsia"/>
          <w:b w:val="0"/>
          <w:bCs/>
          <w:color w:val="auto"/>
          <w:spacing w:val="0"/>
          <w:kern w:val="0"/>
          <w:sz w:val="32"/>
          <w:szCs w:val="32"/>
          <w:highlight w:val="none"/>
          <w:shd w:val="clear" w:color="auto" w:fill="auto"/>
        </w:rPr>
        <w:t>个网点全覆盖</w:t>
      </w:r>
      <w:r>
        <w:rPr>
          <w:rFonts w:ascii="仿宋_GB2312" w:eastAsia="仿宋_GB2312" w:hAnsi="仿宋_GB2312" w:cs="仿宋_GB2312" w:hint="eastAsia"/>
          <w:b w:val="0"/>
          <w:bCs/>
          <w:color w:val="auto"/>
          <w:spacing w:val="0"/>
          <w:kern w:val="0"/>
          <w:sz w:val="32"/>
          <w:szCs w:val="32"/>
          <w:highlight w:val="none"/>
          <w:shd w:val="clear" w:color="auto" w:fill="auto"/>
          <w:lang w:eastAsia="zh-CN"/>
        </w:rPr>
        <w:t>的</w:t>
      </w:r>
      <w:r>
        <w:rPr>
          <w:rFonts w:ascii="仿宋_GB2312" w:eastAsia="仿宋_GB2312" w:hAnsi="仿宋_GB2312" w:cs="仿宋_GB2312" w:hint="eastAsia"/>
          <w:b w:val="0"/>
          <w:bCs/>
          <w:color w:val="auto"/>
          <w:spacing w:val="0"/>
          <w:kern w:val="0"/>
          <w:sz w:val="32"/>
          <w:szCs w:val="32"/>
          <w:highlight w:val="none"/>
          <w:shd w:val="clear" w:color="auto" w:fill="auto"/>
        </w:rPr>
        <w:t>医保事务服务点，打通医保服务群众“最后一步路”，让群众在“家门口”就能享受到医保服务。</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Strong"/>
          <w:rFonts w:ascii="黑体" w:eastAsia="黑体" w:hAnsi="黑体" w:cs="黑体" w:hint="eastAsia"/>
          <w:b w:val="0"/>
          <w:bCs/>
          <w:color w:val="auto"/>
          <w:spacing w:val="10"/>
          <w:sz w:val="32"/>
          <w:szCs w:val="32"/>
          <w:lang w:eastAsia="zh-CN"/>
        </w:rPr>
      </w:pPr>
      <w:r>
        <w:rPr>
          <w:rStyle w:val="Strong"/>
          <w:rFonts w:ascii="黑体" w:eastAsia="黑体" w:hAnsi="黑体" w:cs="黑体" w:hint="eastAsia"/>
          <w:b w:val="0"/>
          <w:bCs/>
          <w:color w:val="auto"/>
          <w:spacing w:val="10"/>
          <w:sz w:val="32"/>
          <w:szCs w:val="32"/>
          <w:lang w:eastAsia="zh-CN"/>
        </w:rPr>
        <w:t>四</w:t>
      </w:r>
      <w:r>
        <w:rPr>
          <w:rStyle w:val="Strong"/>
          <w:rFonts w:ascii="黑体" w:eastAsia="黑体" w:hAnsi="黑体" w:cs="黑体" w:hint="eastAsia"/>
          <w:b w:val="0"/>
          <w:bCs/>
          <w:color w:val="auto"/>
          <w:spacing w:val="10"/>
          <w:sz w:val="32"/>
          <w:szCs w:val="32"/>
        </w:rPr>
        <w:t>、</w:t>
      </w:r>
      <w:r>
        <w:rPr>
          <w:rStyle w:val="Strong"/>
          <w:rFonts w:ascii="黑体" w:eastAsia="黑体" w:hAnsi="黑体" w:cs="黑体" w:hint="eastAsia"/>
          <w:b w:val="0"/>
          <w:bCs/>
          <w:color w:val="auto"/>
          <w:spacing w:val="10"/>
          <w:sz w:val="32"/>
          <w:szCs w:val="32"/>
          <w:lang w:eastAsia="zh-CN"/>
        </w:rPr>
        <w:t>问题短板和下一步工作打算</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_GB2312" w:eastAsia="楷体_GB2312" w:hAnsi="楷体_GB2312" w:cs="楷体_GB2312" w:hint="eastAsia"/>
          <w:spacing w:val="10"/>
          <w:sz w:val="32"/>
          <w:szCs w:val="32"/>
          <w:lang w:eastAsia="zh-CN"/>
        </w:rPr>
      </w:pPr>
      <w:r>
        <w:rPr>
          <w:rFonts w:ascii="楷体_GB2312" w:eastAsia="楷体_GB2312" w:hAnsi="楷体_GB2312" w:cs="楷体_GB2312" w:hint="eastAsia"/>
          <w:spacing w:val="10"/>
          <w:sz w:val="32"/>
          <w:szCs w:val="32"/>
          <w:lang w:eastAsia="zh-CN"/>
        </w:rPr>
        <w:t>（一）存在问题</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spacing w:val="10"/>
          <w:sz w:val="32"/>
          <w:szCs w:val="32"/>
          <w:lang w:eastAsia="zh-CN"/>
        </w:rPr>
      </w:pPr>
      <w:r>
        <w:rPr>
          <w:rFonts w:ascii="仿宋_GB2312" w:eastAsia="仿宋_GB2312" w:hAnsi="仿宋_GB2312" w:cs="仿宋_GB2312" w:hint="eastAsia"/>
          <w:spacing w:val="10"/>
          <w:sz w:val="32"/>
          <w:szCs w:val="32"/>
          <w:lang w:eastAsia="zh-CN"/>
        </w:rPr>
        <w:t>一是干部</w:t>
      </w:r>
      <w:r>
        <w:rPr>
          <w:rFonts w:ascii="仿宋_GB2312" w:eastAsia="仿宋_GB2312" w:hAnsi="仿宋_GB2312" w:cs="仿宋_GB2312" w:hint="eastAsia"/>
          <w:spacing w:val="10"/>
          <w:sz w:val="32"/>
          <w:szCs w:val="32"/>
        </w:rPr>
        <w:t>法律意识需进一步增强。当前，法治宣传教育工作还不够扎实，与</w:t>
      </w:r>
      <w:r>
        <w:rPr>
          <w:rFonts w:ascii="仿宋_GB2312" w:eastAsia="仿宋_GB2312" w:hAnsi="仿宋_GB2312" w:cs="仿宋_GB2312" w:hint="eastAsia"/>
          <w:spacing w:val="10"/>
          <w:sz w:val="32"/>
          <w:szCs w:val="32"/>
          <w:lang w:eastAsia="zh-CN"/>
        </w:rPr>
        <w:t>医保</w:t>
      </w:r>
      <w:r>
        <w:rPr>
          <w:rFonts w:ascii="仿宋_GB2312" w:eastAsia="仿宋_GB2312" w:hAnsi="仿宋_GB2312" w:cs="仿宋_GB2312" w:hint="eastAsia"/>
          <w:spacing w:val="10"/>
          <w:sz w:val="32"/>
          <w:szCs w:val="32"/>
        </w:rPr>
        <w:t>工作的融合度不高，干部职工的普法学习不够深入，法治素养及参与法治政府建设的积极性有待提高。法治观念在实际工作中的运用还未能全面有效，需通过创新方式提升全体人员的学法用法意识。</w:t>
      </w:r>
      <w:r>
        <w:rPr>
          <w:rFonts w:ascii="仿宋_GB2312" w:eastAsia="仿宋_GB2312" w:hAnsi="仿宋_GB2312" w:cs="仿宋_GB2312" w:hint="eastAsia"/>
          <w:spacing w:val="10"/>
          <w:sz w:val="32"/>
          <w:szCs w:val="32"/>
          <w:lang w:val="en-US" w:eastAsia="zh-CN"/>
        </w:rPr>
        <w:t>二是</w:t>
      </w:r>
      <w:r>
        <w:rPr>
          <w:rFonts w:ascii="仿宋_GB2312" w:eastAsia="仿宋_GB2312" w:hAnsi="仿宋_GB2312" w:cs="仿宋_GB2312" w:hint="eastAsia"/>
          <w:spacing w:val="10"/>
          <w:sz w:val="32"/>
          <w:szCs w:val="32"/>
        </w:rPr>
        <w:t>法治工作队伍</w:t>
      </w:r>
      <w:r>
        <w:rPr>
          <w:rFonts w:ascii="仿宋_GB2312" w:eastAsia="仿宋_GB2312" w:hAnsi="仿宋_GB2312" w:cs="仿宋_GB2312" w:hint="eastAsia"/>
          <w:spacing w:val="10"/>
          <w:sz w:val="32"/>
          <w:szCs w:val="32"/>
          <w:lang w:eastAsia="zh-CN"/>
        </w:rPr>
        <w:t>亟须加强</w:t>
      </w:r>
      <w:r>
        <w:rPr>
          <w:rFonts w:ascii="仿宋_GB2312" w:eastAsia="仿宋_GB2312" w:hAnsi="仿宋_GB2312" w:cs="仿宋_GB2312" w:hint="eastAsia"/>
          <w:spacing w:val="10"/>
          <w:sz w:val="32"/>
          <w:szCs w:val="32"/>
        </w:rPr>
        <w:t>。随着法治政府建设的深化</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rPr>
        <w:t>在法律和</w:t>
      </w:r>
      <w:r>
        <w:rPr>
          <w:rFonts w:ascii="仿宋_GB2312" w:eastAsia="仿宋_GB2312" w:hAnsi="仿宋_GB2312" w:cs="仿宋_GB2312" w:hint="eastAsia"/>
          <w:spacing w:val="10"/>
          <w:sz w:val="32"/>
          <w:szCs w:val="32"/>
          <w:lang w:eastAsia="zh-CN"/>
        </w:rPr>
        <w:t>医疗</w:t>
      </w:r>
      <w:r>
        <w:rPr>
          <w:rFonts w:ascii="仿宋_GB2312" w:eastAsia="仿宋_GB2312" w:hAnsi="仿宋_GB2312" w:cs="仿宋_GB2312" w:hint="eastAsia"/>
          <w:spacing w:val="10"/>
          <w:sz w:val="32"/>
          <w:szCs w:val="32"/>
        </w:rPr>
        <w:t>等知识储备方面面临更高要求。然而，目前</w:t>
      </w:r>
      <w:r>
        <w:rPr>
          <w:rFonts w:ascii="仿宋_GB2312" w:eastAsia="仿宋_GB2312" w:hAnsi="仿宋_GB2312" w:cs="仿宋_GB2312" w:hint="eastAsia"/>
          <w:spacing w:val="10"/>
          <w:sz w:val="32"/>
          <w:szCs w:val="32"/>
          <w:lang w:eastAsia="zh-CN"/>
        </w:rPr>
        <w:t>执法干部</w:t>
      </w:r>
      <w:r>
        <w:rPr>
          <w:rFonts w:ascii="仿宋_GB2312" w:eastAsia="仿宋_GB2312" w:hAnsi="仿宋_GB2312" w:cs="仿宋_GB2312" w:hint="eastAsia"/>
          <w:spacing w:val="10"/>
          <w:sz w:val="32"/>
          <w:szCs w:val="32"/>
        </w:rPr>
        <w:t>与繁重的工作任务不相匹配，行政执法队伍的业务水平仍需提高。</w:t>
      </w:r>
      <w:r>
        <w:rPr>
          <w:rFonts w:ascii="仿宋_GB2312" w:eastAsia="仿宋_GB2312" w:hAnsi="仿宋_GB2312" w:cs="仿宋_GB2312" w:hint="eastAsia"/>
          <w:spacing w:val="10"/>
          <w:sz w:val="32"/>
          <w:szCs w:val="32"/>
          <w:lang w:eastAsia="zh-CN"/>
        </w:rPr>
        <w:t>三是部门联动机制还需完善，与市监局、卫健委、公安局等联合执法力度还需进一步加大。</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Strong"/>
          <w:rFonts w:ascii="楷体_GB2312" w:eastAsia="楷体_GB2312" w:hAnsi="楷体_GB2312" w:cs="楷体_GB2312" w:hint="eastAsia"/>
          <w:b w:val="0"/>
          <w:bCs/>
          <w:color w:val="auto"/>
          <w:spacing w:val="10"/>
          <w:sz w:val="32"/>
          <w:szCs w:val="32"/>
        </w:rPr>
      </w:pPr>
      <w:r>
        <w:rPr>
          <w:rStyle w:val="Strong"/>
          <w:rFonts w:ascii="楷体_GB2312" w:eastAsia="楷体_GB2312" w:hAnsi="楷体_GB2312" w:cs="楷体_GB2312" w:hint="eastAsia"/>
          <w:b w:val="0"/>
          <w:bCs/>
          <w:color w:val="auto"/>
          <w:spacing w:val="10"/>
          <w:sz w:val="32"/>
          <w:szCs w:val="32"/>
          <w:lang w:eastAsia="zh-CN"/>
        </w:rPr>
        <w:t>（二）</w:t>
      </w:r>
      <w:r>
        <w:rPr>
          <w:rStyle w:val="Strong"/>
          <w:rFonts w:ascii="楷体_GB2312" w:eastAsia="楷体_GB2312" w:hAnsi="楷体_GB2312" w:cs="楷体_GB2312" w:hint="eastAsia"/>
          <w:b w:val="0"/>
          <w:bCs/>
          <w:color w:val="auto"/>
          <w:spacing w:val="10"/>
          <w:sz w:val="32"/>
          <w:szCs w:val="32"/>
        </w:rPr>
        <w:t>下一步工作计划</w:t>
      </w:r>
    </w:p>
    <w:p>
      <w:pPr>
        <w:keepNext w:val="0"/>
        <w:keepLines w:val="0"/>
        <w:pageBreakBefore w:val="0"/>
        <w:widowControl w:val="0"/>
        <w:numPr>
          <w:ilvl w:val="0"/>
          <w:numId w:val="0"/>
        </w:numPr>
        <w:pBdr>
          <w:bottom w:val="single" w:sz="4" w:space="30" w:color="FFFFFF"/>
        </w:pBdr>
        <w:tabs>
          <w:tab w:val="left" w:pos="144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b w:val="0"/>
          <w:bCs w:val="0"/>
          <w:sz w:val="32"/>
          <w:szCs w:val="32"/>
          <w:lang w:eastAsia="zh-CN"/>
        </w:rPr>
      </w:pPr>
      <w:r>
        <w:rPr>
          <w:rStyle w:val="Strong"/>
          <w:rFonts w:ascii="仿宋_GB2312" w:eastAsia="仿宋_GB2312" w:hAnsi="仿宋_GB2312" w:cs="仿宋_GB2312" w:hint="eastAsia"/>
          <w:b w:val="0"/>
          <w:bCs/>
          <w:spacing w:val="10"/>
          <w:sz w:val="32"/>
          <w:szCs w:val="32"/>
          <w:lang w:eastAsia="zh-CN"/>
        </w:rPr>
        <w:t>一是</w:t>
      </w:r>
      <w:r>
        <w:rPr>
          <w:rStyle w:val="Strong"/>
          <w:rFonts w:ascii="仿宋_GB2312" w:eastAsia="仿宋_GB2312" w:hAnsi="仿宋_GB2312" w:cs="仿宋_GB2312" w:hint="eastAsia"/>
          <w:b w:val="0"/>
          <w:bCs/>
          <w:spacing w:val="10"/>
          <w:sz w:val="32"/>
          <w:szCs w:val="32"/>
        </w:rPr>
        <w:t>强化法律学习</w:t>
      </w:r>
      <w:r>
        <w:rPr>
          <w:rStyle w:val="Strong"/>
          <w:rFonts w:ascii="仿宋_GB2312" w:eastAsia="仿宋_GB2312" w:hAnsi="仿宋_GB2312" w:cs="仿宋_GB2312" w:hint="eastAsia"/>
          <w:b w:val="0"/>
          <w:bCs/>
          <w:spacing w:val="10"/>
          <w:sz w:val="32"/>
          <w:szCs w:val="32"/>
          <w:lang w:eastAsia="zh-CN"/>
        </w:rPr>
        <w:t>，</w:t>
      </w:r>
      <w:r>
        <w:rPr>
          <w:rFonts w:ascii="仿宋_GB2312" w:eastAsia="仿宋_GB2312" w:hAnsi="仿宋_GB2312" w:cs="仿宋_GB2312" w:hint="eastAsia"/>
          <w:b w:val="0"/>
          <w:bCs/>
          <w:kern w:val="2"/>
          <w:sz w:val="32"/>
          <w:szCs w:val="32"/>
          <w:lang w:val="en-US" w:eastAsia="zh-CN" w:bidi="ar-SA"/>
        </w:rPr>
        <w:t>坚持把学习贯彻党的二十大、党的二十届三中全会精神作为首要政治任务，自觉运用习近平法治思想指导法治工作开展。</w:t>
      </w:r>
      <w:r>
        <w:rPr>
          <w:rFonts w:ascii="仿宋_GB2312" w:eastAsia="仿宋_GB2312" w:hAnsi="仿宋_GB2312" w:cs="仿宋_GB2312" w:hint="eastAsia"/>
          <w:b w:val="0"/>
          <w:bCs/>
          <w:spacing w:val="10"/>
          <w:sz w:val="32"/>
          <w:szCs w:val="32"/>
        </w:rPr>
        <w:t>系统梳理法治相关文件与政策，定期组织专题讲座与案例研讨，提升干部法治思维与法律素养。</w:t>
      </w:r>
      <w:r>
        <w:rPr>
          <w:rFonts w:ascii="仿宋_GB2312" w:eastAsia="仿宋_GB2312" w:hAnsi="仿宋_GB2312" w:cs="仿宋_GB2312" w:hint="eastAsia"/>
          <w:b w:val="0"/>
          <w:bCs/>
          <w:spacing w:val="10"/>
          <w:sz w:val="32"/>
          <w:szCs w:val="32"/>
          <w:lang w:eastAsia="zh-CN"/>
        </w:rPr>
        <w:t>二是</w:t>
      </w:r>
      <w:r>
        <w:rPr>
          <w:rFonts w:ascii="仿宋" w:eastAsia="仿宋" w:hAnsi="仿宋" w:cs="仿宋" w:hint="eastAsia"/>
          <w:b w:val="0"/>
          <w:bCs/>
          <w:sz w:val="32"/>
          <w:szCs w:val="32"/>
        </w:rPr>
        <w:t>加强法治队伍建设，加大法治培训力度，提升干部运用法治思维和法治方式解决问题的能力，</w:t>
      </w:r>
      <w:r>
        <w:rPr>
          <w:rFonts w:ascii="仿宋" w:eastAsia="仿宋" w:hAnsi="仿宋" w:cs="仿宋" w:hint="eastAsia"/>
          <w:b w:val="0"/>
          <w:bCs/>
          <w:sz w:val="32"/>
          <w:szCs w:val="32"/>
          <w:lang w:eastAsia="zh-CN"/>
        </w:rPr>
        <w:t>引导</w:t>
      </w:r>
      <w:r>
        <w:rPr>
          <w:rFonts w:ascii="仿宋" w:eastAsia="仿宋" w:hAnsi="仿宋" w:cs="仿宋" w:hint="eastAsia"/>
          <w:b w:val="0"/>
          <w:bCs/>
          <w:sz w:val="32"/>
          <w:szCs w:val="32"/>
          <w:lang w:val="en-US" w:eastAsia="zh-CN"/>
        </w:rPr>
        <w:t>干部认真学习法律法规，参加执法证考试，</w:t>
      </w:r>
      <w:r>
        <w:rPr>
          <w:rFonts w:ascii="仿宋" w:eastAsia="仿宋" w:hAnsi="仿宋" w:cs="仿宋" w:hint="eastAsia"/>
          <w:b w:val="0"/>
          <w:bCs/>
          <w:sz w:val="32"/>
          <w:szCs w:val="32"/>
        </w:rPr>
        <w:t>打造一支高素质的法治工作队伍</w:t>
      </w:r>
      <w:r>
        <w:rPr>
          <w:rFonts w:ascii="仿宋" w:eastAsia="仿宋" w:hAnsi="仿宋" w:cs="仿宋" w:hint="eastAsia"/>
          <w:b w:val="0"/>
          <w:bCs/>
          <w:sz w:val="32"/>
          <w:szCs w:val="32"/>
          <w:lang w:eastAsia="zh-CN"/>
        </w:rPr>
        <w:t>，</w:t>
      </w:r>
      <w:r>
        <w:rPr>
          <w:rFonts w:ascii="仿宋" w:eastAsia="仿宋" w:hAnsi="仿宋" w:cs="仿宋" w:hint="eastAsia"/>
          <w:b w:val="0"/>
          <w:bCs/>
          <w:sz w:val="32"/>
          <w:szCs w:val="32"/>
        </w:rPr>
        <w:t>提高依法行政水平。</w:t>
      </w:r>
      <w:r>
        <w:rPr>
          <w:rFonts w:ascii="仿宋_GB2312" w:eastAsia="仿宋_GB2312" w:hAnsi="仿宋_GB2312" w:cs="仿宋_GB2312" w:hint="eastAsia"/>
          <w:b w:val="0"/>
          <w:bCs/>
          <w:sz w:val="32"/>
          <w:szCs w:val="32"/>
          <w:lang w:eastAsia="zh-CN"/>
        </w:rPr>
        <w:t>三是</w:t>
      </w:r>
      <w:r>
        <w:rPr>
          <w:rFonts w:ascii="仿宋_GB2312" w:eastAsia="仿宋_GB2312" w:hAnsi="仿宋_GB2312" w:cs="仿宋_GB2312" w:hint="eastAsia"/>
          <w:b w:val="0"/>
          <w:bCs/>
          <w:sz w:val="32"/>
          <w:szCs w:val="32"/>
        </w:rPr>
        <w:t>推动部门协同新优势</w:t>
      </w:r>
      <w:r>
        <w:rPr>
          <w:rFonts w:ascii="仿宋_GB2312" w:eastAsia="仿宋_GB2312" w:hAnsi="仿宋_GB2312" w:cs="仿宋_GB2312" w:hint="eastAsia"/>
          <w:b w:val="0"/>
          <w:bCs/>
          <w:sz w:val="32"/>
          <w:szCs w:val="32"/>
          <w:lang w:eastAsia="zh-CN"/>
        </w:rPr>
        <w:t>，</w:t>
      </w:r>
      <w:r>
        <w:rPr>
          <w:rFonts w:ascii="仿宋_GB2312" w:eastAsia="仿宋_GB2312" w:hAnsi="仿宋_GB2312" w:cs="仿宋_GB2312" w:hint="eastAsia"/>
          <w:b w:val="0"/>
          <w:bCs/>
          <w:sz w:val="32"/>
          <w:szCs w:val="32"/>
        </w:rPr>
        <w:t>持续完善多部门“进一</w:t>
      </w:r>
      <w:r>
        <w:rPr>
          <w:rFonts w:ascii="仿宋_GB2312" w:eastAsia="仿宋_GB2312" w:hAnsi="仿宋_GB2312" w:cs="仿宋_GB2312" w:hint="eastAsia"/>
          <w:b w:val="0"/>
          <w:bCs w:val="0"/>
          <w:sz w:val="32"/>
          <w:szCs w:val="32"/>
        </w:rPr>
        <w:t>次门，查多项事”的联合检查机制和信息互通机制，促进</w:t>
      </w:r>
      <w:r>
        <w:rPr>
          <w:rFonts w:ascii="仿宋_GB2312" w:eastAsia="仿宋_GB2312" w:hAnsi="仿宋_GB2312" w:cs="仿宋_GB2312" w:hint="eastAsia"/>
          <w:b w:val="0"/>
          <w:bCs w:val="0"/>
          <w:sz w:val="32"/>
          <w:szCs w:val="32"/>
          <w:lang w:eastAsia="zh-CN"/>
        </w:rPr>
        <w:t>市</w:t>
      </w:r>
      <w:r>
        <w:rPr>
          <w:rFonts w:ascii="仿宋_GB2312" w:eastAsia="仿宋_GB2312" w:hAnsi="仿宋_GB2312" w:cs="仿宋_GB2312" w:hint="eastAsia"/>
          <w:b w:val="0"/>
          <w:bCs w:val="0"/>
          <w:sz w:val="32"/>
          <w:szCs w:val="32"/>
        </w:rPr>
        <w:t>医保局与</w:t>
      </w:r>
      <w:r>
        <w:rPr>
          <w:rFonts w:ascii="仿宋_GB2312" w:eastAsia="仿宋_GB2312" w:hAnsi="仿宋_GB2312" w:cs="仿宋_GB2312" w:hint="eastAsia"/>
          <w:b w:val="0"/>
          <w:bCs w:val="0"/>
          <w:sz w:val="32"/>
          <w:szCs w:val="32"/>
          <w:lang w:eastAsia="zh-CN"/>
        </w:rPr>
        <w:t>市监局</w:t>
      </w:r>
      <w:r>
        <w:rPr>
          <w:rFonts w:ascii="仿宋_GB2312" w:eastAsia="仿宋_GB2312" w:hAnsi="仿宋_GB2312" w:cs="仿宋_GB2312" w:hint="eastAsia"/>
          <w:b w:val="0"/>
          <w:bCs w:val="0"/>
          <w:sz w:val="32"/>
          <w:szCs w:val="32"/>
        </w:rPr>
        <w:t>、卫健、</w:t>
      </w:r>
      <w:r>
        <w:rPr>
          <w:rFonts w:ascii="仿宋_GB2312" w:eastAsia="仿宋_GB2312" w:hAnsi="仿宋_GB2312" w:cs="仿宋_GB2312" w:hint="eastAsia"/>
          <w:b w:val="0"/>
          <w:bCs w:val="0"/>
          <w:sz w:val="32"/>
          <w:szCs w:val="32"/>
          <w:lang w:eastAsia="zh-CN"/>
        </w:rPr>
        <w:t>公安</w:t>
      </w:r>
      <w:r>
        <w:rPr>
          <w:rFonts w:ascii="仿宋_GB2312" w:eastAsia="仿宋_GB2312" w:hAnsi="仿宋_GB2312" w:cs="仿宋_GB2312" w:hint="eastAsia"/>
          <w:b w:val="0"/>
          <w:bCs w:val="0"/>
          <w:sz w:val="32"/>
          <w:szCs w:val="32"/>
        </w:rPr>
        <w:t>等部门协同监管及行刑衔接</w:t>
      </w:r>
      <w:r>
        <w:rPr>
          <w:rFonts w:ascii="仿宋_GB2312" w:eastAsia="仿宋_GB2312" w:hAnsi="仿宋_GB2312" w:cs="仿宋_GB2312" w:hint="eastAsia"/>
          <w:b w:val="0"/>
          <w:bCs w:val="0"/>
          <w:sz w:val="32"/>
          <w:szCs w:val="32"/>
          <w:lang w:eastAsia="zh-CN"/>
        </w:rPr>
        <w:t>机制化常态化</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lang w:eastAsia="zh-CN"/>
        </w:rPr>
        <w:t>建立部门联动、协调配合的联席会议制度，及时研判工作形势</w:t>
      </w:r>
      <w:bookmarkStart w:id="0" w:name="_GoBack"/>
      <w:bookmarkEnd w:id="0"/>
      <w:r>
        <w:rPr>
          <w:rFonts w:ascii="仿宋_GB2312" w:eastAsia="仿宋_GB2312" w:hAnsi="仿宋_GB2312" w:cs="仿宋_GB2312" w:hint="eastAsia"/>
          <w:b w:val="0"/>
          <w:bCs w:val="0"/>
          <w:sz w:val="32"/>
          <w:szCs w:val="32"/>
          <w:lang w:eastAsia="zh-CN"/>
        </w:rPr>
        <w:t>，定期研究存在的问题，建立执法联动互认机制，形成协调高效的监管合力，确保基金安全。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rPr>
      </w:pPr>
    </w:p>
    <w:sectPr>
      <w:pgSz w:w="11906" w:h="16838"/>
      <w:pgMar w:top="1701" w:right="1531" w:bottom="1587" w:left="1531" w:header="708" w:footer="709" w:gutter="0"/>
      <w:cols w:num="1" w:space="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4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625ED"/>
    <w:rsid w:val="040E0748"/>
    <w:rsid w:val="05AD3CD4"/>
    <w:rsid w:val="05FC5737"/>
    <w:rsid w:val="067D2E88"/>
    <w:rsid w:val="08007C39"/>
    <w:rsid w:val="080E12C6"/>
    <w:rsid w:val="08CD34C9"/>
    <w:rsid w:val="090A1A18"/>
    <w:rsid w:val="0A22151D"/>
    <w:rsid w:val="198620F0"/>
    <w:rsid w:val="19EB0632"/>
    <w:rsid w:val="1AC8722B"/>
    <w:rsid w:val="1D302347"/>
    <w:rsid w:val="1D5A2EC9"/>
    <w:rsid w:val="1DAB4297"/>
    <w:rsid w:val="219D2BB2"/>
    <w:rsid w:val="232410F2"/>
    <w:rsid w:val="269C6789"/>
    <w:rsid w:val="26FB459F"/>
    <w:rsid w:val="29862D56"/>
    <w:rsid w:val="2D93577B"/>
    <w:rsid w:val="2E8625ED"/>
    <w:rsid w:val="2FC143E3"/>
    <w:rsid w:val="311F19B0"/>
    <w:rsid w:val="31592164"/>
    <w:rsid w:val="3183653F"/>
    <w:rsid w:val="31D6251B"/>
    <w:rsid w:val="35E00539"/>
    <w:rsid w:val="3FB33796"/>
    <w:rsid w:val="417560E2"/>
    <w:rsid w:val="44250D30"/>
    <w:rsid w:val="44721665"/>
    <w:rsid w:val="45024BA3"/>
    <w:rsid w:val="47837F19"/>
    <w:rsid w:val="4C961913"/>
    <w:rsid w:val="531109E7"/>
    <w:rsid w:val="53252652"/>
    <w:rsid w:val="54CD59D1"/>
    <w:rsid w:val="5799708B"/>
    <w:rsid w:val="57F507FF"/>
    <w:rsid w:val="5A5E4D40"/>
    <w:rsid w:val="5CED2F22"/>
    <w:rsid w:val="5EF47618"/>
    <w:rsid w:val="67D801B5"/>
    <w:rsid w:val="6B5252D1"/>
    <w:rsid w:val="6B59150D"/>
    <w:rsid w:val="6BD06EE6"/>
    <w:rsid w:val="74B239B4"/>
    <w:rsid w:val="74B81548"/>
    <w:rsid w:val="75035F2E"/>
    <w:rsid w:val="75674988"/>
    <w:rsid w:val="766D116B"/>
    <w:rsid w:val="77557BD7"/>
    <w:rsid w:val="787B1939"/>
    <w:rsid w:val="78B07B0B"/>
    <w:rsid w:val="7C164080"/>
    <w:rsid w:val="7C2D5524"/>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autoRedefine/>
    <w:unhideWhenUsed/>
    <w:qFormat/>
    <w:pPr>
      <w:keepNext/>
      <w:keepLines/>
      <w:spacing w:before="260" w:after="260" w:line="413" w:lineRule="auto"/>
      <w:outlineLvl w:val="2"/>
    </w:pPr>
    <w:rPr>
      <w:b/>
      <w:sz w:val="32"/>
    </w:rPr>
  </w:style>
  <w:style w:type="paragraph" w:styleId="Heading4">
    <w:name w:val="heading 4"/>
    <w:basedOn w:val="Normal"/>
    <w:next w:val="Normal"/>
    <w:autoRedefine/>
    <w:semiHidden/>
    <w:unhideWhenUsed/>
    <w:qFormat/>
    <w:pPr>
      <w:spacing w:before="0" w:beforeAutospacing="1" w:after="0" w:afterAutospacing="1"/>
      <w:jc w:val="left"/>
      <w:outlineLvl w:val="3"/>
    </w:pPr>
    <w:rPr>
      <w:rFonts w:ascii="宋体" w:eastAsia="宋体" w:hAnsi="宋体" w:cs="宋体" w:hint="eastAsia"/>
      <w:b/>
      <w:kern w:val="0"/>
      <w:sz w:val="24"/>
      <w:szCs w:val="24"/>
      <w:lang w:val="en-US" w:eastAsia="zh-CN" w:bidi="ar"/>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next w:val="2"/>
    <w:autoRedefine/>
    <w:uiPriority w:val="99"/>
    <w:qFormat/>
    <w:pPr>
      <w:spacing w:after="120"/>
    </w:pPr>
  </w:style>
  <w:style w:type="paragraph" w:customStyle="1" w:styleId="2">
    <w:name w:val="正文（首行缩进2字符）"/>
    <w:basedOn w:val="Normal"/>
    <w:next w:val="Normal"/>
    <w:autoRedefine/>
    <w:qFormat/>
    <w:pPr>
      <w:spacing w:line="312" w:lineRule="auto"/>
      <w:ind w:firstLine="420"/>
    </w:pPr>
    <w:rPr>
      <w:rFonts w:ascii="Times New Roman" w:hAnsi="Times New Roman" w:cs="宋体"/>
      <w:kern w:val="0"/>
      <w:sz w:val="20"/>
      <w:szCs w:val="20"/>
    </w:rPr>
  </w:style>
  <w:style w:type="paragraph" w:styleId="Footer">
    <w:name w:val="footer"/>
    <w:basedOn w:val="Normal"/>
    <w:next w:val="Normal"/>
    <w:autoRedefine/>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next w:val="Header"/>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paragraph" w:customStyle="1" w:styleId="BodyTextFirstIndent1">
    <w:name w:val="Body Text First Indent1"/>
    <w:basedOn w:val="BodyText"/>
    <w:autoRedefine/>
    <w:qFormat/>
    <w:pPr>
      <w:ind w:firstLine="20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cp:lastPrinted>2025-01-02T04:56:00Z</cp:lastPrinted>
  <dcterms:created xsi:type="dcterms:W3CDTF">2024-12-26T03:43:00Z</dcterms:created>
  <dcterms:modified xsi:type="dcterms:W3CDTF">2025-03-07T03:34:55Z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30DFA2A003B144068B671638D5223A69_12</vt:lpwstr>
  </property>
  <property fmtid="{D5CDD505-2E9C-101B-9397-08002B2CF9AE}" pid="3" name="KSOProductBuildVer">
    <vt:lpwstr>2052-12.1.0.16729</vt:lpwstr>
  </property>
</Properties>
</file>