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auto"/>
          <w:sz w:val="44"/>
          <w:szCs w:val="44"/>
          <w:lang w:val="en-US" w:eastAsia="zh-CN"/>
        </w:rPr>
        <w:t>2024年度述法工作报告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val="en-US" w:eastAsia="zh-CN"/>
        </w:rPr>
        <w:t>交通运输局党组副书记、局长  张松迎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  <w:lang w:val="en-US" w:eastAsia="zh-CN"/>
        </w:rPr>
        <w:t>（一）坚持学法用法，强化法治思维。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坚持以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习近平新时代中国特色社会主义思想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法治理念为指导，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认真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学习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贯彻落实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eastAsia="zh-CN"/>
        </w:rPr>
        <w:t>党的二十大精神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紧紧围绕习近平法治思想，全面准确贯彻落实“一规划两纲要”精神和要求，把习近平法治思想纳入党组集体学习的重要内容。掌握交通运输行业法律法规、各项政策及相关业务知识，全面提升个人思想理论素养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/>
        </w:rPr>
        <w:t>按时参加市委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0"/>
          <w:sz w:val="32"/>
          <w:szCs w:val="32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Cs/>
          <w:color w:val="000000"/>
          <w:kern w:val="0"/>
          <w:sz w:val="32"/>
          <w:szCs w:val="32"/>
          <w:lang w:val="en-US" w:eastAsia="zh-CN"/>
        </w:rPr>
        <w:t>学习和党组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32"/>
          <w:szCs w:val="32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Cs/>
          <w:color w:val="000000"/>
          <w:kern w:val="0"/>
          <w:sz w:val="32"/>
          <w:szCs w:val="32"/>
          <w:lang w:val="en-US" w:eastAsia="zh-CN"/>
        </w:rPr>
        <w:t>学习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，按时参加普法依法治理云平台考试。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  <w:lang w:val="en-US" w:eastAsia="zh-CN"/>
        </w:rPr>
        <w:t>（二）全面学法普法，营造法治氛围。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一是认真落实党组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学法制度。党组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先后组织了深入学习宣传“宪法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民法典”“安全生产法”等为主题的集中学习活动5次。二是我组织开展法律法规学习培训。通过集中学习、周二学习、观看警示教育片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等形式，提高了工作人员的法律素养。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三是我组织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开展形式多样的普法宣传活动。以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eastAsia="zh-CN"/>
        </w:rPr>
        <w:t>“12·4”国家宪法日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和全国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eastAsia="zh-CN"/>
        </w:rPr>
        <w:t>法治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宣传日活动为契机，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分发宣传单200余张、LED屏播放400余条，扎实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</w:rPr>
        <w:t>推动法治交通社会化进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程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发挥新媒体平台作用，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做好行业内重点法律法规政策宣传，今年以来，乌苏交通运输局公众号共发布信息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111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条。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szCs w:val="32"/>
          <w:lang w:val="en-US" w:eastAsia="zh-CN"/>
        </w:rPr>
        <w:t>（三）筑牢法治意识，准确把握依法履职能力。</w:t>
      </w:r>
      <w:r>
        <w:rPr>
          <w:rStyle w:val="Strong"/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全面推行执法“三项制度”，严格执法程序，全员持证上岗，亮证执法。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深入辖区企业开展联合执法。今年以来共开展检查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130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余次，出动执法人员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280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余人次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、排查各类隐患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138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条，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下发限期整改通知书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份，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已整改隐患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138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条，</w:t>
      </w:r>
      <w:r>
        <w:rPr>
          <w:rFonts w:ascii="Times New Roman" w:eastAsia="仿宋_GB2312" w:hAnsi="Times New Roman" w:cs="Times New Roman" w:hint="default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做到闭环管理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。强化案件办理，今年以来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shd w:val="clear" w:color="auto" w:fill="FFFFFF"/>
          <w:lang w:val="en-US" w:eastAsia="zh-CN"/>
        </w:rPr>
        <w:t>，通过路面巡查、进企业执法、12328等平台转接共受理行政案件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160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shd w:val="clear" w:color="auto" w:fill="FFFFFF"/>
          <w:lang w:val="en-US" w:eastAsia="zh-CN"/>
        </w:rPr>
        <w:t>起，其中简易程序案件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114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shd w:val="clear" w:color="auto" w:fill="FFFFFF"/>
          <w:lang w:val="en-US" w:eastAsia="zh-CN"/>
        </w:rPr>
        <w:t>起、普通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程序案件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46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shd w:val="clear" w:color="auto" w:fill="FFFFFF"/>
          <w:lang w:val="en-US" w:eastAsia="zh-CN"/>
        </w:rPr>
        <w:t>，处罚金额为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12.76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shd w:val="clear" w:color="auto" w:fill="FFFFFF"/>
          <w:lang w:val="en-US" w:eastAsia="zh-CN"/>
        </w:rPr>
        <w:t>万元。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受理穿越农村公路、破路等行政许可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，切实保障农村公路路产路权。二是依法有效化解社会矛盾，今年以来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参加涉及我局诉讼庭审案件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b w:val="0"/>
          <w:bCs w:val="0"/>
          <w:spacing w:val="0"/>
          <w:sz w:val="32"/>
          <w:szCs w:val="32"/>
          <w:highlight w:val="none"/>
          <w:lang w:val="en-US" w:eastAsia="zh-CN"/>
        </w:rPr>
        <w:t>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；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协调解决自治区信访平台推送案件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起，乌苏市信访平台转送案件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起，人民网转办投诉案件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件，市长信箱、人大“相约23”、网格化平台投诉案件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113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件，12345塔城地区便民服务热线投诉案件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311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件，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12328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自治区交通运输服务监管平台投诉案结案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207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eastAsia="zh-CN"/>
        </w:rPr>
        <w:t>件。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三是</w:t>
      </w:r>
      <w:r>
        <w:rPr>
          <w:rFonts w:ascii="Times New Roman" w:eastAsia="仿宋_GB2312" w:hAnsi="Times New Roman" w:cs="Times New Roman"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推行“最多跑一次”力度，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推行道路运政“一网通办”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今年以来，发放一次性办理告知书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余份，规范化办理电子证照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2470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件，为企业提供帮办服务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余次。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四是落实法律顾问工作机制。聘请法律顾问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为重大决策提供合法性、可行性审查，为决策的风险和法律保障等问题提供法律依据和对策措施，有效降低了决策风险，提高了决策质量。今年以来，我局聘用法律顾问参与诉讼庭审案件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起，审核各类合同协议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余件。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五是化解拖欠中小企业欠款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7340.5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万元，提前清理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2018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2019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年度农村客运油价补贴资金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737.9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上一年度问题整改情况。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2024年以来，我坚持以习近平法治思想为指导，推进交通运输领域法治建设，加大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lang w:val="en-US" w:eastAsia="zh-CN"/>
        </w:rPr>
        <w:t>对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执法人员的培训力度，提升执法人员的业务能力水平。2023年述法报告中3个问题、2024年各级法治督查反馈的19个共性问题、2个个性问题已全部整改完毕。</w:t>
      </w:r>
    </w:p>
    <w:p>
      <w:pPr>
        <w:keepNext w:val="0"/>
        <w:keepLines w:val="0"/>
        <w:pageBreakBefore w:val="0"/>
        <w:widowControl w:val="0"/>
        <w:tabs>
          <w:tab w:val="left" w:pos="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color w:val="auto"/>
          <w:sz w:val="32"/>
          <w:szCs w:val="32"/>
          <w:lang w:val="en-US" w:eastAsia="zh-CN"/>
        </w:rPr>
        <w:t>二、</w:t>
      </w:r>
      <w:r>
        <w:rPr>
          <w:rFonts w:ascii="Times New Roman" w:eastAsia="黑体" w:hAnsi="Times New Roman" w:cs="Times New Roman" w:hint="default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问题短板和下一步工作打算</w:t>
      </w:r>
    </w:p>
    <w:p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回顾一年来的工作，虽然在法治建设方面取得了一定成绩，但也存在一些不足之处。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一是执法人员水平还有待提升。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执法人员的执法业务水平和综合执法能力参差不齐，对邮政快递行业监管力量薄弱。规范化、标准化行政执法力度仍需提升。如：交通运输局行政执法人员拘泥于以往工作经验和办案习惯，对行政执法体制改革的新要求、新流程学习领会不深入，对“执法不规范”和“执法简单僵化”方面问题主观上不够重视。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二是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法治宣传力度还有待提升。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对交通运输行业的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宣传法律法规的力度不够，宣传方式方法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局限于上路普法、进企业宣传，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缺乏创新，有待改善和转变。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在今后的工作中，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进一步压实法治建设工作责任。持续推动领导干部带头学法，牢固树立法治思维，树立法律至上的观念，切实加强依法行政的责任感，依法办事，严格执法，结合工作实际，研究法治交通建设中的重大问题，压实压紧法治政府建设责任。二是进一步加强交通运输行政执法队伍建设。扎实做好普法宣传，积极开展执法人员的法律知识培训，提高系统执法队伍的法律素质。坚持以人为本，提高行政执法队伍服务意识。三是进一步加大交通运输法律知识宣传力度。按照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“谁执法谁普法”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的原则，以安全生产、道路运输、邮政相关法律法规为重点内容，企业负责人和从业人员为对象，通过集中宣传、送法进企业等方式，推动宪法、法律知识与交通运输行业法律法规的融合，创造人人懂法、守法、用法的良好法治环境。化解各类矛盾纠纷，维护社会稳定，为经济社会发展作出更大贡献。</w:t>
      </w:r>
    </w:p>
    <w:p>
      <w:pPr>
        <w:keepNext w:val="0"/>
        <w:keepLines w:val="0"/>
        <w:pageBreakBefore w:val="0"/>
        <w:widowControl w:val="0"/>
        <w:tabs>
          <w:tab w:val="left" w:pos="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仿宋" w:hAnsi="Times New Roman" w:cs="Times New Roman" w:hint="default"/>
          <w:sz w:val="32"/>
          <w:szCs w:val="32"/>
        </w:rPr>
      </w:pPr>
    </w:p>
    <w:sectPr>
      <w:footerReference w:type="default" r:id="rId5"/>
      <w:pgSz w:w="11906" w:h="16838"/>
      <w:pgMar w:top="2098" w:right="1531" w:bottom="1984" w:left="1531" w:header="851" w:footer="992" w:gutter="0"/>
      <w:pgNumType w:fmt="numberInDash"/>
      <w:cols w:num="1" w:space="0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40B1C"/>
    <w:rsid w:val="054E68F1"/>
    <w:rsid w:val="0B10245E"/>
    <w:rsid w:val="11065763"/>
    <w:rsid w:val="11724BAC"/>
    <w:rsid w:val="12BE5DD4"/>
    <w:rsid w:val="13345697"/>
    <w:rsid w:val="17F01275"/>
    <w:rsid w:val="18490FB9"/>
    <w:rsid w:val="1D6C71E6"/>
    <w:rsid w:val="24C376F2"/>
    <w:rsid w:val="271F4C3E"/>
    <w:rsid w:val="2EB55BF4"/>
    <w:rsid w:val="300E448C"/>
    <w:rsid w:val="30FE5B64"/>
    <w:rsid w:val="31990D97"/>
    <w:rsid w:val="435639F2"/>
    <w:rsid w:val="4A4652D0"/>
    <w:rsid w:val="50AE2C4A"/>
    <w:rsid w:val="53A951DA"/>
    <w:rsid w:val="55020B76"/>
    <w:rsid w:val="5A5504BB"/>
    <w:rsid w:val="5C4956B8"/>
    <w:rsid w:val="624B51DE"/>
    <w:rsid w:val="681175E6"/>
    <w:rsid w:val="69AF7E6F"/>
    <w:rsid w:val="6FFB1AC4"/>
    <w:rsid w:val="71FD4747"/>
    <w:rsid w:val="73D41849"/>
    <w:rsid w:val="74CA538F"/>
    <w:rsid w:val="75625711"/>
    <w:rsid w:val="79A3373E"/>
    <w:rsid w:val="7DA30BB0"/>
    <w:rsid w:val="7E740B1C"/>
    <w:rsid w:val="7EA30424"/>
    <w:rsid w:val="7F89586C"/>
    <w:rsid w:val="7F9A43CC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 w:qFormat="1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next w:val="Index5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Index5">
    <w:name w:val="index 5"/>
    <w:basedOn w:val="Normal"/>
    <w:next w:val="Normal"/>
    <w:autoRedefine/>
    <w:qFormat/>
    <w:pPr>
      <w:ind w:left="1680"/>
    </w:pPr>
    <w:rPr>
      <w:rFonts w:ascii="Times New Roman" w:eastAsia="方正仿宋简体" w:hAnsi="Times New Roman" w:cs="Times New Roman"/>
    </w:rPr>
  </w:style>
  <w:style w:type="paragraph" w:styleId="BodyText">
    <w:name w:val="Body Text"/>
    <w:basedOn w:val="Normal"/>
    <w:next w:val="BodyTextFirstIndent"/>
    <w:autoRedefine/>
    <w:qFormat/>
  </w:style>
  <w:style w:type="paragraph" w:styleId="BodyTextFirstIndent">
    <w:name w:val="Body Text First Indent"/>
    <w:basedOn w:val="BodyText"/>
    <w:autoRedefine/>
    <w:qFormat/>
    <w:pPr>
      <w:spacing w:after="120"/>
      <w:ind w:firstLine="420" w:firstLineChars="100"/>
    </w:pPr>
    <w:rPr>
      <w:sz w:val="3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  <w:style w:type="character" w:styleId="Emphasis">
    <w:name w:val="Emphasis"/>
    <w:basedOn w:val="DefaultParagraphFont"/>
    <w:autoRedefine/>
    <w:qFormat/>
    <w:rPr>
      <w:i/>
    </w:rPr>
  </w:style>
  <w:style w:type="paragraph" w:customStyle="1" w:styleId="Char">
    <w:name w:val="Char"/>
    <w:basedOn w:val="Normal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2487</Words>
  <Characters>2616</Characters>
  <Application>Microsoft Office Word</Application>
  <DocSecurity>0</DocSecurity>
  <Lines>0</Lines>
  <Paragraphs>0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喜文</cp:lastModifiedBy>
  <cp:revision>1</cp:revision>
  <cp:lastPrinted>2025-01-03T03:16:00Z</cp:lastPrinted>
  <dcterms:created xsi:type="dcterms:W3CDTF">2022-03-03T10:17:00Z</dcterms:created>
  <dcterms:modified xsi:type="dcterms:W3CDTF">2025-03-07T03:49:47Z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FB5E189E23E04119972C5F8D8F5817E4_13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eyJoZGlkIjoiMDljYzUzMWQ4OWI0YzBkYjYzMDRhZTY5ZjZkYmFmYTgiLCJ1c2VySWQiOiI0MDk4NDg1NjkifQ==</vt:lpwstr>
  </property>
</Properties>
</file>