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Heading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ascii="Times New Roman" w:eastAsia="方正小标宋_GBK" w:hAnsi="Times New Roman" w:cs="方正小标宋_GBK" w:hint="eastAsia"/>
          <w:b w:val="0"/>
          <w:bCs/>
          <w:color w:val="444444"/>
          <w:sz w:val="44"/>
          <w:szCs w:val="44"/>
          <w:shd w:val="clear" w:color="auto" w:fill="FFFFFF"/>
        </w:rPr>
      </w:pPr>
      <w:r>
        <w:rPr>
          <w:rFonts w:ascii="Times New Roman" w:eastAsia="方正小标宋_GBK" w:hAnsi="Times New Roman" w:cs="方正小标宋_GBK" w:hint="eastAsia"/>
          <w:b w:val="0"/>
          <w:bCs/>
          <w:color w:val="444444"/>
          <w:sz w:val="44"/>
          <w:szCs w:val="44"/>
          <w:shd w:val="clear" w:color="auto" w:fill="FFFFFF"/>
          <w:lang w:val="en-US" w:eastAsia="zh-CN"/>
        </w:rPr>
        <w:t>乌苏市纪委监委</w:t>
      </w:r>
      <w:r>
        <w:rPr>
          <w:rFonts w:ascii="Times New Roman" w:eastAsia="方正小标宋_GBK" w:hAnsi="Times New Roman" w:cs="方正小标宋_GBK" w:hint="eastAsia"/>
          <w:b w:val="0"/>
          <w:bCs/>
          <w:color w:val="444444"/>
          <w:sz w:val="44"/>
          <w:szCs w:val="44"/>
          <w:shd w:val="clear" w:color="auto" w:fill="FFFFFF"/>
          <w:lang w:eastAsia="zh-CN"/>
        </w:rPr>
        <w:t>202</w:t>
      </w:r>
      <w:r>
        <w:rPr>
          <w:rFonts w:ascii="Times New Roman" w:eastAsia="方正小标宋_GBK" w:hAnsi="Times New Roman" w:cs="方正小标宋_GBK" w:hint="eastAsia"/>
          <w:b w:val="0"/>
          <w:bCs/>
          <w:color w:val="444444"/>
          <w:sz w:val="44"/>
          <w:szCs w:val="44"/>
          <w:shd w:val="clear" w:color="auto" w:fill="FFFFFF"/>
          <w:lang w:val="en-US" w:eastAsia="zh-CN"/>
        </w:rPr>
        <w:t>4</w:t>
      </w:r>
      <w:r>
        <w:rPr>
          <w:rFonts w:ascii="Times New Roman" w:eastAsia="方正小标宋_GBK" w:hAnsi="Times New Roman" w:cs="方正小标宋_GBK" w:hint="eastAsia"/>
          <w:b w:val="0"/>
          <w:bCs/>
          <w:color w:val="444444"/>
          <w:sz w:val="44"/>
          <w:szCs w:val="44"/>
          <w:shd w:val="clear" w:color="auto" w:fill="FFFFFF"/>
        </w:rPr>
        <w:t>年度述法报告</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ascii="Times New Roman" w:eastAsia="仿宋_GB2312" w:hAnsi="Times New Roman" w:cs="仿宋_GB2312" w:hint="eastAsia"/>
          <w:color w:val="444444"/>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ascii="Times New Roman" w:eastAsia="楷体_GB2312" w:hAnsi="Times New Roman" w:cs="楷体_GB2312" w:hint="eastAsia"/>
          <w:b w:val="0"/>
          <w:bCs w:val="0"/>
          <w:sz w:val="32"/>
          <w:szCs w:val="32"/>
          <w:lang w:val="en-US" w:eastAsia="zh-CN"/>
        </w:rPr>
      </w:pPr>
      <w:r>
        <w:rPr>
          <w:rFonts w:ascii="Times New Roman" w:eastAsia="楷体_GB2312" w:hAnsi="Times New Roman" w:cs="楷体_GB2312" w:hint="eastAsia"/>
          <w:b w:val="0"/>
          <w:bCs w:val="0"/>
          <w:color w:val="444444"/>
          <w:sz w:val="32"/>
          <w:szCs w:val="32"/>
          <w:shd w:val="clear" w:color="auto" w:fill="FFFFFF"/>
          <w:lang w:val="en-US" w:eastAsia="zh-CN"/>
        </w:rPr>
        <w:t>纪委副书记、监委副主任  马斌</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Times New Roman" w:hAnsi="Times New Roman" w:hint="eastAsia"/>
        </w:rPr>
      </w:pPr>
    </w:p>
    <w:p>
      <w:pPr>
        <w:keepNext w:val="0"/>
        <w:keepLines w:val="0"/>
        <w:pageBreakBefore w:val="0"/>
        <w:widowControl w:val="0"/>
        <w:numPr>
          <w:ilvl w:val="0"/>
          <w:numId w:val="0"/>
        </w:numPr>
        <w:pBdr>
          <w:top w:val="nil"/>
          <w:left w:val="nil"/>
          <w:bottom w:val="nil"/>
          <w:right w:val="nil"/>
        </w:pBdr>
        <w:kinsoku/>
        <w:wordWrap/>
        <w:overflowPunct/>
        <w:topLinePunct w:val="0"/>
        <w:autoSpaceDE/>
        <w:autoSpaceDN w:val="0"/>
        <w:bidi w:val="0"/>
        <w:adjustRightInd w:val="0"/>
        <w:snapToGrid w:val="0"/>
        <w:spacing w:beforeAutospacing="0" w:afterAutospacing="0" w:line="560" w:lineRule="exact"/>
        <w:ind w:right="0" w:firstLine="640" w:rightChars="0" w:firstLineChars="200"/>
        <w:jc w:val="both"/>
        <w:textAlignment w:val="top"/>
        <w:outlineLvl w:val="9"/>
        <w:rPr>
          <w:rFonts w:ascii="Times New Roman" w:eastAsia="仿宋_GB2312" w:hAnsi="Times New Roman" w:cs="仿宋_GB2312" w:hint="eastAsia"/>
          <w:b w:val="0"/>
          <w:bCs w:val="0"/>
          <w:color w:val="auto"/>
          <w:spacing w:val="0"/>
          <w:sz w:val="32"/>
          <w:szCs w:val="32"/>
          <w:highlight w:val="none"/>
          <w:lang w:val="en-US" w:eastAsia="zh-CN"/>
        </w:rPr>
      </w:pPr>
      <w:r>
        <w:rPr>
          <w:rFonts w:ascii="Times New Roman" w:eastAsia="仿宋_GB2312" w:hAnsi="Times New Roman" w:cs="仿宋_GB2312" w:hint="eastAsia"/>
          <w:b w:val="0"/>
          <w:bCs w:val="0"/>
          <w:color w:val="auto"/>
          <w:spacing w:val="0"/>
          <w:sz w:val="32"/>
          <w:szCs w:val="32"/>
          <w:highlight w:val="none"/>
          <w:lang w:val="en-US" w:eastAsia="zh-CN"/>
        </w:rPr>
        <w:t>2024年以来，我坚持以深入学习贯彻习近平新时代中国特色社会主义思想和党的二十大、党的二十届三中全会精神为指导，围绕落实全面从严治党要求，立足纪检监察岗位职责，认真履行推进法治建设职责。现将个人积极学法、严格用法、履职依法等方面情况具体报告如下： </w:t>
      </w:r>
    </w:p>
    <w:p>
      <w:pPr>
        <w:keepNext w:val="0"/>
        <w:keepLines w:val="0"/>
        <w:pageBreakBefore w:val="0"/>
        <w:widowControl w:val="0"/>
        <w:numPr>
          <w:ilvl w:val="0"/>
          <w:numId w:val="0"/>
        </w:numPr>
        <w:pBdr>
          <w:top w:val="nil"/>
          <w:left w:val="nil"/>
          <w:bottom w:val="nil"/>
          <w:right w:val="nil"/>
        </w:pBdr>
        <w:kinsoku/>
        <w:wordWrap/>
        <w:overflowPunct/>
        <w:topLinePunct w:val="0"/>
        <w:autoSpaceDE/>
        <w:autoSpaceDN w:val="0"/>
        <w:bidi w:val="0"/>
        <w:adjustRightInd w:val="0"/>
        <w:snapToGrid w:val="0"/>
        <w:spacing w:beforeAutospacing="0" w:afterAutospacing="0" w:line="560" w:lineRule="exact"/>
        <w:ind w:right="0" w:firstLine="640" w:rightChars="0" w:firstLineChars="200"/>
        <w:jc w:val="both"/>
        <w:textAlignment w:val="top"/>
        <w:outlineLvl w:val="9"/>
        <w:rPr>
          <w:rFonts w:ascii="Times New Roman" w:eastAsia="黑体" w:hAnsi="Times New Roman" w:cs="黑体" w:hint="eastAsia"/>
          <w:b w:val="0"/>
          <w:bCs/>
          <w:color w:val="444444"/>
          <w:kern w:val="0"/>
          <w:sz w:val="32"/>
          <w:szCs w:val="32"/>
          <w:shd w:val="clear" w:color="auto" w:fill="FFFFFF"/>
          <w:lang w:val="en-US" w:eastAsia="zh-CN" w:bidi="ar"/>
        </w:rPr>
      </w:pPr>
      <w:r>
        <w:rPr>
          <w:rFonts w:ascii="Times New Roman" w:eastAsia="黑体" w:hAnsi="Times New Roman" w:cs="黑体" w:hint="eastAsia"/>
          <w:b w:val="0"/>
          <w:bCs/>
          <w:color w:val="444444"/>
          <w:kern w:val="0"/>
          <w:sz w:val="32"/>
          <w:szCs w:val="32"/>
          <w:shd w:val="clear" w:color="auto" w:fill="FFFFFF"/>
          <w:lang w:val="en-US" w:eastAsia="zh-CN" w:bidi="ar"/>
        </w:rPr>
        <w:t>一、履职情况</w:t>
      </w:r>
    </w:p>
    <w:p>
      <w:pPr>
        <w:keepNext w:val="0"/>
        <w:keepLines w:val="0"/>
        <w:pageBreakBefore w:val="0"/>
        <w:widowControl w:val="0"/>
        <w:numPr>
          <w:ilvl w:val="0"/>
          <w:numId w:val="0"/>
        </w:numPr>
        <w:pBdr>
          <w:top w:val="nil"/>
          <w:left w:val="nil"/>
          <w:bottom w:val="nil"/>
          <w:right w:val="nil"/>
        </w:pBdr>
        <w:kinsoku/>
        <w:wordWrap/>
        <w:overflowPunct/>
        <w:topLinePunct w:val="0"/>
        <w:autoSpaceDE/>
        <w:autoSpaceDN w:val="0"/>
        <w:bidi w:val="0"/>
        <w:adjustRightInd w:val="0"/>
        <w:snapToGrid w:val="0"/>
        <w:spacing w:beforeAutospacing="0" w:afterAutospacing="0" w:line="560" w:lineRule="exact"/>
        <w:ind w:right="0" w:firstLine="640" w:rightChars="0" w:firstLineChars="200"/>
        <w:jc w:val="both"/>
        <w:textAlignment w:val="top"/>
        <w:outlineLvl w:val="9"/>
        <w:rPr>
          <w:rFonts w:ascii="Times New Roman" w:eastAsia="仿宋_GB2312" w:hAnsi="Times New Roman" w:cs="仿宋_GB2312" w:hint="eastAsia"/>
          <w:b w:val="0"/>
          <w:bCs w:val="0"/>
          <w:color w:val="auto"/>
          <w:spacing w:val="0"/>
          <w:sz w:val="32"/>
          <w:szCs w:val="32"/>
          <w:highlight w:val="none"/>
          <w:lang w:val="en-US" w:eastAsia="zh-CN"/>
        </w:rPr>
      </w:pPr>
      <w:r>
        <w:rPr>
          <w:rFonts w:ascii="Times New Roman" w:eastAsia="楷体_GB2312" w:hAnsi="Times New Roman" w:cs="楷体_GB2312" w:hint="eastAsia"/>
          <w:b/>
          <w:bCs/>
          <w:sz w:val="32"/>
          <w:szCs w:val="32"/>
          <w:lang w:val="en-US" w:eastAsia="zh-CN"/>
        </w:rPr>
        <w:t>（一）压实法治建设第一责任人职责，持续抓好学法讲法论法制度。</w:t>
      </w:r>
      <w:r>
        <w:rPr>
          <w:rFonts w:ascii="Times New Roman" w:eastAsia="仿宋_GB2312" w:hAnsi="Times New Roman" w:cs="仿宋_GB2312" w:hint="eastAsia"/>
          <w:b/>
          <w:bCs/>
          <w:color w:val="auto"/>
          <w:spacing w:val="0"/>
          <w:sz w:val="32"/>
          <w:szCs w:val="32"/>
          <w:highlight w:val="none"/>
          <w:lang w:val="en-US" w:eastAsia="zh-CN"/>
        </w:rPr>
        <w:t>一是</w:t>
      </w:r>
      <w:r>
        <w:rPr>
          <w:rFonts w:ascii="Times New Roman" w:eastAsia="仿宋_GB2312" w:hAnsi="Times New Roman" w:cs="仿宋_GB2312" w:hint="eastAsia"/>
          <w:b w:val="0"/>
          <w:bCs w:val="0"/>
          <w:color w:val="auto"/>
          <w:spacing w:val="0"/>
          <w:sz w:val="32"/>
          <w:szCs w:val="32"/>
          <w:highlight w:val="none"/>
          <w:lang w:val="en-US" w:eastAsia="zh-CN"/>
        </w:rPr>
        <w:t>高度重视，研究部署全年法治建设工作，组织理论学习中心组专题研究习近平法治思想和总体国家安全观2次、常委会</w:t>
      </w:r>
      <w:r>
        <w:rPr>
          <w:rFonts w:ascii="Times New Roman" w:eastAsia="仿宋_GB2312" w:hAnsi="Times New Roman" w:cs="Times New Roman" w:hint="default"/>
          <w:b w:val="0"/>
          <w:bCs w:val="0"/>
          <w:color w:val="auto"/>
          <w:spacing w:val="0"/>
          <w:sz w:val="32"/>
          <w:szCs w:val="32"/>
          <w:highlight w:val="none"/>
          <w:lang w:val="en-US" w:eastAsia="zh-CN"/>
        </w:rPr>
        <w:t>“</w:t>
      </w:r>
      <w:r>
        <w:rPr>
          <w:rFonts w:ascii="Times New Roman" w:eastAsia="仿宋_GB2312" w:hAnsi="Times New Roman" w:cs="仿宋_GB2312" w:hint="eastAsia"/>
          <w:b w:val="0"/>
          <w:bCs w:val="0"/>
          <w:color w:val="auto"/>
          <w:spacing w:val="0"/>
          <w:sz w:val="32"/>
          <w:szCs w:val="32"/>
          <w:highlight w:val="none"/>
          <w:lang w:val="en-US" w:eastAsia="zh-CN"/>
        </w:rPr>
        <w:t>第一议题</w:t>
      </w:r>
      <w:r>
        <w:rPr>
          <w:rFonts w:ascii="Times New Roman" w:eastAsia="仿宋_GB2312" w:hAnsi="Times New Roman" w:cs="Times New Roman" w:hint="default"/>
          <w:b w:val="0"/>
          <w:bCs w:val="0"/>
          <w:color w:val="auto"/>
          <w:spacing w:val="0"/>
          <w:sz w:val="32"/>
          <w:szCs w:val="32"/>
          <w:highlight w:val="none"/>
          <w:lang w:val="en-US" w:eastAsia="zh-CN"/>
        </w:rPr>
        <w:t>”</w:t>
      </w:r>
      <w:r>
        <w:rPr>
          <w:rFonts w:ascii="Times New Roman" w:eastAsia="仿宋_GB2312" w:hAnsi="Times New Roman" w:cs="仿宋_GB2312" w:hint="eastAsia"/>
          <w:b w:val="0"/>
          <w:bCs w:val="0"/>
          <w:color w:val="auto"/>
          <w:spacing w:val="0"/>
          <w:sz w:val="32"/>
          <w:szCs w:val="32"/>
          <w:highlight w:val="none"/>
          <w:lang w:val="en-US" w:eastAsia="zh-CN"/>
        </w:rPr>
        <w:t>学习传达习近平关于依法治国重要论述3次，提请常委会研究审议全年法治建设工作1次，向市人大常委会专题汇报1次。</w:t>
      </w:r>
      <w:r>
        <w:rPr>
          <w:rFonts w:ascii="Times New Roman" w:eastAsia="仿宋_GB2312" w:hAnsi="Times New Roman" w:cs="仿宋_GB2312" w:hint="eastAsia"/>
          <w:b/>
          <w:bCs/>
          <w:color w:val="auto"/>
          <w:spacing w:val="0"/>
          <w:sz w:val="32"/>
          <w:szCs w:val="32"/>
          <w:highlight w:val="none"/>
          <w:lang w:val="en-US" w:eastAsia="zh-CN"/>
        </w:rPr>
        <w:t>二是</w:t>
      </w:r>
      <w:r>
        <w:rPr>
          <w:rFonts w:ascii="Times New Roman" w:eastAsia="仿宋_GB2312" w:hAnsi="Times New Roman" w:cs="仿宋_GB2312" w:hint="eastAsia"/>
          <w:b w:val="0"/>
          <w:bCs w:val="0"/>
          <w:color w:val="auto"/>
          <w:spacing w:val="0"/>
          <w:sz w:val="32"/>
          <w:szCs w:val="32"/>
          <w:highlight w:val="none"/>
          <w:lang w:val="en-US" w:eastAsia="zh-CN"/>
        </w:rPr>
        <w:t>始终把学习贯彻习近平法治思想作为首要政治任务，讲授廉政党课1次，主动参加理论学习中心组集体、党支部组织生活等集体学习73次，定期参加</w:t>
      </w:r>
      <w:r>
        <w:rPr>
          <w:rFonts w:ascii="Times New Roman" w:eastAsia="仿宋_GB2312" w:hAnsi="Times New Roman" w:cs="Times New Roman" w:hint="default"/>
          <w:b w:val="0"/>
          <w:bCs w:val="0"/>
          <w:color w:val="auto"/>
          <w:spacing w:val="0"/>
          <w:sz w:val="32"/>
          <w:szCs w:val="32"/>
          <w:highlight w:val="none"/>
          <w:lang w:val="en-US" w:eastAsia="zh-CN"/>
        </w:rPr>
        <w:t>“</w:t>
      </w:r>
      <w:r>
        <w:rPr>
          <w:rFonts w:ascii="Times New Roman" w:eastAsia="仿宋_GB2312" w:hAnsi="Times New Roman" w:cs="仿宋_GB2312" w:hint="eastAsia"/>
          <w:b w:val="0"/>
          <w:bCs w:val="0"/>
          <w:color w:val="auto"/>
          <w:spacing w:val="0"/>
          <w:sz w:val="32"/>
          <w:szCs w:val="32"/>
          <w:highlight w:val="none"/>
          <w:lang w:val="en-US" w:eastAsia="zh-CN"/>
        </w:rPr>
        <w:t>自治区法治讲堂·逢九必讲</w:t>
      </w:r>
      <w:r>
        <w:rPr>
          <w:rFonts w:ascii="Times New Roman" w:eastAsia="仿宋_GB2312" w:hAnsi="Times New Roman" w:cs="Times New Roman" w:hint="default"/>
          <w:b w:val="0"/>
          <w:bCs w:val="0"/>
          <w:color w:val="auto"/>
          <w:spacing w:val="0"/>
          <w:sz w:val="32"/>
          <w:szCs w:val="32"/>
          <w:highlight w:val="none"/>
          <w:lang w:val="en-US" w:eastAsia="zh-CN"/>
        </w:rPr>
        <w:t>”</w:t>
      </w:r>
      <w:r>
        <w:rPr>
          <w:rFonts w:ascii="Times New Roman" w:eastAsia="仿宋_GB2312" w:hAnsi="Times New Roman" w:cs="仿宋_GB2312" w:hint="eastAsia"/>
          <w:b w:val="0"/>
          <w:bCs w:val="0"/>
          <w:color w:val="auto"/>
          <w:spacing w:val="0"/>
          <w:sz w:val="32"/>
          <w:szCs w:val="32"/>
          <w:highlight w:val="none"/>
          <w:lang w:val="en-US" w:eastAsia="zh-CN"/>
        </w:rPr>
        <w:t>，深刻理解把握精神实质，不断提升自身法治素养。</w:t>
      </w:r>
      <w:r>
        <w:rPr>
          <w:rFonts w:ascii="Times New Roman" w:eastAsia="仿宋_GB2312" w:hAnsi="Times New Roman" w:cs="仿宋_GB2312" w:hint="eastAsia"/>
          <w:b/>
          <w:bCs/>
          <w:color w:val="auto"/>
          <w:spacing w:val="0"/>
          <w:sz w:val="32"/>
          <w:szCs w:val="32"/>
          <w:highlight w:val="none"/>
          <w:lang w:val="en-US" w:eastAsia="zh-CN"/>
        </w:rPr>
        <w:t>三是</w:t>
      </w:r>
      <w:r>
        <w:rPr>
          <w:rFonts w:ascii="Times New Roman" w:eastAsia="仿宋_GB2312" w:hAnsi="Times New Roman" w:cs="仿宋_GB2312" w:hint="eastAsia"/>
          <w:b w:val="0"/>
          <w:bCs w:val="0"/>
          <w:color w:val="auto"/>
          <w:spacing w:val="0"/>
          <w:sz w:val="32"/>
          <w:szCs w:val="32"/>
          <w:highlight w:val="none"/>
          <w:lang w:val="en-US" w:eastAsia="zh-CN"/>
        </w:rPr>
        <w:t>将党纪学习教育与法治建设工作有机融合，通过业务讲堂、纪法测试、普法视频等学习形式和</w:t>
      </w:r>
      <w:r>
        <w:rPr>
          <w:rFonts w:ascii="Times New Roman" w:eastAsia="仿宋_GB2312" w:hAnsi="Times New Roman" w:cs="Times New Roman" w:hint="default"/>
          <w:b w:val="0"/>
          <w:bCs w:val="0"/>
          <w:color w:val="auto"/>
          <w:spacing w:val="0"/>
          <w:sz w:val="32"/>
          <w:szCs w:val="32"/>
          <w:highlight w:val="none"/>
          <w:lang w:val="en-US" w:eastAsia="zh-CN"/>
        </w:rPr>
        <w:t>“</w:t>
      </w:r>
      <w:r>
        <w:rPr>
          <w:rFonts w:ascii="Times New Roman" w:eastAsia="仿宋_GB2312" w:hAnsi="Times New Roman" w:cs="仿宋_GB2312" w:hint="eastAsia"/>
          <w:b w:val="0"/>
          <w:bCs w:val="0"/>
          <w:color w:val="auto"/>
          <w:spacing w:val="0"/>
          <w:sz w:val="32"/>
          <w:szCs w:val="32"/>
          <w:highlight w:val="none"/>
          <w:lang w:val="en-US" w:eastAsia="zh-CN"/>
        </w:rPr>
        <w:t>法宣在线</w:t>
      </w:r>
      <w:r>
        <w:rPr>
          <w:rFonts w:ascii="Times New Roman" w:eastAsia="仿宋_GB2312" w:hAnsi="Times New Roman" w:cs="Times New Roman" w:hint="default"/>
          <w:b w:val="0"/>
          <w:bCs w:val="0"/>
          <w:color w:val="auto"/>
          <w:spacing w:val="0"/>
          <w:sz w:val="32"/>
          <w:szCs w:val="32"/>
          <w:highlight w:val="none"/>
          <w:lang w:val="en-US" w:eastAsia="zh-CN"/>
        </w:rPr>
        <w:t>”“</w:t>
      </w:r>
      <w:r>
        <w:rPr>
          <w:rFonts w:ascii="Times New Roman" w:eastAsia="仿宋_GB2312" w:hAnsi="Times New Roman" w:cs="仿宋_GB2312" w:hint="eastAsia"/>
          <w:b w:val="0"/>
          <w:bCs w:val="0"/>
          <w:color w:val="auto"/>
          <w:spacing w:val="0"/>
          <w:sz w:val="32"/>
          <w:szCs w:val="32"/>
          <w:highlight w:val="none"/>
          <w:lang w:val="en-US" w:eastAsia="zh-CN"/>
        </w:rPr>
        <w:t>新疆干部网络学院</w:t>
      </w:r>
      <w:r>
        <w:rPr>
          <w:rFonts w:ascii="Times New Roman" w:eastAsia="仿宋_GB2312" w:hAnsi="Times New Roman" w:cs="Times New Roman" w:hint="default"/>
          <w:b w:val="0"/>
          <w:bCs w:val="0"/>
          <w:color w:val="auto"/>
          <w:spacing w:val="0"/>
          <w:sz w:val="32"/>
          <w:szCs w:val="32"/>
          <w:highlight w:val="none"/>
          <w:lang w:val="en-US" w:eastAsia="zh-CN"/>
        </w:rPr>
        <w:t>”</w:t>
      </w:r>
      <w:r>
        <w:rPr>
          <w:rFonts w:ascii="Times New Roman" w:eastAsia="仿宋_GB2312" w:hAnsi="Times New Roman" w:cs="仿宋_GB2312" w:hint="eastAsia"/>
          <w:b w:val="0"/>
          <w:bCs w:val="0"/>
          <w:color w:val="auto"/>
          <w:spacing w:val="0"/>
          <w:sz w:val="32"/>
          <w:szCs w:val="32"/>
          <w:highlight w:val="none"/>
          <w:lang w:val="en-US" w:eastAsia="zh-CN"/>
        </w:rPr>
        <w:t>等平台，持续组织全体纪检监察干部深入学习《中国共产党纪律处分条例》《中华人民共和国监察法》等党纪法规，让法律法规武装头脑，推动乌苏纪检监察工作取得新成效。 </w:t>
      </w:r>
    </w:p>
    <w:p>
      <w:pPr>
        <w:keepNext w:val="0"/>
        <w:keepLines w:val="0"/>
        <w:pageBreakBefore w:val="0"/>
        <w:widowControl w:val="0"/>
        <w:numPr>
          <w:ilvl w:val="0"/>
          <w:numId w:val="0"/>
        </w:numPr>
        <w:pBdr>
          <w:top w:val="nil"/>
          <w:left w:val="nil"/>
          <w:bottom w:val="nil"/>
          <w:right w:val="nil"/>
        </w:pBdr>
        <w:kinsoku/>
        <w:wordWrap/>
        <w:overflowPunct/>
        <w:topLinePunct w:val="0"/>
        <w:autoSpaceDE/>
        <w:autoSpaceDN w:val="0"/>
        <w:bidi w:val="0"/>
        <w:adjustRightInd w:val="0"/>
        <w:snapToGrid w:val="0"/>
        <w:spacing w:beforeAutospacing="0" w:afterAutospacing="0" w:line="560" w:lineRule="exact"/>
        <w:ind w:right="0" w:firstLine="640" w:rightChars="0" w:firstLineChars="200"/>
        <w:jc w:val="both"/>
        <w:textAlignment w:val="top"/>
        <w:outlineLvl w:val="9"/>
        <w:rPr>
          <w:rFonts w:ascii="Times New Roman" w:eastAsia="仿宋_GB2312" w:hAnsi="Times New Roman" w:cs="仿宋_GB2312" w:hint="eastAsia"/>
          <w:color w:val="auto"/>
          <w:sz w:val="32"/>
          <w:szCs w:val="32"/>
          <w:highlight w:val="none"/>
          <w:lang w:val="en-US" w:eastAsia="zh-CN"/>
        </w:rPr>
      </w:pPr>
      <w:r>
        <w:rPr>
          <w:rFonts w:ascii="Times New Roman" w:eastAsia="楷体_GB2312" w:hAnsi="Times New Roman" w:cs="楷体_GB2312" w:hint="eastAsia"/>
          <w:b/>
          <w:bCs/>
          <w:sz w:val="32"/>
          <w:szCs w:val="32"/>
          <w:lang w:val="en-US" w:eastAsia="zh-CN"/>
        </w:rPr>
        <w:t>（二）严格依规依纪依法，持续推动纪检监察工作规范化、程序化、法治化。</w:t>
      </w:r>
      <w:r>
        <w:rPr>
          <w:rFonts w:ascii="Times New Roman" w:eastAsia="仿宋_GB2312" w:hAnsi="Times New Roman" w:cs="仿宋_GB2312" w:hint="eastAsia"/>
          <w:b/>
          <w:bCs/>
          <w:sz w:val="32"/>
          <w:szCs w:val="32"/>
          <w:lang w:val="en-US" w:eastAsia="zh-CN"/>
        </w:rPr>
        <w:t>一是</w:t>
      </w:r>
      <w:r>
        <w:rPr>
          <w:rFonts w:ascii="Times New Roman" w:eastAsia="仿宋_GB2312" w:hAnsi="Times New Roman" w:cs="仿宋_GB2312" w:hint="eastAsia"/>
          <w:b w:val="0"/>
          <w:bCs w:val="0"/>
          <w:color w:val="auto"/>
          <w:spacing w:val="0"/>
          <w:sz w:val="32"/>
          <w:szCs w:val="32"/>
          <w:highlight w:val="none"/>
          <w:lang w:val="en-US" w:eastAsia="zh-CN"/>
        </w:rPr>
        <w:t>严密权力监督体系，严格按照《中国共产党纪律检查机关监督执纪工作规则》有关规定，执行请示报告制度，设立打听干预案情报告备案制度。制定纪检监察干部监督工作实施细则和绩效考核办法，</w:t>
      </w:r>
      <w:r>
        <w:rPr>
          <w:rFonts w:ascii="Times New Roman" w:eastAsia="仿宋_GB2312" w:hAnsi="Times New Roman" w:cs="方正仿宋_GBK" w:hint="eastAsia"/>
          <w:strike w:val="0"/>
          <w:dstrike w:val="0"/>
          <w:color w:val="auto"/>
          <w:sz w:val="32"/>
          <w:szCs w:val="32"/>
          <w:u w:val="none" w:color="auto"/>
          <w:lang w:val="en-US" w:eastAsia="zh-CN"/>
        </w:rPr>
        <w:t>印发《审查调查人员回避办法》，加大严管严治力度。</w:t>
      </w:r>
      <w:r>
        <w:rPr>
          <w:rFonts w:ascii="Times New Roman" w:eastAsia="仿宋_GB2312" w:hAnsi="Times New Roman" w:cs="方正仿宋_GBK" w:hint="eastAsia"/>
          <w:b/>
          <w:bCs/>
          <w:strike w:val="0"/>
          <w:dstrike w:val="0"/>
          <w:color w:val="auto"/>
          <w:sz w:val="32"/>
          <w:szCs w:val="32"/>
          <w:u w:val="none" w:color="auto"/>
          <w:lang w:val="en-US" w:eastAsia="zh-CN"/>
        </w:rPr>
        <w:t>二是</w:t>
      </w:r>
      <w:r>
        <w:rPr>
          <w:rFonts w:ascii="Times New Roman" w:eastAsia="仿宋_GB2312" w:hAnsi="Times New Roman" w:cs="仿宋_GB2312" w:hint="eastAsia"/>
          <w:color w:val="auto"/>
          <w:sz w:val="32"/>
          <w:szCs w:val="32"/>
          <w:lang w:val="en-US" w:eastAsia="zh-CN"/>
        </w:rPr>
        <w:t>贯彻落实《关于加强和完善监察执法与刑事司法衔接机制的意见（试行）》，</w:t>
      </w:r>
      <w:r>
        <w:rPr>
          <w:rFonts w:ascii="Times New Roman" w:eastAsia="仿宋_GB2312" w:hAnsi="Times New Roman" w:cs="方正仿宋_GBK" w:hint="eastAsia"/>
          <w:strike w:val="0"/>
          <w:dstrike w:val="0"/>
          <w:color w:val="auto"/>
          <w:sz w:val="32"/>
          <w:szCs w:val="32"/>
          <w:u w:val="none" w:color="auto"/>
          <w:lang w:val="en-US" w:eastAsia="zh-CN"/>
        </w:rPr>
        <w:t>充分发挥乌苏市委反腐败工作领导小组作用，不断加强与司法机关的协作配合，</w:t>
      </w:r>
      <w:r>
        <w:rPr>
          <w:rFonts w:ascii="Times New Roman" w:eastAsia="仿宋_GB2312" w:hAnsi="Times New Roman" w:cs="仿宋_GB2312" w:hint="eastAsia"/>
          <w:color w:val="auto"/>
          <w:sz w:val="32"/>
          <w:szCs w:val="32"/>
          <w:lang w:val="en-US" w:eastAsia="zh-CN"/>
        </w:rPr>
        <w:t>提请检察机关提前介入，邀请检察机关、审判机关召开案件论证会。</w:t>
      </w:r>
      <w:r>
        <w:rPr>
          <w:rFonts w:ascii="Times New Roman" w:eastAsia="仿宋_GB2312" w:hAnsi="Times New Roman" w:cs="仿宋_GB2312" w:hint="eastAsia"/>
          <w:b/>
          <w:bCs/>
          <w:color w:val="auto"/>
          <w:sz w:val="32"/>
          <w:szCs w:val="32"/>
          <w:lang w:val="en-US" w:eastAsia="zh-CN"/>
        </w:rPr>
        <w:t>三是</w:t>
      </w:r>
      <w:r>
        <w:rPr>
          <w:rFonts w:ascii="Times New Roman" w:eastAsia="仿宋_GB2312" w:hAnsi="Times New Roman" w:cs="仿宋_GB2312" w:hint="eastAsia"/>
          <w:color w:val="auto"/>
          <w:sz w:val="32"/>
          <w:szCs w:val="32"/>
          <w:highlight w:val="none"/>
          <w:lang w:val="en-US" w:eastAsia="zh-CN"/>
        </w:rPr>
        <w:t>印发《线索处置工作指引》，严格落实《乌苏市纪委监委问题线索研判处置专题会议制度（试行）》，定期召开问题线索研判处置专题会议，</w:t>
      </w:r>
      <w:r>
        <w:rPr>
          <w:rFonts w:ascii="Times New Roman" w:eastAsia="仿宋_GB2312" w:hAnsi="Times New Roman" w:cs="仿宋_GB2312" w:hint="default"/>
          <w:color w:val="auto"/>
          <w:sz w:val="32"/>
          <w:szCs w:val="32"/>
          <w:highlight w:val="none"/>
          <w:lang w:val="en-US" w:eastAsia="zh-CN"/>
        </w:rPr>
        <w:t>客观、公正、稳妥、</w:t>
      </w:r>
      <w:r>
        <w:rPr>
          <w:rFonts w:ascii="Times New Roman" w:eastAsia="仿宋_GB2312" w:hAnsi="Times New Roman" w:cs="仿宋_GB2312" w:hint="eastAsia"/>
          <w:color w:val="auto"/>
          <w:sz w:val="32"/>
          <w:szCs w:val="32"/>
          <w:highlight w:val="none"/>
          <w:lang w:val="en-US" w:eastAsia="zh-CN"/>
        </w:rPr>
        <w:t>精准</w:t>
      </w:r>
      <w:r>
        <w:rPr>
          <w:rFonts w:ascii="Times New Roman" w:eastAsia="仿宋_GB2312" w:hAnsi="Times New Roman" w:cs="仿宋_GB2312" w:hint="default"/>
          <w:color w:val="auto"/>
          <w:sz w:val="32"/>
          <w:szCs w:val="32"/>
          <w:highlight w:val="none"/>
          <w:lang w:val="en-US" w:eastAsia="zh-CN"/>
        </w:rPr>
        <w:t>处置</w:t>
      </w:r>
      <w:r>
        <w:rPr>
          <w:rFonts w:ascii="Times New Roman" w:eastAsia="仿宋_GB2312" w:hAnsi="Times New Roman" w:cs="仿宋_GB2312" w:hint="eastAsia"/>
          <w:color w:val="auto"/>
          <w:sz w:val="32"/>
          <w:szCs w:val="32"/>
          <w:highlight w:val="none"/>
          <w:lang w:val="en-US" w:eastAsia="zh-CN"/>
        </w:rPr>
        <w:t>问题线索。</w:t>
      </w:r>
    </w:p>
    <w:p>
      <w:pPr>
        <w:keepNext w:val="0"/>
        <w:keepLines w:val="0"/>
        <w:pageBreakBefore w:val="0"/>
        <w:widowControl w:val="0"/>
        <w:numPr>
          <w:ilvl w:val="0"/>
          <w:numId w:val="0"/>
        </w:numPr>
        <w:pBdr>
          <w:top w:val="nil"/>
          <w:left w:val="nil"/>
          <w:bottom w:val="nil"/>
          <w:right w:val="nil"/>
        </w:pBdr>
        <w:kinsoku/>
        <w:wordWrap/>
        <w:overflowPunct/>
        <w:topLinePunct w:val="0"/>
        <w:autoSpaceDE/>
        <w:autoSpaceDN w:val="0"/>
        <w:bidi w:val="0"/>
        <w:adjustRightInd w:val="0"/>
        <w:snapToGrid w:val="0"/>
        <w:spacing w:beforeAutospacing="0" w:afterAutospacing="0" w:line="560" w:lineRule="exact"/>
        <w:ind w:right="0" w:firstLine="640" w:rightChars="0" w:firstLineChars="200"/>
        <w:jc w:val="both"/>
        <w:textAlignment w:val="top"/>
        <w:outlineLvl w:val="9"/>
        <w:rPr>
          <w:rFonts w:ascii="Times New Roman" w:eastAsia="仿宋_GB2312" w:hAnsi="Times New Roman" w:cs="仿宋_GB2312" w:hint="default"/>
          <w:color w:val="auto"/>
          <w:sz w:val="32"/>
          <w:szCs w:val="32"/>
          <w:highlight w:val="none"/>
          <w:lang w:val="en-US" w:eastAsia="zh-CN"/>
        </w:rPr>
      </w:pPr>
      <w:r>
        <w:rPr>
          <w:rFonts w:ascii="Times New Roman" w:eastAsia="仿宋_GB2312" w:hAnsi="Times New Roman" w:cs="仿宋_GB2312" w:hint="eastAsia"/>
          <w:b/>
          <w:bCs/>
          <w:sz w:val="32"/>
          <w:szCs w:val="32"/>
          <w:lang w:val="en-US" w:eastAsia="zh-CN"/>
        </w:rPr>
        <w:t>（三）</w:t>
      </w:r>
      <w:r>
        <w:rPr>
          <w:rFonts w:ascii="Times New Roman" w:eastAsia="楷体_GB2312" w:hAnsi="Times New Roman" w:cs="楷体_GB2312" w:hint="eastAsia"/>
          <w:b/>
          <w:bCs/>
          <w:sz w:val="32"/>
          <w:szCs w:val="32"/>
          <w:lang w:val="en-US" w:eastAsia="zh-CN"/>
        </w:rPr>
        <w:t>聚焦主责主业，为全市法治工作高质量发展提供坚强纪律保障。一是</w:t>
      </w:r>
      <w:r>
        <w:rPr>
          <w:rFonts w:ascii="Times New Roman" w:eastAsia="仿宋_GB2312" w:hAnsi="Times New Roman" w:cs="仿宋_GB2312" w:hint="eastAsia"/>
          <w:color w:val="auto"/>
          <w:sz w:val="32"/>
          <w:szCs w:val="32"/>
          <w:highlight w:val="none"/>
          <w:lang w:val="en-US" w:eastAsia="zh-CN"/>
        </w:rPr>
        <w:t>坚决做到上级决策部署和市委重点工作安排到哪里，监督检查就跟进到哪里。完善党委（党组）责任指引清单，主动约谈</w:t>
      </w:r>
      <w:r>
        <w:rPr>
          <w:rFonts w:ascii="Times New Roman" w:eastAsia="仿宋_GB2312" w:hAnsi="Times New Roman" w:cs="Times New Roman" w:hint="default"/>
          <w:color w:val="auto"/>
          <w:sz w:val="32"/>
          <w:szCs w:val="32"/>
          <w:highlight w:val="none"/>
          <w:lang w:val="en-US" w:eastAsia="zh-CN"/>
        </w:rPr>
        <w:t>“</w:t>
      </w:r>
      <w:r>
        <w:rPr>
          <w:rFonts w:ascii="Times New Roman" w:eastAsia="仿宋_GB2312" w:hAnsi="Times New Roman" w:cs="仿宋_GB2312" w:hint="eastAsia"/>
          <w:color w:val="auto"/>
          <w:sz w:val="32"/>
          <w:szCs w:val="32"/>
          <w:highlight w:val="none"/>
          <w:lang w:val="en-US" w:eastAsia="zh-CN"/>
        </w:rPr>
        <w:t>关键少数</w:t>
      </w:r>
      <w:r>
        <w:rPr>
          <w:rFonts w:ascii="Times New Roman" w:eastAsia="仿宋_GB2312" w:hAnsi="Times New Roman" w:cs="Times New Roman" w:hint="default"/>
          <w:color w:val="auto"/>
          <w:sz w:val="32"/>
          <w:szCs w:val="32"/>
          <w:highlight w:val="none"/>
          <w:lang w:val="en-US" w:eastAsia="zh-CN"/>
        </w:rPr>
        <w:t>”“</w:t>
      </w:r>
      <w:r>
        <w:rPr>
          <w:rFonts w:ascii="Times New Roman" w:eastAsia="仿宋_GB2312" w:hAnsi="Times New Roman" w:cs="仿宋_GB2312" w:hint="eastAsia"/>
          <w:color w:val="auto"/>
          <w:sz w:val="32"/>
          <w:szCs w:val="32"/>
          <w:highlight w:val="none"/>
          <w:lang w:val="en-US" w:eastAsia="zh-CN"/>
        </w:rPr>
        <w:t>关键岗位</w:t>
      </w:r>
      <w:r>
        <w:rPr>
          <w:rFonts w:ascii="Times New Roman" w:eastAsia="仿宋_GB2312" w:hAnsi="Times New Roman" w:cs="Times New Roman" w:hint="default"/>
          <w:color w:val="auto"/>
          <w:sz w:val="32"/>
          <w:szCs w:val="32"/>
          <w:highlight w:val="none"/>
          <w:lang w:val="en-US" w:eastAsia="zh-CN"/>
        </w:rPr>
        <w:t>”</w:t>
      </w:r>
      <w:r>
        <w:rPr>
          <w:rFonts w:ascii="Times New Roman" w:eastAsia="仿宋_GB2312" w:hAnsi="Times New Roman" w:cs="仿宋_GB2312" w:hint="eastAsia"/>
          <w:color w:val="auto"/>
          <w:sz w:val="32"/>
          <w:szCs w:val="32"/>
          <w:highlight w:val="none"/>
          <w:lang w:val="en-US" w:eastAsia="zh-CN"/>
        </w:rPr>
        <w:t>人员，督促分管领域内各级党组织主动扛起学法用法的政治责任。</w:t>
      </w:r>
      <w:r>
        <w:rPr>
          <w:rFonts w:ascii="Times New Roman" w:eastAsia="仿宋_GB2312" w:hAnsi="Times New Roman" w:cs="仿宋_GB2312" w:hint="eastAsia"/>
          <w:b/>
          <w:bCs/>
          <w:sz w:val="32"/>
          <w:szCs w:val="32"/>
          <w:lang w:val="en-US" w:eastAsia="zh-CN"/>
        </w:rPr>
        <w:t>二是</w:t>
      </w:r>
      <w:r>
        <w:rPr>
          <w:rFonts w:ascii="Times New Roman" w:eastAsia="仿宋_GB2312" w:hAnsi="Times New Roman" w:cs="仿宋_GB2312" w:hint="eastAsia"/>
          <w:color w:val="auto"/>
          <w:sz w:val="32"/>
          <w:szCs w:val="32"/>
          <w:highlight w:val="none"/>
          <w:lang w:val="en-US" w:eastAsia="zh-CN"/>
        </w:rPr>
        <w:t>紧盯重点问题、重点对象、重点领域，接收信访举报、处置问题线索，持续保持高压态势推动全面从严治党。</w:t>
      </w:r>
      <w:r>
        <w:rPr>
          <w:rFonts w:ascii="Times New Roman" w:eastAsia="仿宋_GB2312" w:hAnsi="Times New Roman" w:cs="仿宋_GB2312" w:hint="eastAsia"/>
          <w:b/>
          <w:bCs/>
          <w:color w:val="auto"/>
          <w:sz w:val="32"/>
          <w:szCs w:val="32"/>
          <w:highlight w:val="none"/>
          <w:lang w:val="en-US" w:eastAsia="zh-CN"/>
        </w:rPr>
        <w:t>三是</w:t>
      </w:r>
      <w:r>
        <w:rPr>
          <w:rFonts w:ascii="Times New Roman" w:eastAsia="仿宋_GB2312" w:hAnsi="Times New Roman" w:cs="仿宋_GB2312" w:hint="eastAsia"/>
          <w:color w:val="auto"/>
          <w:sz w:val="32"/>
          <w:szCs w:val="32"/>
          <w:highlight w:val="none"/>
          <w:lang w:val="en-US" w:eastAsia="zh-CN"/>
        </w:rPr>
        <w:t>充分发挥人大代表联络站作用，对2025年新修订《中</w:t>
      </w:r>
      <w:r>
        <w:rPr>
          <w:rFonts w:ascii="Times New Roman" w:eastAsia="仿宋_GB2312" w:hAnsi="Times New Roman" w:cs="仿宋_GB2312" w:hint="eastAsia"/>
          <w:color w:val="auto"/>
          <w:spacing w:val="-6"/>
          <w:sz w:val="32"/>
          <w:szCs w:val="32"/>
          <w:highlight w:val="none"/>
          <w:lang w:val="en-US" w:eastAsia="zh-CN"/>
        </w:rPr>
        <w:t>华人民共和国监察法》提出3条修改意见，以实际行动推动科学立法。</w:t>
      </w:r>
    </w:p>
    <w:p>
      <w:pPr>
        <w:keepNext w:val="0"/>
        <w:keepLines w:val="0"/>
        <w:pageBreakBefore w:val="0"/>
        <w:widowControl w:val="0"/>
        <w:numPr>
          <w:ilvl w:val="0"/>
          <w:numId w:val="0"/>
        </w:numPr>
        <w:pBdr>
          <w:top w:val="nil"/>
          <w:left w:val="nil"/>
          <w:bottom w:val="nil"/>
          <w:right w:val="nil"/>
        </w:pBdr>
        <w:kinsoku/>
        <w:wordWrap/>
        <w:overflowPunct/>
        <w:topLinePunct w:val="0"/>
        <w:autoSpaceDE/>
        <w:autoSpaceDN w:val="0"/>
        <w:bidi w:val="0"/>
        <w:adjustRightInd w:val="0"/>
        <w:snapToGrid w:val="0"/>
        <w:spacing w:beforeAutospacing="0" w:afterAutospacing="0" w:line="560" w:lineRule="exact"/>
        <w:ind w:right="0" w:firstLine="640" w:rightChars="0" w:firstLineChars="200"/>
        <w:jc w:val="both"/>
        <w:textAlignment w:val="top"/>
        <w:outlineLvl w:val="9"/>
        <w:rPr>
          <w:rFonts w:ascii="Times New Roman" w:hAnsi="Times New Roman" w:hint="eastAsia"/>
          <w:lang w:val="en-US" w:eastAsia="zh-CN"/>
        </w:rPr>
      </w:pPr>
      <w:r>
        <w:rPr>
          <w:rFonts w:ascii="Times New Roman" w:eastAsia="楷体_GB2312" w:hAnsi="Times New Roman" w:cs="楷体_GB2312" w:hint="eastAsia"/>
          <w:b/>
          <w:bCs/>
          <w:strike w:val="0"/>
          <w:dstrike w:val="0"/>
          <w:color w:val="auto"/>
          <w:sz w:val="32"/>
          <w:szCs w:val="32"/>
          <w:u w:val="none" w:color="auto"/>
          <w:lang w:val="en-US" w:eastAsia="zh-CN"/>
        </w:rPr>
        <w:t>（四）压实整改责任，以实际行动推动依法治市工作高质量发展。</w:t>
      </w:r>
      <w:r>
        <w:rPr>
          <w:rFonts w:ascii="Times New Roman" w:eastAsia="仿宋_GB2312" w:hAnsi="Times New Roman" w:cs="仿宋_GB2312" w:hint="eastAsia"/>
          <w:b/>
          <w:bCs/>
          <w:color w:val="auto"/>
          <w:kern w:val="2"/>
          <w:sz w:val="32"/>
          <w:szCs w:val="32"/>
          <w:highlight w:val="none"/>
          <w:lang w:val="en-US" w:eastAsia="zh-CN" w:bidi="ar-SA"/>
        </w:rPr>
        <w:t>一是</w:t>
      </w:r>
      <w:r>
        <w:rPr>
          <w:rFonts w:ascii="Times New Roman" w:eastAsia="仿宋_GB2312" w:hAnsi="Times New Roman" w:cs="仿宋_GB2312" w:hint="eastAsia"/>
          <w:b w:val="0"/>
          <w:bCs w:val="0"/>
          <w:color w:val="auto"/>
          <w:kern w:val="2"/>
          <w:sz w:val="32"/>
          <w:szCs w:val="32"/>
          <w:highlight w:val="none"/>
          <w:lang w:val="en-US" w:eastAsia="zh-CN" w:bidi="ar-SA"/>
        </w:rPr>
        <w:t>高度重视地区、市依法治市办法治督察反馈问题，逐条查摆，认领共性问题11条，积极落实整改。截至目前，已全部完成整改并长期坚持。</w:t>
      </w:r>
      <w:r>
        <w:rPr>
          <w:rFonts w:ascii="Times New Roman" w:eastAsia="仿宋_GB2312" w:hAnsi="Times New Roman" w:cs="仿宋_GB2312" w:hint="eastAsia"/>
          <w:color w:val="auto"/>
          <w:sz w:val="32"/>
          <w:szCs w:val="32"/>
          <w:highlight w:val="none"/>
          <w:lang w:val="en-US" w:eastAsia="zh-CN"/>
        </w:rPr>
        <w:t>立足专责监督机关定位，</w:t>
      </w:r>
      <w:r>
        <w:rPr>
          <w:rFonts w:ascii="Times New Roman" w:eastAsia="仿宋_GB2312" w:hAnsi="Times New Roman" w:cs="仿宋_GB2312" w:hint="eastAsia"/>
          <w:b w:val="0"/>
          <w:bCs w:val="0"/>
          <w:color w:val="auto"/>
          <w:kern w:val="2"/>
          <w:sz w:val="32"/>
          <w:szCs w:val="32"/>
          <w:highlight w:val="none"/>
          <w:lang w:val="en-US" w:eastAsia="zh-CN" w:bidi="ar-SA"/>
        </w:rPr>
        <w:t>认真贯彻落实法治建设</w:t>
      </w:r>
      <w:r>
        <w:rPr>
          <w:rFonts w:ascii="Times New Roman" w:eastAsia="仿宋_GB2312" w:hAnsi="Times New Roman" w:cs="Times New Roman" w:hint="default"/>
          <w:b w:val="0"/>
          <w:bCs w:val="0"/>
          <w:color w:val="auto"/>
          <w:kern w:val="2"/>
          <w:sz w:val="32"/>
          <w:szCs w:val="32"/>
          <w:highlight w:val="none"/>
          <w:lang w:val="en-US" w:eastAsia="zh-CN" w:bidi="ar-SA"/>
        </w:rPr>
        <w:t>“</w:t>
      </w:r>
      <w:r>
        <w:rPr>
          <w:rFonts w:ascii="Times New Roman" w:eastAsia="仿宋_GB2312" w:hAnsi="Times New Roman" w:cs="仿宋_GB2312" w:hint="eastAsia"/>
          <w:b w:val="0"/>
          <w:bCs w:val="0"/>
          <w:color w:val="auto"/>
          <w:kern w:val="2"/>
          <w:sz w:val="32"/>
          <w:szCs w:val="32"/>
          <w:highlight w:val="none"/>
          <w:lang w:val="en-US" w:eastAsia="zh-CN" w:bidi="ar-SA"/>
        </w:rPr>
        <w:t>一规划两纲要</w:t>
      </w:r>
      <w:r>
        <w:rPr>
          <w:rFonts w:ascii="Times New Roman" w:eastAsia="仿宋_GB2312" w:hAnsi="Times New Roman" w:cs="Times New Roman" w:hint="default"/>
          <w:b w:val="0"/>
          <w:bCs w:val="0"/>
          <w:color w:val="auto"/>
          <w:kern w:val="2"/>
          <w:sz w:val="32"/>
          <w:szCs w:val="32"/>
          <w:highlight w:val="none"/>
          <w:lang w:val="en-US" w:eastAsia="zh-CN" w:bidi="ar-SA"/>
        </w:rPr>
        <w:t>”</w:t>
      </w:r>
      <w:r>
        <w:rPr>
          <w:rFonts w:ascii="Times New Roman" w:eastAsia="仿宋_GB2312" w:hAnsi="Times New Roman" w:cs="仿宋_GB2312" w:hint="eastAsia"/>
          <w:b w:val="0"/>
          <w:bCs w:val="0"/>
          <w:color w:val="auto"/>
          <w:kern w:val="2"/>
          <w:sz w:val="32"/>
          <w:szCs w:val="32"/>
          <w:highlight w:val="none"/>
          <w:lang w:val="en-US" w:eastAsia="zh-CN" w:bidi="ar-SA"/>
        </w:rPr>
        <w:t>实施方案，加快</w:t>
      </w:r>
      <w:r>
        <w:rPr>
          <w:rFonts w:ascii="Times New Roman" w:eastAsia="仿宋_GB2312" w:hAnsi="Times New Roman" w:cs="Times New Roman" w:hint="default"/>
          <w:b w:val="0"/>
          <w:bCs w:val="0"/>
          <w:color w:val="auto"/>
          <w:kern w:val="2"/>
          <w:sz w:val="32"/>
          <w:szCs w:val="32"/>
          <w:highlight w:val="none"/>
          <w:lang w:val="en-US" w:eastAsia="zh-CN" w:bidi="ar-SA"/>
        </w:rPr>
        <w:t>“</w:t>
      </w:r>
      <w:r>
        <w:rPr>
          <w:rFonts w:ascii="Times New Roman" w:eastAsia="仿宋_GB2312" w:hAnsi="Times New Roman" w:cs="仿宋_GB2312" w:hint="eastAsia"/>
          <w:b w:val="0"/>
          <w:bCs w:val="0"/>
          <w:color w:val="auto"/>
          <w:kern w:val="2"/>
          <w:sz w:val="32"/>
          <w:szCs w:val="32"/>
          <w:highlight w:val="none"/>
          <w:lang w:val="en-US" w:eastAsia="zh-CN" w:bidi="ar-SA"/>
        </w:rPr>
        <w:t>法治中国建设</w:t>
      </w:r>
      <w:r>
        <w:rPr>
          <w:rFonts w:ascii="Times New Roman" w:eastAsia="仿宋_GB2312" w:hAnsi="Times New Roman" w:cs="Times New Roman" w:hint="default"/>
          <w:b w:val="0"/>
          <w:bCs w:val="0"/>
          <w:color w:val="auto"/>
          <w:kern w:val="2"/>
          <w:sz w:val="32"/>
          <w:szCs w:val="32"/>
          <w:highlight w:val="none"/>
          <w:lang w:val="en-US" w:eastAsia="zh-CN" w:bidi="ar-SA"/>
        </w:rPr>
        <w:t>”</w:t>
      </w:r>
      <w:r>
        <w:rPr>
          <w:rFonts w:ascii="Times New Roman" w:eastAsia="仿宋_GB2312" w:hAnsi="Times New Roman" w:cs="仿宋_GB2312" w:hint="eastAsia"/>
          <w:b w:val="0"/>
          <w:bCs w:val="0"/>
          <w:color w:val="auto"/>
          <w:kern w:val="2"/>
          <w:sz w:val="32"/>
          <w:szCs w:val="32"/>
          <w:highlight w:val="none"/>
          <w:lang w:val="en-US" w:eastAsia="zh-CN" w:bidi="ar-SA"/>
        </w:rPr>
        <w:t>任务落实进度，截至目前，已完成全部工作任务，并不断完善相关制度规定。</w:t>
      </w:r>
      <w:r>
        <w:rPr>
          <w:rFonts w:ascii="Times New Roman" w:eastAsia="仿宋_GB2312" w:hAnsi="Times New Roman" w:cs="仿宋_GB2312" w:hint="eastAsia"/>
          <w:b/>
          <w:bCs/>
          <w:color w:val="auto"/>
          <w:kern w:val="2"/>
          <w:sz w:val="32"/>
          <w:szCs w:val="32"/>
          <w:highlight w:val="none"/>
          <w:lang w:val="en-US" w:eastAsia="zh-CN" w:bidi="ar-SA"/>
        </w:rPr>
        <w:t>三是</w:t>
      </w:r>
      <w:r>
        <w:rPr>
          <w:rFonts w:ascii="Times New Roman" w:eastAsia="仿宋_GB2312" w:hAnsi="Times New Roman" w:cs="仿宋_GB2312" w:hint="eastAsia"/>
          <w:b w:val="0"/>
          <w:bCs w:val="0"/>
          <w:color w:val="auto"/>
          <w:kern w:val="2"/>
          <w:sz w:val="32"/>
          <w:szCs w:val="32"/>
          <w:highlight w:val="none"/>
          <w:lang w:val="en-US" w:eastAsia="zh-CN" w:bidi="ar-SA"/>
        </w:rPr>
        <w:t>将法治督察反馈问题整改情况列入监督内容，督促相关单位压实责任，提高整改实效。及时受理司法部门移交问题线索，对纸面整改、边改边犯、应付了事等反映干部作风问题线索严肃查处。</w:t>
      </w:r>
    </w:p>
    <w:p>
      <w:pPr>
        <w:keepNext w:val="0"/>
        <w:keepLines w:val="0"/>
        <w:pageBreakBefore w:val="0"/>
        <w:widowControl w:val="0"/>
        <w:numPr>
          <w:ilvl w:val="0"/>
          <w:numId w:val="0"/>
        </w:numPr>
        <w:pBdr>
          <w:top w:val="nil"/>
          <w:left w:val="nil"/>
          <w:bottom w:val="nil"/>
          <w:right w:val="nil"/>
        </w:pBdr>
        <w:kinsoku/>
        <w:wordWrap/>
        <w:overflowPunct/>
        <w:topLinePunct w:val="0"/>
        <w:autoSpaceDE/>
        <w:autoSpaceDN w:val="0"/>
        <w:bidi w:val="0"/>
        <w:adjustRightInd w:val="0"/>
        <w:snapToGrid w:val="0"/>
        <w:spacing w:beforeAutospacing="0" w:afterAutospacing="0" w:line="560" w:lineRule="exact"/>
        <w:ind w:right="0" w:firstLine="640" w:rightChars="0" w:firstLineChars="200"/>
        <w:jc w:val="both"/>
        <w:textAlignment w:val="top"/>
        <w:outlineLvl w:val="9"/>
        <w:rPr>
          <w:rFonts w:ascii="Times New Roman" w:eastAsia="黑体" w:hAnsi="Times New Roman" w:cs="黑体" w:hint="eastAsia"/>
          <w:b w:val="0"/>
          <w:bCs/>
          <w:color w:val="444444"/>
          <w:kern w:val="0"/>
          <w:sz w:val="32"/>
          <w:szCs w:val="32"/>
          <w:shd w:val="clear" w:color="auto" w:fill="FFFFFF"/>
          <w:lang w:val="en-US" w:eastAsia="zh-CN" w:bidi="ar"/>
        </w:rPr>
      </w:pPr>
      <w:r>
        <w:rPr>
          <w:rFonts w:ascii="Times New Roman" w:eastAsia="黑体" w:hAnsi="Times New Roman" w:cs="黑体" w:hint="eastAsia"/>
          <w:b w:val="0"/>
          <w:bCs/>
          <w:color w:val="444444"/>
          <w:kern w:val="0"/>
          <w:sz w:val="32"/>
          <w:szCs w:val="32"/>
          <w:shd w:val="clear" w:color="auto" w:fill="FFFFFF"/>
          <w:lang w:val="en-US" w:eastAsia="zh-CN" w:bidi="ar"/>
        </w:rPr>
        <w:t>二、下一步工作</w:t>
      </w:r>
    </w:p>
    <w:p>
      <w:pPr>
        <w:keepNext w:val="0"/>
        <w:keepLines w:val="0"/>
        <w:pageBreakBefore w:val="0"/>
        <w:widowControl w:val="0"/>
        <w:numPr>
          <w:ilvl w:val="0"/>
          <w:numId w:val="0"/>
        </w:numPr>
        <w:pBdr>
          <w:top w:val="nil"/>
          <w:left w:val="nil"/>
          <w:bottom w:val="nil"/>
          <w:right w:val="nil"/>
        </w:pBdr>
        <w:kinsoku/>
        <w:wordWrap/>
        <w:overflowPunct/>
        <w:topLinePunct w:val="0"/>
        <w:autoSpaceDE/>
        <w:autoSpaceDN w:val="0"/>
        <w:bidi w:val="0"/>
        <w:adjustRightInd w:val="0"/>
        <w:snapToGrid w:val="0"/>
        <w:spacing w:beforeAutospacing="0" w:afterAutospacing="0" w:line="560" w:lineRule="exact"/>
        <w:ind w:right="0" w:firstLine="640" w:rightChars="0" w:firstLineChars="200"/>
        <w:jc w:val="both"/>
        <w:textAlignment w:val="top"/>
        <w:outlineLvl w:val="9"/>
        <w:rPr>
          <w:rFonts w:ascii="Times New Roman" w:hAnsi="Times New Roman" w:hint="eastAsia"/>
          <w:lang w:val="en-US" w:eastAsia="zh-CN"/>
        </w:rPr>
      </w:pPr>
      <w:r>
        <w:rPr>
          <w:rFonts w:ascii="Times New Roman" w:eastAsia="仿宋_GB2312" w:hAnsi="Times New Roman" w:cs="Times New Roman" w:hint="eastAsia"/>
          <w:sz w:val="32"/>
          <w:szCs w:val="32"/>
          <w:lang w:val="en-US" w:eastAsia="zh-CN"/>
        </w:rPr>
        <w:t>下一步，我将继续加强法治学习，提高对国家法律法规和规章认识的广度和深度，做到学有所悟、用有所得。</w:t>
      </w:r>
      <w:r>
        <w:rPr>
          <w:rFonts w:ascii="Times New Roman" w:eastAsia="仿宋_GB2312" w:hAnsi="Times New Roman" w:cs="仿宋_GB2312" w:hint="eastAsia"/>
          <w:b/>
          <w:bCs/>
          <w:sz w:val="32"/>
          <w:szCs w:val="32"/>
          <w:lang w:val="en-US" w:eastAsia="zh-CN"/>
        </w:rPr>
        <w:t>一是</w:t>
      </w:r>
      <w:r>
        <w:rPr>
          <w:rFonts w:ascii="Times New Roman" w:eastAsia="仿宋_GB2312" w:hAnsi="Times New Roman" w:cs="仿宋_GB2312" w:hint="eastAsia"/>
          <w:sz w:val="32"/>
          <w:szCs w:val="32"/>
          <w:lang w:val="en-US" w:eastAsia="zh-CN"/>
        </w:rPr>
        <w:t>切实增强做好法治建设工作的政治自觉，思想自觉和行动自觉。加强法治教育培训，注重学法用法能力培养，提高纪检监察干部法治思维创新能</w:t>
      </w:r>
      <w:bookmarkStart w:id="0" w:name="_GoBack"/>
      <w:bookmarkEnd w:id="0"/>
      <w:r>
        <w:rPr>
          <w:rFonts w:ascii="Times New Roman" w:eastAsia="仿宋_GB2312" w:hAnsi="Times New Roman" w:cs="仿宋_GB2312" w:hint="eastAsia"/>
          <w:sz w:val="32"/>
          <w:szCs w:val="32"/>
          <w:lang w:val="en-US" w:eastAsia="zh-CN"/>
        </w:rPr>
        <w:t>力。</w:t>
      </w:r>
      <w:r>
        <w:rPr>
          <w:rFonts w:ascii="Times New Roman" w:eastAsia="仿宋_GB2312" w:hAnsi="Times New Roman" w:cs="仿宋_GB2312" w:hint="eastAsia"/>
          <w:b/>
          <w:bCs/>
          <w:sz w:val="32"/>
          <w:szCs w:val="32"/>
          <w:lang w:val="en-US" w:eastAsia="zh-CN"/>
        </w:rPr>
        <w:t>二是</w:t>
      </w:r>
      <w:r>
        <w:rPr>
          <w:rFonts w:ascii="Times New Roman" w:eastAsia="仿宋_GB2312" w:hAnsi="Times New Roman" w:cs="仿宋_GB2312" w:hint="eastAsia"/>
          <w:sz w:val="32"/>
          <w:szCs w:val="32"/>
          <w:lang w:val="en-US" w:eastAsia="zh-CN"/>
        </w:rPr>
        <w:t>强化纪法思维，严格工作规程，健全内控机制，推动监督工作在法治轨道上规范运行。</w:t>
      </w:r>
    </w:p>
    <w:p>
      <w:pPr>
        <w:keepNext w:val="0"/>
        <w:keepLines w:val="0"/>
        <w:pageBreakBefore w:val="0"/>
        <w:widowControl w:val="0"/>
        <w:numPr>
          <w:ilvl w:val="0"/>
          <w:numId w:val="0"/>
        </w:numPr>
        <w:pBdr>
          <w:top w:val="nil"/>
          <w:left w:val="nil"/>
          <w:bottom w:val="nil"/>
          <w:right w:val="nil"/>
        </w:pBdr>
        <w:kinsoku/>
        <w:wordWrap/>
        <w:overflowPunct/>
        <w:topLinePunct w:val="0"/>
        <w:autoSpaceDE/>
        <w:autoSpaceDN w:val="0"/>
        <w:bidi w:val="0"/>
        <w:adjustRightInd w:val="0"/>
        <w:snapToGrid w:val="0"/>
        <w:spacing w:beforeAutospacing="0" w:afterAutospacing="0" w:line="560" w:lineRule="exact"/>
        <w:ind w:right="0" w:firstLine="960" w:rightChars="0" w:firstLineChars="300"/>
        <w:jc w:val="both"/>
        <w:textAlignment w:val="top"/>
        <w:outlineLvl w:val="9"/>
        <w:rPr>
          <w:rFonts w:ascii="Times New Roman" w:eastAsia="仿宋_GB2312" w:hAnsi="Times New Roman" w:cs="Times New Roman" w:hint="eastAsia"/>
          <w:sz w:val="32"/>
          <w:szCs w:val="32"/>
          <w:lang w:val="en-US" w:eastAsia="zh-CN"/>
        </w:rPr>
      </w:pPr>
    </w:p>
    <w:p>
      <w:pPr>
        <w:keepNext w:val="0"/>
        <w:keepLines w:val="0"/>
        <w:pageBreakBefore w:val="0"/>
        <w:widowControl w:val="0"/>
        <w:numPr>
          <w:ilvl w:val="0"/>
          <w:numId w:val="0"/>
        </w:numPr>
        <w:pBdr>
          <w:top w:val="nil"/>
          <w:left w:val="nil"/>
          <w:bottom w:val="nil"/>
          <w:right w:val="nil"/>
        </w:pBdr>
        <w:kinsoku/>
        <w:wordWrap/>
        <w:overflowPunct/>
        <w:topLinePunct w:val="0"/>
        <w:autoSpaceDE/>
        <w:autoSpaceDN w:val="0"/>
        <w:bidi w:val="0"/>
        <w:adjustRightInd w:val="0"/>
        <w:snapToGrid w:val="0"/>
        <w:spacing w:beforeAutospacing="0" w:afterAutospacing="0" w:line="560" w:lineRule="exact"/>
        <w:ind w:right="0" w:firstLine="960" w:rightChars="0" w:firstLineChars="300"/>
        <w:jc w:val="both"/>
        <w:textAlignment w:val="top"/>
        <w:outlineLvl w:val="9"/>
        <w:rPr>
          <w:rFonts w:ascii="Times New Roman" w:eastAsia="仿宋_GB2312" w:hAnsi="Times New Roman" w:cs="Times New Roman" w:hint="eastAsia"/>
          <w:sz w:val="32"/>
          <w:szCs w:val="32"/>
          <w:lang w:val="en-US" w:eastAsia="zh-CN"/>
        </w:rPr>
      </w:pPr>
    </w:p>
    <w:p>
      <w:pPr>
        <w:keepNext w:val="0"/>
        <w:keepLines w:val="0"/>
        <w:pageBreakBefore w:val="0"/>
        <w:widowControl w:val="0"/>
        <w:numPr>
          <w:ilvl w:val="0"/>
          <w:numId w:val="0"/>
        </w:numPr>
        <w:pBdr>
          <w:top w:val="nil"/>
          <w:left w:val="nil"/>
          <w:bottom w:val="nil"/>
          <w:right w:val="nil"/>
        </w:pBdr>
        <w:kinsoku/>
        <w:wordWrap/>
        <w:overflowPunct/>
        <w:topLinePunct w:val="0"/>
        <w:autoSpaceDE/>
        <w:autoSpaceDN w:val="0"/>
        <w:bidi w:val="0"/>
        <w:adjustRightInd w:val="0"/>
        <w:snapToGrid w:val="0"/>
        <w:spacing w:beforeAutospacing="0" w:afterAutospacing="0" w:line="560" w:lineRule="exact"/>
        <w:ind w:right="0" w:firstLine="3840" w:rightChars="0" w:firstLineChars="1200"/>
        <w:jc w:val="both"/>
        <w:textAlignment w:val="top"/>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中共乌苏市纪律检查委员会</w:t>
      </w:r>
    </w:p>
    <w:p>
      <w:pPr>
        <w:keepNext w:val="0"/>
        <w:keepLines w:val="0"/>
        <w:pageBreakBefore w:val="0"/>
        <w:widowControl w:val="0"/>
        <w:numPr>
          <w:ilvl w:val="0"/>
          <w:numId w:val="0"/>
        </w:numPr>
        <w:pBdr>
          <w:top w:val="nil"/>
          <w:left w:val="nil"/>
          <w:bottom w:val="nil"/>
          <w:right w:val="nil"/>
        </w:pBdr>
        <w:kinsoku/>
        <w:wordWrap/>
        <w:overflowPunct/>
        <w:topLinePunct w:val="0"/>
        <w:autoSpaceDE/>
        <w:autoSpaceDN w:val="0"/>
        <w:bidi w:val="0"/>
        <w:adjustRightInd w:val="0"/>
        <w:snapToGrid w:val="0"/>
        <w:spacing w:beforeAutospacing="0" w:afterAutospacing="0" w:line="560" w:lineRule="exact"/>
        <w:ind w:right="0" w:firstLine="4480" w:rightChars="0" w:firstLineChars="1400"/>
        <w:jc w:val="both"/>
        <w:textAlignment w:val="top"/>
        <w:outlineLvl w:val="9"/>
        <w:rPr>
          <w:rFonts w:ascii="Times New Roman" w:eastAsia="仿宋_GB2312" w:hAnsi="Times New Roman" w:cs="Times New Roman" w:hint="eastAsia"/>
          <w:sz w:val="32"/>
          <w:szCs w:val="32"/>
          <w:lang w:val="en-US" w:eastAsia="zh-CN"/>
        </w:rPr>
      </w:pPr>
      <w:r>
        <w:rPr>
          <w:rFonts w:ascii="Times New Roman" w:eastAsia="仿宋_GB2312" w:hAnsi="Times New Roman" w:cs="Times New Roman" w:hint="eastAsia"/>
          <w:sz w:val="32"/>
          <w:szCs w:val="32"/>
          <w:lang w:val="en-US" w:eastAsia="zh-CN"/>
        </w:rPr>
        <w:t>乌苏市监察委员会</w:t>
      </w:r>
    </w:p>
    <w:p>
      <w:pPr>
        <w:keepNext w:val="0"/>
        <w:keepLines w:val="0"/>
        <w:pageBreakBefore w:val="0"/>
        <w:widowControl w:val="0"/>
        <w:numPr>
          <w:ilvl w:val="0"/>
          <w:numId w:val="0"/>
        </w:numPr>
        <w:pBdr>
          <w:top w:val="nil"/>
          <w:left w:val="nil"/>
          <w:bottom w:val="nil"/>
          <w:right w:val="nil"/>
        </w:pBdr>
        <w:kinsoku/>
        <w:wordWrap/>
        <w:overflowPunct/>
        <w:topLinePunct w:val="0"/>
        <w:autoSpaceDE/>
        <w:autoSpaceDN w:val="0"/>
        <w:bidi w:val="0"/>
        <w:adjustRightInd w:val="0"/>
        <w:snapToGrid w:val="0"/>
        <w:spacing w:beforeAutospacing="0" w:afterAutospacing="0" w:line="560" w:lineRule="exact"/>
        <w:ind w:right="0" w:firstLine="4800" w:rightChars="0" w:firstLineChars="1500"/>
        <w:jc w:val="both"/>
        <w:textAlignment w:val="top"/>
        <w:outlineLvl w:val="9"/>
        <w:rPr>
          <w:rFonts w:ascii="Times New Roman" w:eastAsia="仿宋_GB2312" w:hAnsi="Times New Roman" w:cs="仿宋_GB2312" w:hint="eastAsia"/>
          <w:color w:val="000000"/>
          <w:sz w:val="32"/>
          <w:szCs w:val="32"/>
          <w:shd w:val="clear" w:color="auto" w:fill="FFFFFF"/>
        </w:rPr>
      </w:pPr>
      <w:r>
        <w:rPr>
          <w:rFonts w:ascii="Times New Roman" w:eastAsia="仿宋_GB2312" w:hAnsi="Times New Roman" w:cs="仿宋_GB2312" w:hint="eastAsia"/>
          <w:color w:val="444444"/>
          <w:kern w:val="0"/>
          <w:sz w:val="32"/>
          <w:szCs w:val="32"/>
          <w:shd w:val="clear" w:color="auto" w:fill="FFFFFF"/>
          <w:lang w:bidi="ar"/>
        </w:rPr>
        <w:t>202</w:t>
      </w:r>
      <w:r>
        <w:rPr>
          <w:rFonts w:ascii="Times New Roman" w:eastAsia="仿宋_GB2312" w:hAnsi="Times New Roman" w:cs="仿宋_GB2312" w:hint="eastAsia"/>
          <w:color w:val="444444"/>
          <w:kern w:val="0"/>
          <w:sz w:val="32"/>
          <w:szCs w:val="32"/>
          <w:shd w:val="clear" w:color="auto" w:fill="FFFFFF"/>
          <w:lang w:val="en-US" w:eastAsia="zh-CN" w:bidi="ar"/>
        </w:rPr>
        <w:t>4</w:t>
      </w:r>
      <w:r>
        <w:rPr>
          <w:rFonts w:ascii="Times New Roman" w:eastAsia="仿宋_GB2312" w:hAnsi="Times New Roman" w:cs="仿宋_GB2312" w:hint="eastAsia"/>
          <w:color w:val="444444"/>
          <w:kern w:val="0"/>
          <w:sz w:val="32"/>
          <w:szCs w:val="32"/>
          <w:shd w:val="clear" w:color="auto" w:fill="FFFFFF"/>
          <w:lang w:bidi="ar"/>
        </w:rPr>
        <w:t>年</w:t>
      </w:r>
      <w:r>
        <w:rPr>
          <w:rFonts w:ascii="Times New Roman" w:eastAsia="仿宋_GB2312" w:hAnsi="Times New Roman" w:cs="仿宋_GB2312" w:hint="eastAsia"/>
          <w:color w:val="444444"/>
          <w:kern w:val="0"/>
          <w:sz w:val="32"/>
          <w:szCs w:val="32"/>
          <w:shd w:val="clear" w:color="auto" w:fill="FFFFFF"/>
          <w:lang w:val="en-US" w:eastAsia="zh-CN" w:bidi="ar"/>
        </w:rPr>
        <w:t>12</w:t>
      </w:r>
      <w:r>
        <w:rPr>
          <w:rFonts w:ascii="Times New Roman" w:eastAsia="仿宋_GB2312" w:hAnsi="Times New Roman" w:cs="仿宋_GB2312" w:hint="eastAsia"/>
          <w:color w:val="444444"/>
          <w:kern w:val="0"/>
          <w:sz w:val="32"/>
          <w:szCs w:val="32"/>
          <w:shd w:val="clear" w:color="auto" w:fill="FFFFFF"/>
          <w:lang w:bidi="ar"/>
        </w:rPr>
        <w:t>月</w:t>
      </w:r>
      <w:r>
        <w:rPr>
          <w:rFonts w:ascii="Times New Roman" w:eastAsia="仿宋_GB2312" w:hAnsi="Times New Roman" w:cs="仿宋_GB2312" w:hint="eastAsia"/>
          <w:color w:val="444444"/>
          <w:kern w:val="0"/>
          <w:sz w:val="32"/>
          <w:szCs w:val="32"/>
          <w:shd w:val="clear" w:color="auto" w:fill="FFFFFF"/>
          <w:lang w:val="en-US" w:eastAsia="zh-CN" w:bidi="ar"/>
        </w:rPr>
        <w:t>27</w:t>
      </w:r>
      <w:r>
        <w:rPr>
          <w:rFonts w:ascii="Times New Roman" w:eastAsia="仿宋_GB2312" w:hAnsi="Times New Roman" w:cs="仿宋_GB2312" w:hint="eastAsia"/>
          <w:color w:val="444444"/>
          <w:kern w:val="0"/>
          <w:sz w:val="32"/>
          <w:szCs w:val="32"/>
          <w:shd w:val="clear" w:color="auto" w:fill="FFFFFF"/>
          <w:lang w:bidi="ar"/>
        </w:rPr>
        <w:t>日</w:t>
      </w:r>
    </w:p>
    <w:sectPr>
      <w:headerReference w:type="even" r:id="rId5"/>
      <w:footerReference w:type="even" r:id="rId6"/>
      <w:footerReference w:type="default" r:id="rId7"/>
      <w:headerReference w:type="first" r:id="rId8"/>
      <w:footerReference w:type="first" r:id="rId9"/>
      <w:pgSz w:w="11906" w:h="16838"/>
      <w:pgMar w:top="1701" w:right="1440" w:bottom="1701" w:left="1440" w:header="851" w:footer="1531" w:gutter="0"/>
      <w:pgNumType w:fmt="numberInDash"/>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posOffset>2964180</wp:posOffset>
              </wp:positionH>
              <wp:positionV relativeFrom="paragraph">
                <wp:posOffset>-76200</wp:posOffset>
              </wp:positionV>
              <wp:extent cx="1828800" cy="25781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Theme="minorEastAsia" w:hint="eastAsia"/>
                              <w:lang w:eastAsia="zh-CN"/>
                            </w:rPr>
                          </w:pPr>
                          <w:r>
                            <w:rPr>
                              <w:rFonts w:asciiTheme="minorEastAsia" w:eastAsiaTheme="minorEastAsia" w:hAnsiTheme="minorEastAsia" w:cstheme="minorEastAsia" w:hint="eastAsia"/>
                              <w:sz w:val="28"/>
                              <w:szCs w:val="28"/>
                              <w:lang w:eastAsia="zh-CN"/>
                            </w:rPr>
                            <w:fldChar w:fldCharType="begin"/>
                          </w:r>
                          <w:r>
                            <w:rPr>
                              <w:rFonts w:asciiTheme="minorEastAsia" w:eastAsiaTheme="minorEastAsia" w:hAnsiTheme="minorEastAsia" w:cstheme="minorEastAsia" w:hint="eastAsia"/>
                              <w:sz w:val="28"/>
                              <w:szCs w:val="28"/>
                              <w:lang w:eastAsia="zh-CN"/>
                            </w:rPr>
                            <w:instrText xml:space="preserve"> PAGE  \* MERGEFORMAT </w:instrText>
                          </w:r>
                          <w:r>
                            <w:rPr>
                              <w:rFonts w:asciiTheme="minorEastAsia" w:eastAsiaTheme="minorEastAsia" w:hAnsiTheme="minorEastAsia" w:cstheme="minorEastAsia" w:hint="eastAsia"/>
                              <w:sz w:val="28"/>
                              <w:szCs w:val="28"/>
                              <w:lang w:eastAsia="zh-CN"/>
                            </w:rPr>
                            <w:fldChar w:fldCharType="separate"/>
                          </w:r>
                          <w:r>
                            <w:rPr>
                              <w:rFonts w:asciiTheme="minorEastAsia" w:eastAsiaTheme="minorEastAsia" w:hAnsiTheme="minorEastAsia" w:cstheme="minorEastAsia" w:hint="eastAsia"/>
                              <w:sz w:val="28"/>
                              <w:szCs w:val="28"/>
                              <w:lang w:eastAsia="zh-CN"/>
                            </w:rPr>
                            <w:t>1</w:t>
                          </w:r>
                          <w:r>
                            <w:rPr>
                              <w:rFonts w:asciiTheme="minorEastAsia" w:eastAsiaTheme="minorEastAsia" w:hAnsiTheme="minorEastAsia" w:cstheme="minorEastAsia"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0.3pt;margin-top:-6pt;margin-left:233.4pt;mso-height-relative:page;mso-position-horizontal-relative:margin;mso-width-relative:page;mso-wrap-style:none;position:absolute;z-index:251659264" coordsize="21600,21600" filled="f" stroked="f" strokeweight="0.5pt">
              <o:lock v:ext="edit" aspectratio="f"/>
              <v:textbox inset="0,0,0,0">
                <w:txbxContent>
                  <w:p>
                    <w:pPr>
                      <w:pStyle w:val="Footer"/>
                      <w:rPr>
                        <w:rFonts w:eastAsiaTheme="minorEastAsia" w:hint="eastAsia"/>
                        <w:lang w:eastAsia="zh-CN"/>
                      </w:rPr>
                    </w:pPr>
                    <w:r>
                      <w:rPr>
                        <w:rFonts w:asciiTheme="minorEastAsia" w:eastAsiaTheme="minorEastAsia" w:hAnsiTheme="minorEastAsia" w:cstheme="minorEastAsia" w:hint="eastAsia"/>
                        <w:sz w:val="28"/>
                        <w:szCs w:val="28"/>
                        <w:lang w:eastAsia="zh-CN"/>
                      </w:rPr>
                      <w:fldChar w:fldCharType="begin"/>
                    </w:r>
                    <w:r>
                      <w:rPr>
                        <w:rFonts w:asciiTheme="minorEastAsia" w:eastAsiaTheme="minorEastAsia" w:hAnsiTheme="minorEastAsia" w:cstheme="minorEastAsia" w:hint="eastAsia"/>
                        <w:sz w:val="28"/>
                        <w:szCs w:val="28"/>
                        <w:lang w:eastAsia="zh-CN"/>
                      </w:rPr>
                      <w:instrText xml:space="preserve"> PAGE  \* MERGEFORMAT </w:instrText>
                    </w:r>
                    <w:r>
                      <w:rPr>
                        <w:rFonts w:asciiTheme="minorEastAsia" w:eastAsiaTheme="minorEastAsia" w:hAnsiTheme="minorEastAsia" w:cstheme="minorEastAsia" w:hint="eastAsia"/>
                        <w:sz w:val="28"/>
                        <w:szCs w:val="28"/>
                        <w:lang w:eastAsia="zh-CN"/>
                      </w:rPr>
                      <w:fldChar w:fldCharType="separate"/>
                    </w:r>
                    <w:r>
                      <w:rPr>
                        <w:rFonts w:asciiTheme="minorEastAsia" w:eastAsiaTheme="minorEastAsia" w:hAnsiTheme="minorEastAsia" w:cstheme="minorEastAsia" w:hint="eastAsia"/>
                        <w:sz w:val="28"/>
                        <w:szCs w:val="28"/>
                        <w:lang w:eastAsia="zh-CN"/>
                      </w:rPr>
                      <w:t>1</w:t>
                    </w:r>
                    <w:r>
                      <w:rPr>
                        <w:rFonts w:asciiTheme="minorEastAsia" w:eastAsiaTheme="minorEastAsia" w:hAnsiTheme="minorEastAsia" w:cstheme="minorEastAsia" w:hint="eastAsia"/>
                        <w:sz w:val="28"/>
                        <w:szCs w:val="28"/>
                        <w:lang w:eastAsia="zh-CN"/>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E7"/>
    <w:rsid w:val="00440EE7"/>
    <w:rsid w:val="00C748D2"/>
    <w:rsid w:val="05731042"/>
    <w:rsid w:val="07E85306"/>
    <w:rsid w:val="122303DB"/>
    <w:rsid w:val="130A7D1E"/>
    <w:rsid w:val="1E826112"/>
    <w:rsid w:val="24B767C9"/>
    <w:rsid w:val="25D74851"/>
    <w:rsid w:val="275A2246"/>
    <w:rsid w:val="2AB93184"/>
    <w:rsid w:val="2D005491"/>
    <w:rsid w:val="2FCD5F38"/>
    <w:rsid w:val="313C2444"/>
    <w:rsid w:val="37444BAF"/>
    <w:rsid w:val="3BE25B52"/>
    <w:rsid w:val="3CCB6C8D"/>
    <w:rsid w:val="3DE45063"/>
    <w:rsid w:val="46FD49C3"/>
    <w:rsid w:val="49161BB3"/>
    <w:rsid w:val="4B10649F"/>
    <w:rsid w:val="4EE029EE"/>
    <w:rsid w:val="4F607F88"/>
    <w:rsid w:val="4FB246DF"/>
    <w:rsid w:val="4FDE666F"/>
    <w:rsid w:val="546E74AE"/>
    <w:rsid w:val="57AF7068"/>
    <w:rsid w:val="580F5705"/>
    <w:rsid w:val="58B85442"/>
    <w:rsid w:val="5A263DE7"/>
    <w:rsid w:val="5C73054F"/>
    <w:rsid w:val="5D84203B"/>
    <w:rsid w:val="62D33B6F"/>
    <w:rsid w:val="68A64CF8"/>
    <w:rsid w:val="6AB45A3C"/>
    <w:rsid w:val="6CE67D91"/>
    <w:rsid w:val="6EE87F86"/>
    <w:rsid w:val="702224E0"/>
    <w:rsid w:val="70324B72"/>
    <w:rsid w:val="71381ECA"/>
    <w:rsid w:val="72792F64"/>
    <w:rsid w:val="73A37F3B"/>
    <w:rsid w:val="77380369"/>
    <w:rsid w:val="7D01194C"/>
  </w:rsids>
  <w:docVars>
    <w:docVar w:name="commondata" w:val="eyJoZGlkIjoiNGVhMGI1ZmUzNGRlZTQ0OTEzMDRkNWVjMmRmNTBlN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3">
    <w:name w:val="heading 3"/>
    <w:basedOn w:val="Normal"/>
    <w:next w:val="Normal"/>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DefaultParagraphFont">
    <w:name w:val="Default Paragraph Font"/>
    <w:autoRedefine/>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2</cp:revision>
  <dcterms:created xsi:type="dcterms:W3CDTF">2021-02-01T04:24:00Z</dcterms:created>
  <dcterms:modified xsi:type="dcterms:W3CDTF">2025-03-07T03:48:09Z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4BC1F264D1794D4FB5302FFBA4863834_12</vt:lpwstr>
  </property>
  <property fmtid="{D5CDD505-2E9C-101B-9397-08002B2CF9AE}" pid="3" name="KSOProductBuildVer">
    <vt:lpwstr>2052-12.1.0.16729</vt:lpwstr>
  </property>
</Properties>
</file>