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ajorEastAsia" w:eastAsiaTheme="majorEastAsia" w:hAnsiTheme="majorEastAsia" w:cstheme="majorEastAsia" w:hint="eastAsia"/>
          <w:b/>
          <w:bCs/>
          <w:sz w:val="44"/>
          <w:szCs w:val="44"/>
        </w:rPr>
      </w:pPr>
      <w:r>
        <w:rPr>
          <w:rFonts w:ascii="Times New Roman" w:eastAsia="仿宋_GB2312" w:hAnsi="Times New Roman" w:cs="Times New Roman" w:hint="eastAsia"/>
          <w:b w:val="0"/>
          <w:bCs w:val="0"/>
          <w:color w:val="auto"/>
          <w:sz w:val="44"/>
          <w:szCs w:val="44"/>
          <w:lang w:val="en-US" w:eastAsia="zh-CN"/>
        </w:rPr>
        <w:t>2024</w:t>
      </w:r>
      <w:r>
        <w:rPr>
          <w:rFonts w:ascii="方正小标宋简体" w:eastAsia="方正小标宋简体" w:hAnsi="方正小标宋简体" w:cs="方正小标宋简体" w:hint="eastAsia"/>
          <w:sz w:val="44"/>
          <w:szCs w:val="44"/>
          <w:lang w:val="en-US" w:eastAsia="zh-CN"/>
        </w:rPr>
        <w:t>年度述法报告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eastAsia="楷体_GB2312" w:hAnsi="楷体_GB2312" w:cs="楷体_GB2312" w:hint="eastAsia"/>
          <w:sz w:val="32"/>
          <w:szCs w:val="32"/>
          <w:lang w:val="en-US" w:eastAsia="zh-CN"/>
        </w:rPr>
      </w:pPr>
      <w:r>
        <w:rPr>
          <w:rFonts w:ascii="楷体_GB2312" w:eastAsia="楷体_GB2312" w:hAnsi="楷体_GB2312" w:cs="楷体_GB2312" w:hint="eastAsia"/>
          <w:sz w:val="32"/>
          <w:szCs w:val="32"/>
          <w:lang w:val="en-US" w:eastAsia="zh-CN"/>
        </w:rPr>
        <w:t>乌苏市教育和科学技术局党组副书记、局长  李作勇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根据工作要求，现述法如下：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val="0"/>
          <w:bCs w:val="0"/>
          <w:sz w:val="32"/>
          <w:szCs w:val="32"/>
          <w:lang w:eastAsia="zh-CN"/>
        </w:rPr>
        <w:t>（</w:t>
      </w:r>
      <w:r>
        <w:rPr>
          <w:rFonts w:ascii="楷体_GB2312" w:eastAsia="楷体_GB2312" w:hAnsi="楷体_GB2312" w:cs="楷体_GB2312" w:hint="eastAsia"/>
          <w:b w:val="0"/>
          <w:bCs w:val="0"/>
          <w:sz w:val="32"/>
          <w:szCs w:val="32"/>
          <w:lang w:val="en-US" w:eastAsia="zh-CN"/>
        </w:rPr>
        <w:t>一）</w:t>
      </w:r>
      <w:r>
        <w:rPr>
          <w:rFonts w:ascii="楷体_GB2312" w:eastAsia="楷体_GB2312" w:hAnsi="楷体_GB2312" w:cs="楷体_GB2312" w:hint="eastAsia"/>
          <w:b w:val="0"/>
          <w:bCs w:val="0"/>
          <w:sz w:val="32"/>
          <w:szCs w:val="32"/>
        </w:rPr>
        <w:t>强化理论武装，</w:t>
      </w:r>
      <w:r>
        <w:rPr>
          <w:rFonts w:ascii="楷体_GB2312" w:eastAsia="楷体_GB2312" w:hAnsi="楷体_GB2312" w:cs="楷体_GB2312" w:hint="eastAsia"/>
          <w:b w:val="0"/>
          <w:bCs w:val="0"/>
          <w:sz w:val="32"/>
          <w:szCs w:val="32"/>
          <w:lang w:val="en-US" w:eastAsia="zh-CN"/>
        </w:rPr>
        <w:t>保障法治教育顺利开展。</w:t>
      </w:r>
      <w:r>
        <w:rPr>
          <w:rFonts w:ascii="仿宋_GB2312" w:eastAsia="仿宋_GB2312" w:hAnsi="仿宋_GB2312" w:cs="仿宋_GB2312" w:hint="eastAsia"/>
          <w:sz w:val="32"/>
          <w:szCs w:val="32"/>
          <w:lang w:val="en-US" w:eastAsia="zh-CN"/>
        </w:rPr>
        <w:t>本人坚持以习近平法治思想为指导，</w:t>
      </w:r>
      <w:r>
        <w:rPr>
          <w:rFonts w:ascii="仿宋_GB2312" w:eastAsia="仿宋_GB2312" w:hAnsi="仿宋_GB2312" w:cs="仿宋_GB2312" w:hint="eastAsia"/>
          <w:sz w:val="32"/>
          <w:szCs w:val="32"/>
          <w:lang w:val="en-US" w:eastAsia="zh-CN"/>
        </w:rPr>
        <w:t>全面贯彻落实党的二十大和二十届二中、三中全会精神</w:t>
      </w:r>
      <w:r>
        <w:rPr>
          <w:rFonts w:ascii="仿宋_GB2312" w:eastAsia="仿宋_GB2312" w:hAnsi="仿宋_GB2312" w:cs="仿宋_GB2312" w:hint="eastAsia"/>
          <w:sz w:val="32"/>
          <w:szCs w:val="32"/>
          <w:lang w:val="en-US" w:eastAsia="zh-CN"/>
        </w:rPr>
        <w:t>，依法全面履行教育职责，持续提高运用法治思维和法治方式深化改革、推动法治、化解矛盾、维护稳定的能力。</w:t>
      </w:r>
      <w:r>
        <w:rPr>
          <w:rFonts w:ascii="仿宋_GB2312" w:eastAsia="仿宋_GB2312" w:hAnsi="仿宋_GB2312" w:cs="仿宋_GB2312" w:hint="eastAsia"/>
          <w:sz w:val="32"/>
          <w:szCs w:val="32"/>
        </w:rPr>
        <w:t>我高度重视法治理论学习，通过参加党组会、党组</w:t>
      </w:r>
      <w:r>
        <w:rPr>
          <w:rFonts w:ascii="仿宋_GB2312" w:eastAsia="仿宋_GB2312" w:hAnsi="仿宋_GB2312" w:cs="仿宋_GB2312" w:hint="eastAsia"/>
          <w:sz w:val="32"/>
          <w:szCs w:val="32"/>
          <w:lang w:eastAsia="zh-CN"/>
        </w:rPr>
        <w:t>理论学习中心组</w:t>
      </w:r>
      <w:r>
        <w:rPr>
          <w:rFonts w:ascii="仿宋_GB2312" w:eastAsia="仿宋_GB2312" w:hAnsi="仿宋_GB2312" w:cs="仿宋_GB2312" w:hint="eastAsia"/>
          <w:sz w:val="32"/>
          <w:szCs w:val="32"/>
        </w:rPr>
        <w:t>学习、</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val="en-US" w:eastAsia="zh-CN"/>
        </w:rPr>
        <w:t>自治区法治讲堂·逢九必讲”主题</w:t>
      </w:r>
      <w:r>
        <w:rPr>
          <w:rFonts w:ascii="仿宋_GB2312" w:eastAsia="仿宋_GB2312" w:hAnsi="仿宋_GB2312" w:cs="仿宋_GB2312" w:hint="eastAsia"/>
          <w:sz w:val="32"/>
          <w:szCs w:val="32"/>
        </w:rPr>
        <w:t>培训</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线上学习平台等多种方式</w:t>
      </w:r>
      <w:r>
        <w:rPr>
          <w:rFonts w:ascii="仿宋_GB2312" w:eastAsia="仿宋_GB2312" w:hAnsi="仿宋_GB2312" w:cs="仿宋_GB2312" w:hint="eastAsia"/>
          <w:sz w:val="32"/>
          <w:szCs w:val="32"/>
          <w:lang w:val="en-US" w:eastAsia="zh-CN"/>
        </w:rPr>
        <w:t>加强法治理论提升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eastAsia="zh-CN"/>
        </w:rPr>
        <w:t>带头学习</w:t>
      </w:r>
      <w:r>
        <w:rPr>
          <w:rFonts w:ascii="仿宋_GB2312" w:eastAsia="仿宋_GB2312" w:hAnsi="仿宋_GB2312" w:cs="仿宋_GB2312" w:hint="eastAsia"/>
          <w:color w:val="auto"/>
          <w:sz w:val="32"/>
          <w:szCs w:val="32"/>
          <w:lang w:val="en-US" w:eastAsia="zh-CN"/>
        </w:rPr>
        <w:t>习近平法治思想和</w:t>
      </w:r>
      <w:r>
        <w:rPr>
          <w:rFonts w:ascii="仿宋_GB2312" w:eastAsia="仿宋_GB2312" w:hAnsi="仿宋_GB2312" w:cs="仿宋_GB2312" w:hint="eastAsia"/>
          <w:color w:val="auto"/>
          <w:sz w:val="32"/>
          <w:szCs w:val="32"/>
        </w:rPr>
        <w:t>相关法律法规，确保法治观念深入人心。</w:t>
      </w:r>
      <w:r>
        <w:rPr>
          <w:rFonts w:ascii="仿宋_GB2312" w:eastAsia="仿宋_GB2312" w:hAnsi="仿宋_GB2312" w:cs="仿宋_GB2312" w:hint="eastAsia"/>
          <w:color w:val="auto"/>
          <w:sz w:val="32"/>
          <w:szCs w:val="32"/>
          <w:lang w:val="en-US" w:eastAsia="zh-CN"/>
        </w:rPr>
        <w:t>自觉履行法治建设第一责任人职责，对法治建设亲自部署、亲自协调、亲自督办。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color w:val="auto"/>
          <w:sz w:val="32"/>
          <w:szCs w:val="32"/>
        </w:rPr>
      </w:pPr>
      <w:r>
        <w:rPr>
          <w:rFonts w:ascii="楷体_GB2312" w:eastAsia="楷体_GB2312" w:hAnsi="楷体_GB2312" w:cs="楷体_GB2312" w:hint="eastAsia"/>
          <w:b w:val="0"/>
          <w:bCs w:val="0"/>
          <w:sz w:val="32"/>
          <w:szCs w:val="32"/>
          <w:lang w:eastAsia="zh-CN"/>
        </w:rPr>
        <w:t>（</w:t>
      </w:r>
      <w:r>
        <w:rPr>
          <w:rFonts w:ascii="楷体_GB2312" w:eastAsia="楷体_GB2312" w:hAnsi="楷体_GB2312" w:cs="楷体_GB2312" w:hint="eastAsia"/>
          <w:b w:val="0"/>
          <w:bCs w:val="0"/>
          <w:sz w:val="32"/>
          <w:szCs w:val="32"/>
          <w:lang w:val="en-US" w:eastAsia="zh-CN"/>
        </w:rPr>
        <w:t>二）</w:t>
      </w:r>
      <w:r>
        <w:rPr>
          <w:rFonts w:ascii="楷体_GB2312" w:eastAsia="楷体_GB2312" w:hAnsi="楷体_GB2312" w:cs="楷体_GB2312" w:hint="eastAsia"/>
          <w:b w:val="0"/>
          <w:bCs w:val="0"/>
          <w:sz w:val="32"/>
          <w:szCs w:val="32"/>
          <w:lang w:eastAsia="zh-CN"/>
        </w:rPr>
        <w:t>完善法治制度，规范教育行政行为。</w:t>
      </w:r>
      <w:r>
        <w:rPr>
          <w:rFonts w:ascii="仿宋_GB2312" w:eastAsia="仿宋_GB2312" w:hAnsi="仿宋_GB2312" w:cs="仿宋_GB2312" w:hint="eastAsia"/>
          <w:color w:val="auto"/>
          <w:sz w:val="32"/>
          <w:szCs w:val="32"/>
        </w:rPr>
        <w:t>在制度建设方面，我局注重完善法治制度，确保教育行政行为的合法性和规范性。</w:t>
      </w:r>
      <w:r>
        <w:rPr>
          <w:rFonts w:ascii="仿宋_GB2312" w:eastAsia="仿宋_GB2312" w:hAnsi="仿宋_GB2312" w:cs="仿宋_GB2312" w:hint="eastAsia"/>
          <w:color w:val="auto"/>
          <w:sz w:val="32"/>
          <w:szCs w:val="32"/>
          <w:lang w:val="en-US" w:eastAsia="zh-CN"/>
        </w:rPr>
        <w:t>完善“三重一大”决策制度和领导班子议事规则，</w:t>
      </w:r>
      <w:r>
        <w:rPr>
          <w:rFonts w:ascii="仿宋_GB2312" w:eastAsia="仿宋_GB2312" w:hAnsi="仿宋_GB2312" w:cs="仿宋_GB2312" w:hint="eastAsia"/>
          <w:color w:val="auto"/>
          <w:sz w:val="32"/>
          <w:szCs w:val="32"/>
        </w:rPr>
        <w:t>为依法行政提供了有力保障。同时，加强了对学校法治工作的指导和监督，确保学校各项工作的合法合规。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default"/>
          <w:sz w:val="32"/>
          <w:szCs w:val="32"/>
          <w:lang w:val="en-US" w:eastAsia="zh-CN"/>
        </w:rPr>
      </w:pPr>
      <w:r>
        <w:rPr>
          <w:rFonts w:ascii="楷体_GB2312" w:eastAsia="楷体_GB2312" w:hAnsi="楷体_GB2312" w:cs="楷体_GB2312" w:hint="default"/>
          <w:b w:val="0"/>
          <w:bCs w:val="0"/>
          <w:sz w:val="32"/>
          <w:szCs w:val="32"/>
          <w:lang w:val="en-US" w:eastAsia="zh-CN"/>
        </w:rPr>
        <w:t>（</w:t>
      </w:r>
      <w:r>
        <w:rPr>
          <w:rFonts w:ascii="楷体_GB2312" w:eastAsia="楷体_GB2312" w:hAnsi="楷体_GB2312" w:cs="楷体_GB2312" w:hint="eastAsia"/>
          <w:b w:val="0"/>
          <w:bCs w:val="0"/>
          <w:sz w:val="32"/>
          <w:szCs w:val="32"/>
          <w:lang w:val="en-US" w:eastAsia="zh-CN"/>
        </w:rPr>
        <w:t>三</w:t>
      </w:r>
      <w:r>
        <w:rPr>
          <w:rFonts w:ascii="楷体_GB2312" w:eastAsia="楷体_GB2312" w:hAnsi="楷体_GB2312" w:cs="楷体_GB2312" w:hint="default"/>
          <w:b w:val="0"/>
          <w:bCs w:val="0"/>
          <w:sz w:val="32"/>
          <w:szCs w:val="32"/>
          <w:lang w:val="en-US" w:eastAsia="zh-CN"/>
        </w:rPr>
        <w:t>）贯彻落实“一规划两纲要”</w:t>
      </w:r>
      <w:r>
        <w:rPr>
          <w:rFonts w:ascii="楷体_GB2312" w:eastAsia="楷体_GB2312" w:hAnsi="楷体_GB2312" w:cs="楷体_GB2312" w:hint="eastAsia"/>
          <w:b w:val="0"/>
          <w:bCs w:val="0"/>
          <w:sz w:val="32"/>
          <w:szCs w:val="32"/>
          <w:lang w:val="en-US" w:eastAsia="zh-CN"/>
        </w:rPr>
        <w:t>，确保法治建设规范化</w:t>
      </w:r>
      <w:r>
        <w:rPr>
          <w:rFonts w:ascii="楷体_GB2312" w:eastAsia="楷体_GB2312" w:hAnsi="楷体_GB2312" w:cs="楷体_GB2312" w:hint="default"/>
          <w:b w:val="0"/>
          <w:bCs w:val="0"/>
          <w:sz w:val="32"/>
          <w:szCs w:val="32"/>
          <w:lang w:val="en-US" w:eastAsia="zh-CN"/>
        </w:rPr>
        <w:t>。</w:t>
      </w:r>
      <w:r>
        <w:rPr>
          <w:rFonts w:ascii="仿宋_GB2312" w:eastAsia="仿宋_GB2312" w:hAnsi="仿宋_GB2312" w:cs="仿宋_GB2312" w:hint="default"/>
          <w:sz w:val="32"/>
          <w:szCs w:val="32"/>
          <w:lang w:val="en-US" w:eastAsia="zh-CN"/>
        </w:rPr>
        <w:t>将法治建设“一规划两纲要”作为依法行政的纲领性文件，纳入全年工作要点，督促班子成员认真履行各自分管领域的法治建设工作</w:t>
      </w:r>
      <w:r>
        <w:rPr>
          <w:rFonts w:ascii="仿宋_GB2312" w:eastAsia="仿宋_GB2312" w:hAnsi="仿宋_GB2312" w:cs="仿宋_GB2312" w:hint="eastAsia"/>
          <w:sz w:val="32"/>
          <w:szCs w:val="32"/>
          <w:lang w:val="en-US" w:eastAsia="zh-CN"/>
        </w:rPr>
        <w:t>，</w:t>
      </w:r>
      <w:r>
        <w:rPr>
          <w:rFonts w:ascii="仿宋_GB2312" w:eastAsia="仿宋_GB2312" w:hAnsi="仿宋_GB2312" w:cs="仿宋_GB2312" w:hint="default"/>
          <w:sz w:val="32"/>
          <w:szCs w:val="32"/>
          <w:lang w:val="en-US" w:eastAsia="zh-CN"/>
        </w:rPr>
        <w:t>制定分解方案。进一步深化党在推进法治建设中的领导地位，坚决落实党组领导下的校长负责制，紧贴“法治国家、法治政府、法治社会”三位一体的建设实践，不断强化事前公开、规范事中公开、严格事后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default"/>
          <w:color w:val="auto"/>
          <w:sz w:val="32"/>
          <w:szCs w:val="32"/>
          <w:lang w:val="en-US" w:eastAsia="zh-CN"/>
        </w:rPr>
      </w:pPr>
      <w:r>
        <w:rPr>
          <w:rFonts w:ascii="楷体_GB2312" w:eastAsia="楷体_GB2312" w:hAnsi="楷体_GB2312" w:cs="楷体_GB2312" w:hint="eastAsia"/>
          <w:b w:val="0"/>
          <w:bCs w:val="0"/>
          <w:sz w:val="32"/>
          <w:szCs w:val="32"/>
          <w:lang w:eastAsia="zh-CN"/>
        </w:rPr>
        <w:t>（</w:t>
      </w:r>
      <w:r>
        <w:rPr>
          <w:rFonts w:ascii="楷体_GB2312" w:eastAsia="楷体_GB2312" w:hAnsi="楷体_GB2312" w:cs="楷体_GB2312" w:hint="eastAsia"/>
          <w:b w:val="0"/>
          <w:bCs w:val="0"/>
          <w:sz w:val="32"/>
          <w:szCs w:val="32"/>
          <w:lang w:val="en-US" w:eastAsia="zh-CN"/>
        </w:rPr>
        <w:t>四）</w:t>
      </w:r>
      <w:r>
        <w:rPr>
          <w:rFonts w:ascii="楷体_GB2312" w:eastAsia="楷体_GB2312" w:hAnsi="楷体_GB2312" w:cs="楷体_GB2312" w:hint="eastAsia"/>
          <w:b w:val="0"/>
          <w:bCs w:val="0"/>
          <w:sz w:val="32"/>
          <w:szCs w:val="32"/>
          <w:lang w:eastAsia="zh-CN"/>
        </w:rPr>
        <w:t>加强法治教育，提升师生法治意识。</w:t>
      </w:r>
      <w:r>
        <w:rPr>
          <w:rFonts w:ascii="仿宋_GB2312" w:eastAsia="仿宋_GB2312" w:hAnsi="仿宋_GB2312" w:cs="仿宋_GB2312" w:hint="eastAsia"/>
          <w:color w:val="auto"/>
          <w:sz w:val="32"/>
          <w:szCs w:val="32"/>
        </w:rPr>
        <w:t>为增强师生的法治</w:t>
      </w:r>
      <w:r>
        <w:rPr>
          <w:rFonts w:ascii="仿宋_GB2312" w:eastAsia="仿宋_GB2312" w:hAnsi="仿宋_GB2312" w:cs="仿宋_GB2312" w:hint="eastAsia"/>
          <w:color w:val="auto"/>
          <w:sz w:val="32"/>
          <w:szCs w:val="32"/>
          <w:lang w:val="en-US" w:eastAsia="zh-CN"/>
        </w:rPr>
        <w:t>知识</w:t>
      </w:r>
      <w:r>
        <w:rPr>
          <w:rFonts w:ascii="仿宋_GB2312" w:eastAsia="仿宋_GB2312" w:hAnsi="仿宋_GB2312" w:cs="仿宋_GB2312" w:hint="eastAsia"/>
          <w:color w:val="auto"/>
          <w:sz w:val="32"/>
          <w:szCs w:val="32"/>
        </w:rPr>
        <w:t>，我局创新方式方法，开展了丰富多彩的法治宣传教育活动。</w:t>
      </w:r>
      <w:r>
        <w:rPr>
          <w:rFonts w:ascii="仿宋_GB2312" w:eastAsia="仿宋_GB2312" w:hAnsi="仿宋_GB2312" w:cs="仿宋_GB2312" w:hint="eastAsia"/>
          <w:color w:val="auto"/>
          <w:sz w:val="32"/>
          <w:szCs w:val="32"/>
          <w:lang w:val="en-US" w:eastAsia="zh-CN"/>
        </w:rPr>
        <w:t>发挥校园主阵地作用，落实法治课进校园、进教材、进课堂。开展民法典、宪法等学习宣传活动</w:t>
      </w:r>
      <w:r>
        <w:rPr>
          <w:rFonts w:ascii="Times New Roman" w:eastAsia="仿宋_GB2312" w:hAnsi="Times New Roman" w:cs="Times New Roman" w:hint="eastAsia"/>
          <w:b w:val="0"/>
          <w:bCs w:val="0"/>
          <w:color w:val="auto"/>
          <w:sz w:val="32"/>
          <w:szCs w:val="32"/>
          <w:lang w:val="en-US" w:eastAsia="zh-CN"/>
        </w:rPr>
        <w:t>3500</w:t>
      </w:r>
      <w:r>
        <w:rPr>
          <w:rFonts w:ascii="仿宋_GB2312" w:eastAsia="仿宋_GB2312" w:hAnsi="仿宋_GB2312" w:cs="仿宋_GB2312" w:hint="eastAsia"/>
          <w:color w:val="auto"/>
          <w:sz w:val="32"/>
          <w:szCs w:val="32"/>
          <w:lang w:val="en-US" w:eastAsia="zh-CN"/>
        </w:rPr>
        <w:t>余场次。结合“八五”普法工作，开展预防性侵害、心理健康、反诈骗等专题活动达</w:t>
      </w:r>
      <w:r>
        <w:rPr>
          <w:rFonts w:ascii="Times New Roman" w:eastAsia="仿宋_GB2312" w:hAnsi="Times New Roman" w:cs="Times New Roman" w:hint="eastAsia"/>
          <w:b w:val="0"/>
          <w:bCs w:val="0"/>
          <w:color w:val="auto"/>
          <w:sz w:val="32"/>
          <w:szCs w:val="32"/>
          <w:lang w:val="en-US" w:eastAsia="zh-CN"/>
        </w:rPr>
        <w:t>300</w:t>
      </w:r>
      <w:r>
        <w:rPr>
          <w:rFonts w:ascii="仿宋_GB2312" w:eastAsia="仿宋_GB2312" w:hAnsi="仿宋_GB2312" w:cs="仿宋_GB2312" w:hint="eastAsia"/>
          <w:color w:val="auto"/>
          <w:sz w:val="32"/>
          <w:szCs w:val="32"/>
          <w:lang w:val="en-US" w:eastAsia="zh-CN"/>
        </w:rPr>
        <w:t>余次，受教育师生</w:t>
      </w:r>
      <w:r>
        <w:rPr>
          <w:rFonts w:ascii="Times New Roman" w:eastAsia="仿宋_GB2312" w:hAnsi="Times New Roman" w:cs="Times New Roman" w:hint="eastAsia"/>
          <w:b w:val="0"/>
          <w:bCs w:val="0"/>
          <w:color w:val="auto"/>
          <w:sz w:val="32"/>
          <w:szCs w:val="32"/>
          <w:lang w:val="en-US" w:eastAsia="zh-CN"/>
        </w:rPr>
        <w:t>3</w:t>
      </w:r>
      <w:r>
        <w:rPr>
          <w:rFonts w:ascii="仿宋_GB2312" w:eastAsia="仿宋_GB2312" w:hAnsi="仿宋_GB2312" w:cs="仿宋_GB2312" w:hint="eastAsia"/>
          <w:color w:val="auto"/>
          <w:sz w:val="32"/>
          <w:szCs w:val="32"/>
          <w:lang w:val="en-US" w:eastAsia="zh-CN"/>
        </w:rPr>
        <w:t>万余人。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val="0"/>
          <w:bCs w:val="0"/>
          <w:sz w:val="32"/>
          <w:szCs w:val="32"/>
          <w:lang w:eastAsia="zh-CN"/>
        </w:rPr>
        <w:t>（</w:t>
      </w:r>
      <w:r>
        <w:rPr>
          <w:rFonts w:ascii="楷体_GB2312" w:eastAsia="楷体_GB2312" w:hAnsi="楷体_GB2312" w:cs="楷体_GB2312" w:hint="eastAsia"/>
          <w:b w:val="0"/>
          <w:bCs w:val="0"/>
          <w:sz w:val="32"/>
          <w:szCs w:val="32"/>
          <w:lang w:val="en-US" w:eastAsia="zh-CN"/>
        </w:rPr>
        <w:t>五）</w:t>
      </w:r>
      <w:r>
        <w:rPr>
          <w:rFonts w:ascii="楷体_GB2312" w:eastAsia="楷体_GB2312" w:hAnsi="楷体_GB2312" w:cs="楷体_GB2312" w:hint="eastAsia"/>
          <w:b w:val="0"/>
          <w:bCs w:val="0"/>
          <w:sz w:val="32"/>
          <w:szCs w:val="32"/>
          <w:lang w:eastAsia="zh-CN"/>
        </w:rPr>
        <w:t>加强法治队伍建设，提升法治工作水平。</w:t>
      </w:r>
      <w:r>
        <w:rPr>
          <w:rFonts w:ascii="仿宋_GB2312" w:eastAsia="仿宋_GB2312" w:hAnsi="仿宋_GB2312" w:cs="仿宋_GB2312" w:hint="eastAsia"/>
          <w:color w:val="auto"/>
          <w:sz w:val="32"/>
          <w:szCs w:val="32"/>
        </w:rPr>
        <w:t>在法治队伍建设方面，我局注重提升</w:t>
      </w:r>
      <w:r>
        <w:rPr>
          <w:rFonts w:ascii="仿宋_GB2312" w:eastAsia="仿宋_GB2312" w:hAnsi="仿宋_GB2312" w:cs="仿宋_GB2312" w:hint="eastAsia"/>
          <w:color w:val="auto"/>
          <w:sz w:val="32"/>
          <w:szCs w:val="32"/>
          <w:lang w:val="en-US" w:eastAsia="zh-CN"/>
        </w:rPr>
        <w:t>执法</w:t>
      </w:r>
      <w:r>
        <w:rPr>
          <w:rFonts w:ascii="仿宋_GB2312" w:eastAsia="仿宋_GB2312" w:hAnsi="仿宋_GB2312" w:cs="仿宋_GB2312" w:hint="eastAsia"/>
          <w:color w:val="auto"/>
          <w:sz w:val="32"/>
          <w:szCs w:val="32"/>
        </w:rPr>
        <w:t>人员的专业素养和工作能力。我们组织</w:t>
      </w:r>
      <w:r>
        <w:rPr>
          <w:rFonts w:ascii="仿宋_GB2312" w:eastAsia="仿宋_GB2312" w:hAnsi="仿宋_GB2312" w:cs="仿宋_GB2312" w:hint="eastAsia"/>
          <w:color w:val="auto"/>
          <w:sz w:val="32"/>
          <w:szCs w:val="32"/>
          <w:lang w:val="en-US" w:eastAsia="zh-CN"/>
        </w:rPr>
        <w:t>执法</w:t>
      </w:r>
      <w:r>
        <w:rPr>
          <w:rFonts w:ascii="仿宋_GB2312" w:eastAsia="仿宋_GB2312" w:hAnsi="仿宋_GB2312" w:cs="仿宋_GB2312" w:hint="eastAsia"/>
          <w:color w:val="auto"/>
          <w:sz w:val="32"/>
          <w:szCs w:val="32"/>
        </w:rPr>
        <w:t>人员参加培训</w:t>
      </w:r>
      <w:r>
        <w:rPr>
          <w:rFonts w:ascii="Times New Roman" w:eastAsia="仿宋_GB2312" w:hAnsi="Times New Roman" w:cs="Times New Roman" w:hint="eastAsia"/>
          <w:b w:val="0"/>
          <w:bCs w:val="0"/>
          <w:color w:val="auto"/>
          <w:sz w:val="32"/>
          <w:szCs w:val="32"/>
          <w:lang w:val="en-US" w:eastAsia="zh-CN"/>
        </w:rPr>
        <w:t>10</w:t>
      </w:r>
      <w:r>
        <w:rPr>
          <w:rFonts w:ascii="仿宋_GB2312" w:eastAsia="仿宋_GB2312" w:hAnsi="仿宋_GB2312" w:cs="仿宋_GB2312" w:hint="eastAsia"/>
          <w:color w:val="auto"/>
          <w:sz w:val="32"/>
          <w:szCs w:val="32"/>
          <w:lang w:val="en-US" w:eastAsia="zh-CN"/>
        </w:rPr>
        <w:t>人次</w:t>
      </w:r>
      <w:r>
        <w:rPr>
          <w:rFonts w:ascii="仿宋_GB2312" w:eastAsia="仿宋_GB2312" w:hAnsi="仿宋_GB2312" w:cs="仿宋_GB2312" w:hint="eastAsia"/>
          <w:color w:val="auto"/>
          <w:sz w:val="32"/>
          <w:szCs w:val="32"/>
        </w:rPr>
        <w:t>，不断提高他们的法律素养和业务能力。</w:t>
      </w:r>
      <w:r>
        <w:rPr>
          <w:rFonts w:ascii="仿宋_GB2312" w:eastAsia="仿宋_GB2312" w:hAnsi="仿宋_GB2312" w:cs="仿宋_GB2312" w:hint="eastAsia"/>
          <w:color w:val="auto"/>
          <w:sz w:val="32"/>
          <w:szCs w:val="32"/>
          <w:lang w:val="en-US" w:eastAsia="zh-CN"/>
        </w:rPr>
        <w:t>同时，聘请公检法司业务精英担任法治副校长，定期开展普法进校园。目前聘请法治副校长</w:t>
      </w:r>
      <w:r>
        <w:rPr>
          <w:rFonts w:ascii="Times New Roman" w:eastAsia="仿宋_GB2312" w:hAnsi="Times New Roman" w:cs="Times New Roman" w:hint="default"/>
          <w:b w:val="0"/>
          <w:bCs w:val="0"/>
          <w:color w:val="auto"/>
          <w:sz w:val="32"/>
          <w:szCs w:val="32"/>
          <w:lang w:val="en-US" w:eastAsia="zh-CN"/>
        </w:rPr>
        <w:t>5</w:t>
      </w:r>
      <w:r>
        <w:rPr>
          <w:rFonts w:ascii="Times New Roman" w:eastAsia="仿宋_GB2312" w:hAnsi="Times New Roman" w:cs="Times New Roman" w:hint="eastAsia"/>
          <w:b w:val="0"/>
          <w:bCs w:val="0"/>
          <w:color w:val="auto"/>
          <w:sz w:val="32"/>
          <w:szCs w:val="32"/>
          <w:lang w:val="en-US" w:eastAsia="zh-CN"/>
        </w:rPr>
        <w:t>4</w:t>
      </w:r>
      <w:r>
        <w:rPr>
          <w:rFonts w:ascii="仿宋_GB2312" w:eastAsia="仿宋_GB2312" w:hAnsi="仿宋_GB2312" w:cs="仿宋_GB2312" w:hint="eastAsia"/>
          <w:color w:val="auto"/>
          <w:sz w:val="32"/>
          <w:szCs w:val="32"/>
          <w:lang w:val="en-US" w:eastAsia="zh-CN"/>
        </w:rPr>
        <w:t>名，聘请率</w:t>
      </w:r>
      <w:r>
        <w:rPr>
          <w:rFonts w:ascii="Times New Roman" w:eastAsia="仿宋_GB2312" w:hAnsi="Times New Roman" w:cs="Times New Roman" w:hint="eastAsia"/>
          <w:b w:val="0"/>
          <w:bCs w:val="0"/>
          <w:color w:val="auto"/>
          <w:sz w:val="32"/>
          <w:szCs w:val="32"/>
          <w:lang w:val="en-US" w:eastAsia="zh-CN"/>
        </w:rPr>
        <w:t>100％</w:t>
      </w:r>
      <w:r>
        <w:rPr>
          <w:rFonts w:ascii="仿宋_GB2312" w:eastAsia="仿宋_GB2312" w:hAnsi="仿宋_GB2312" w:cs="仿宋_GB2312" w:hint="eastAsia"/>
          <w:sz w:val="32"/>
          <w:szCs w:val="32"/>
          <w:lang w:val="en-US" w:eastAsia="zh-CN"/>
        </w:rPr>
        <w:t>。扎实化解矛盾纠纷，严格执行《信访工作条例》，多元合力化解矛盾纠纷。共办结网上信访</w:t>
      </w:r>
      <w:r>
        <w:rPr>
          <w:rFonts w:ascii="Times New Roman" w:eastAsia="仿宋_GB2312" w:hAnsi="Times New Roman" w:cs="Times New Roman" w:hint="eastAsia"/>
          <w:b w:val="0"/>
          <w:bCs w:val="0"/>
          <w:color w:val="auto"/>
          <w:sz w:val="32"/>
          <w:szCs w:val="32"/>
          <w:lang w:val="en-US" w:eastAsia="zh-CN"/>
        </w:rPr>
        <w:t>5</w:t>
      </w:r>
      <w:r>
        <w:rPr>
          <w:rFonts w:ascii="仿宋_GB2312" w:eastAsia="仿宋_GB2312" w:hAnsi="仿宋_GB2312" w:cs="仿宋_GB2312" w:hint="eastAsia"/>
          <w:sz w:val="32"/>
          <w:szCs w:val="32"/>
          <w:lang w:val="en-US" w:eastAsia="zh-CN"/>
        </w:rPr>
        <w:t>件；</w:t>
      </w:r>
      <w:r>
        <w:rPr>
          <w:rFonts w:ascii="Times New Roman" w:eastAsia="仿宋_GB2312" w:hAnsi="Times New Roman" w:cs="Times New Roman" w:hint="eastAsia"/>
          <w:b w:val="0"/>
          <w:bCs w:val="0"/>
          <w:color w:val="auto"/>
          <w:sz w:val="32"/>
          <w:szCs w:val="32"/>
          <w:lang w:val="en-US" w:eastAsia="zh-CN"/>
        </w:rPr>
        <w:t>12345</w:t>
      </w:r>
      <w:r>
        <w:rPr>
          <w:rFonts w:ascii="仿宋_GB2312" w:eastAsia="仿宋_GB2312" w:hAnsi="仿宋_GB2312" w:cs="仿宋_GB2312" w:hint="eastAsia"/>
          <w:sz w:val="32"/>
          <w:szCs w:val="32"/>
          <w:lang w:val="en-US" w:eastAsia="zh-CN"/>
        </w:rPr>
        <w:t>热线即办、乌苏网格化精准服务智慧平台反映</w:t>
      </w:r>
      <w:r>
        <w:rPr>
          <w:rFonts w:ascii="Times New Roman" w:eastAsia="仿宋_GB2312" w:hAnsi="Times New Roman" w:cs="Times New Roman" w:hint="eastAsia"/>
          <w:b w:val="0"/>
          <w:bCs w:val="0"/>
          <w:color w:val="auto"/>
          <w:sz w:val="32"/>
          <w:szCs w:val="32"/>
          <w:lang w:val="en-US" w:eastAsia="zh-CN"/>
        </w:rPr>
        <w:t>50</w:t>
      </w:r>
      <w:r>
        <w:rPr>
          <w:rFonts w:ascii="仿宋_GB2312" w:eastAsia="仿宋_GB2312" w:hAnsi="仿宋_GB2312" w:cs="仿宋_GB2312" w:hint="eastAsia"/>
          <w:sz w:val="32"/>
          <w:szCs w:val="32"/>
          <w:lang w:val="en-US" w:eastAsia="zh-CN"/>
        </w:rPr>
        <w:t>余件。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val="0"/>
          <w:bCs w:val="0"/>
          <w:sz w:val="32"/>
          <w:szCs w:val="32"/>
          <w:lang w:val="en-US" w:eastAsia="zh-CN"/>
        </w:rPr>
        <w:t>（六）推进巡视巡察和</w:t>
      </w:r>
      <w:r>
        <w:rPr>
          <w:rFonts w:ascii="Times New Roman" w:eastAsia="仿宋_GB2312" w:hAnsi="Times New Roman" w:cs="Times New Roman" w:hint="eastAsia"/>
          <w:b w:val="0"/>
          <w:bCs w:val="0"/>
          <w:color w:val="auto"/>
          <w:sz w:val="32"/>
          <w:szCs w:val="32"/>
          <w:lang w:val="en-US" w:eastAsia="zh-CN"/>
        </w:rPr>
        <w:t>2023</w:t>
      </w:r>
      <w:r>
        <w:rPr>
          <w:rFonts w:ascii="楷体_GB2312" w:eastAsia="楷体_GB2312" w:hAnsi="楷体_GB2312" w:cs="楷体_GB2312" w:hint="eastAsia"/>
          <w:b w:val="0"/>
          <w:bCs w:val="0"/>
          <w:sz w:val="32"/>
          <w:szCs w:val="32"/>
          <w:lang w:val="en-US" w:eastAsia="zh-CN"/>
        </w:rPr>
        <w:t>年述法反馈问题整改工作。</w:t>
      </w:r>
      <w:r>
        <w:rPr>
          <w:rFonts w:ascii="Times New Roman" w:eastAsia="仿宋_GB2312" w:hAnsi="Times New Roman" w:cs="Times New Roman" w:hint="eastAsia"/>
          <w:b w:val="0"/>
          <w:bCs w:val="0"/>
          <w:color w:val="auto"/>
          <w:sz w:val="32"/>
          <w:szCs w:val="32"/>
          <w:lang w:val="en-US" w:eastAsia="zh-CN"/>
        </w:rPr>
        <w:t>2024</w:t>
      </w:r>
      <w:r>
        <w:rPr>
          <w:rFonts w:ascii="仿宋_GB2312" w:eastAsia="仿宋_GB2312" w:hAnsi="仿宋_GB2312" w:cs="仿宋_GB2312" w:hint="eastAsia"/>
          <w:sz w:val="32"/>
          <w:szCs w:val="32"/>
          <w:lang w:val="en-US" w:eastAsia="zh-CN"/>
        </w:rPr>
        <w:t>年塔城地区法治督察对乌苏市反馈的问题</w:t>
      </w:r>
      <w:r>
        <w:rPr>
          <w:rFonts w:ascii="Times New Roman" w:eastAsia="仿宋_GB2312" w:hAnsi="Times New Roman" w:cs="Times New Roman" w:hint="eastAsia"/>
          <w:b w:val="0"/>
          <w:bCs w:val="0"/>
          <w:color w:val="auto"/>
          <w:sz w:val="32"/>
          <w:szCs w:val="32"/>
          <w:lang w:val="en-US" w:eastAsia="zh-CN"/>
        </w:rPr>
        <w:t>19</w:t>
      </w:r>
      <w:r>
        <w:rPr>
          <w:rFonts w:ascii="仿宋_GB2312" w:eastAsia="仿宋_GB2312" w:hAnsi="仿宋_GB2312" w:cs="仿宋_GB2312" w:hint="eastAsia"/>
          <w:sz w:val="32"/>
          <w:szCs w:val="32"/>
          <w:lang w:val="en-US" w:eastAsia="zh-CN"/>
        </w:rPr>
        <w:t>条，教科局举一反三，目前已全部整改完毕。乌苏市</w:t>
      </w:r>
      <w:r>
        <w:rPr>
          <w:rFonts w:ascii="Times New Roman" w:eastAsia="仿宋_GB2312" w:hAnsi="Times New Roman" w:cs="Times New Roman" w:hint="eastAsia"/>
          <w:b w:val="0"/>
          <w:bCs w:val="0"/>
          <w:color w:val="auto"/>
          <w:sz w:val="32"/>
          <w:szCs w:val="32"/>
          <w:lang w:val="en-US" w:eastAsia="zh-CN"/>
        </w:rPr>
        <w:t>2024</w:t>
      </w:r>
      <w:r>
        <w:rPr>
          <w:rFonts w:ascii="仿宋_GB2312" w:eastAsia="仿宋_GB2312" w:hAnsi="仿宋_GB2312" w:cs="仿宋_GB2312" w:hint="eastAsia"/>
          <w:sz w:val="32"/>
          <w:szCs w:val="32"/>
          <w:lang w:val="en-US" w:eastAsia="zh-CN"/>
        </w:rPr>
        <w:t>年法治督察对乌苏市教科局反馈问题</w:t>
      </w:r>
      <w:r>
        <w:rPr>
          <w:rFonts w:ascii="Times New Roman" w:eastAsia="仿宋_GB2312" w:hAnsi="Times New Roman" w:cs="Times New Roman" w:hint="eastAsia"/>
          <w:b w:val="0"/>
          <w:bCs w:val="0"/>
          <w:color w:val="auto"/>
          <w:sz w:val="32"/>
          <w:szCs w:val="32"/>
          <w:lang w:val="en-US" w:eastAsia="zh-CN"/>
        </w:rPr>
        <w:t>5</w:t>
      </w:r>
      <w:r>
        <w:rPr>
          <w:rFonts w:ascii="仿宋_GB2312" w:eastAsia="仿宋_GB2312" w:hAnsi="仿宋_GB2312" w:cs="仿宋_GB2312" w:hint="eastAsia"/>
          <w:sz w:val="32"/>
          <w:szCs w:val="32"/>
          <w:lang w:val="en-US" w:eastAsia="zh-CN"/>
        </w:rPr>
        <w:t>条，目前已全部整改完毕。</w:t>
      </w:r>
      <w:r>
        <w:rPr>
          <w:rFonts w:ascii="Times New Roman" w:eastAsia="仿宋_GB2312" w:hAnsi="Times New Roman" w:cs="Times New Roman" w:hint="eastAsia"/>
          <w:b w:val="0"/>
          <w:bCs w:val="0"/>
          <w:color w:val="auto"/>
          <w:sz w:val="32"/>
          <w:szCs w:val="32"/>
          <w:lang w:val="en-US" w:eastAsia="zh-CN"/>
        </w:rPr>
        <w:t>2023</w:t>
      </w:r>
      <w:r>
        <w:rPr>
          <w:rFonts w:ascii="仿宋_GB2312" w:eastAsia="仿宋_GB2312" w:hAnsi="仿宋_GB2312" w:cs="仿宋_GB2312" w:hint="eastAsia"/>
          <w:sz w:val="32"/>
          <w:szCs w:val="32"/>
          <w:lang w:val="en-US" w:eastAsia="zh-CN"/>
        </w:rPr>
        <w:t>年述法反馈的共性问题</w:t>
      </w:r>
      <w:r>
        <w:rPr>
          <w:rFonts w:ascii="Times New Roman" w:eastAsia="仿宋_GB2312" w:hAnsi="Times New Roman" w:cs="Times New Roman" w:hint="eastAsia"/>
          <w:b w:val="0"/>
          <w:bCs w:val="0"/>
          <w:color w:val="auto"/>
          <w:sz w:val="32"/>
          <w:szCs w:val="32"/>
          <w:lang w:val="en-US" w:eastAsia="zh-CN"/>
        </w:rPr>
        <w:t>6</w:t>
      </w:r>
      <w:r>
        <w:rPr>
          <w:rFonts w:ascii="仿宋_GB2312" w:eastAsia="仿宋_GB2312" w:hAnsi="仿宋_GB2312" w:cs="仿宋_GB2312" w:hint="eastAsia"/>
          <w:sz w:val="32"/>
          <w:szCs w:val="32"/>
          <w:lang w:val="en-US" w:eastAsia="zh-CN"/>
        </w:rPr>
        <w:t>条、自查问题</w:t>
      </w:r>
      <w:r>
        <w:rPr>
          <w:rFonts w:ascii="Times New Roman" w:eastAsia="仿宋_GB2312" w:hAnsi="Times New Roman" w:cs="Times New Roman" w:hint="eastAsia"/>
          <w:b w:val="0"/>
          <w:bCs w:val="0"/>
          <w:color w:val="auto"/>
          <w:sz w:val="32"/>
          <w:szCs w:val="32"/>
          <w:lang w:val="en-US" w:eastAsia="zh-CN"/>
        </w:rPr>
        <w:t>4</w:t>
      </w:r>
      <w:r>
        <w:rPr>
          <w:rFonts w:ascii="仿宋_GB2312" w:eastAsia="仿宋_GB2312" w:hAnsi="仿宋_GB2312" w:cs="仿宋_GB2312" w:hint="eastAsia"/>
          <w:sz w:val="32"/>
          <w:szCs w:val="32"/>
          <w:lang w:val="en-US" w:eastAsia="zh-CN"/>
        </w:rPr>
        <w:t>条，已全部整改完毕。</w:t>
      </w:r>
    </w:p>
    <w:p>
      <w:pPr>
        <w:keepNext w:val="0"/>
        <w:keepLines w:val="0"/>
        <w:pageBreakBefore w:val="0"/>
        <w:kinsoku/>
        <w:wordWrap/>
        <w:topLinePunct w:val="0"/>
        <w:autoSpaceDE/>
        <w:autoSpaceDN/>
        <w:bidi w:val="0"/>
        <w:adjustRightInd/>
        <w:snapToGrid/>
        <w:ind w:firstLine="640" w:firstLineChars="200"/>
        <w:textAlignment w:val="auto"/>
        <w:rPr>
          <w:rFonts w:ascii="楷体_GB2312" w:eastAsia="楷体_GB2312" w:hAnsi="楷体_GB2312" w:cs="楷体_GB2312" w:hint="eastAsia"/>
          <w:b w:val="0"/>
          <w:bCs w:val="0"/>
          <w:kern w:val="2"/>
          <w:sz w:val="32"/>
          <w:szCs w:val="32"/>
          <w:lang w:val="en-US" w:eastAsia="zh-CN" w:bidi="ar-SA"/>
        </w:rPr>
      </w:pPr>
      <w:r>
        <w:rPr>
          <w:rFonts w:ascii="楷体_GB2312" w:eastAsia="楷体_GB2312" w:hAnsi="楷体_GB2312" w:cs="楷体_GB2312" w:hint="eastAsia"/>
          <w:b w:val="0"/>
          <w:bCs w:val="0"/>
          <w:kern w:val="2"/>
          <w:sz w:val="32"/>
          <w:szCs w:val="32"/>
          <w:lang w:val="en-US" w:eastAsia="zh-CN" w:bidi="ar-SA"/>
        </w:rPr>
        <w:t>二、亮点工作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val="0"/>
          <w:bCs w:val="0"/>
          <w:sz w:val="32"/>
          <w:szCs w:val="32"/>
          <w:lang w:val="en-US" w:eastAsia="zh-CN"/>
        </w:rPr>
        <w:t>（一）落实校园法律顾问制度，</w:t>
      </w:r>
      <w:r>
        <w:rPr>
          <w:rFonts w:ascii="楷体_GB2312" w:eastAsia="楷体_GB2312" w:hAnsi="楷体_GB2312" w:cs="楷体_GB2312" w:hint="eastAsia"/>
          <w:b w:val="0"/>
          <w:bCs w:val="0"/>
          <w:sz w:val="32"/>
          <w:szCs w:val="32"/>
          <w:lang w:eastAsia="zh-CN"/>
        </w:rPr>
        <w:t>维护师生合法权益。</w:t>
      </w:r>
      <w:r>
        <w:rPr>
          <w:rFonts w:ascii="仿宋_GB2312" w:eastAsia="仿宋_GB2312" w:hAnsi="仿宋_GB2312" w:cs="仿宋_GB2312" w:hint="eastAsia"/>
          <w:sz w:val="32"/>
          <w:szCs w:val="32"/>
        </w:rPr>
        <w:t>为更好地维护师生合法权益，我们与多家律师事务所建立合作关系，为全</w:t>
      </w:r>
      <w:r>
        <w:rPr>
          <w:rFonts w:ascii="仿宋_GB2312" w:eastAsia="仿宋_GB2312" w:hAnsi="仿宋_GB2312" w:cs="仿宋_GB2312" w:hint="eastAsia"/>
          <w:sz w:val="32"/>
          <w:szCs w:val="32"/>
          <w:lang w:val="en-US" w:eastAsia="zh-CN"/>
        </w:rPr>
        <w:t>市所有</w:t>
      </w:r>
      <w:r>
        <w:rPr>
          <w:rFonts w:ascii="仿宋_GB2312" w:eastAsia="仿宋_GB2312" w:hAnsi="仿宋_GB2312" w:cs="仿宋_GB2312" w:hint="eastAsia"/>
          <w:sz w:val="32"/>
          <w:szCs w:val="32"/>
        </w:rPr>
        <w:t>学校聘请了专业的法律顾问</w:t>
      </w:r>
      <w:r>
        <w:rPr>
          <w:rFonts w:ascii="仿宋_GB2312" w:eastAsia="仿宋_GB2312" w:hAnsi="仿宋_GB2312" w:cs="仿宋_GB2312" w:hint="eastAsia"/>
          <w:sz w:val="32"/>
          <w:szCs w:val="32"/>
          <w:lang w:val="en-US" w:eastAsia="zh-CN"/>
        </w:rPr>
        <w:t>共</w:t>
      </w:r>
      <w:r>
        <w:rPr>
          <w:rFonts w:ascii="Times New Roman" w:eastAsia="仿宋_GB2312" w:hAnsi="Times New Roman" w:cs="Times New Roman" w:hint="eastAsia"/>
          <w:b w:val="0"/>
          <w:bCs w:val="0"/>
          <w:color w:val="auto"/>
          <w:sz w:val="32"/>
          <w:szCs w:val="32"/>
          <w:lang w:val="en-US" w:eastAsia="zh-CN"/>
        </w:rPr>
        <w:t>35</w:t>
      </w:r>
      <w:r>
        <w:rPr>
          <w:rFonts w:ascii="仿宋_GB2312" w:eastAsia="仿宋_GB2312" w:hAnsi="仿宋_GB2312" w:cs="仿宋_GB2312" w:hint="eastAsia"/>
          <w:sz w:val="32"/>
          <w:szCs w:val="32"/>
          <w:lang w:val="en-US" w:eastAsia="zh-CN"/>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eastAsia="zh-CN"/>
        </w:rPr>
        <w:t>制定法律顾问工作制度、法律顾问考核细则，明确了法律顾问的职责，建立法律顾问工作台账。</w:t>
      </w:r>
      <w:r>
        <w:rPr>
          <w:rFonts w:ascii="仿宋_GB2312" w:eastAsia="仿宋_GB2312" w:hAnsi="仿宋_GB2312" w:cs="仿宋_GB2312" w:hint="eastAsia"/>
          <w:sz w:val="32"/>
          <w:szCs w:val="32"/>
        </w:rPr>
        <w:t>在这一年中，</w:t>
      </w:r>
      <w:r>
        <w:rPr>
          <w:rFonts w:ascii="仿宋_GB2312" w:eastAsia="仿宋_GB2312" w:hAnsi="仿宋_GB2312" w:cs="仿宋_GB2312" w:hint="eastAsia"/>
          <w:sz w:val="32"/>
          <w:szCs w:val="32"/>
          <w:lang w:val="en-US" w:eastAsia="zh-CN"/>
        </w:rPr>
        <w:t>教科局法律顾问</w:t>
      </w:r>
      <w:r>
        <w:rPr>
          <w:rFonts w:ascii="仿宋_GB2312" w:eastAsia="仿宋_GB2312" w:hAnsi="仿宋_GB2312" w:cs="仿宋_GB2312" w:hint="eastAsia"/>
          <w:sz w:val="32"/>
          <w:szCs w:val="32"/>
        </w:rPr>
        <w:t>审查合同共计</w:t>
      </w:r>
      <w:r>
        <w:rPr>
          <w:rFonts w:ascii="Times New Roman" w:eastAsia="仿宋_GB2312" w:hAnsi="Times New Roman" w:cs="Times New Roman" w:hint="eastAsia"/>
          <w:b w:val="0"/>
          <w:bCs w:val="0"/>
          <w:color w:val="auto"/>
          <w:sz w:val="32"/>
          <w:szCs w:val="32"/>
          <w:lang w:val="en-US" w:eastAsia="zh-CN"/>
        </w:rPr>
        <w:t>20</w:t>
      </w:r>
      <w:r>
        <w:rPr>
          <w:rFonts w:ascii="仿宋_GB2312" w:eastAsia="仿宋_GB2312" w:hAnsi="仿宋_GB2312" w:cs="仿宋_GB2312" w:hint="eastAsia"/>
          <w:sz w:val="32"/>
          <w:szCs w:val="32"/>
        </w:rPr>
        <w:t>份。在合同审查方面，严格把关，对</w:t>
      </w:r>
      <w:r>
        <w:rPr>
          <w:rFonts w:ascii="仿宋_GB2312" w:eastAsia="仿宋_GB2312" w:hAnsi="仿宋_GB2312" w:cs="仿宋_GB2312" w:hint="eastAsia"/>
          <w:sz w:val="32"/>
          <w:szCs w:val="32"/>
          <w:lang w:val="en-US" w:eastAsia="zh-CN"/>
        </w:rPr>
        <w:t>本</w:t>
      </w:r>
      <w:r>
        <w:rPr>
          <w:rFonts w:ascii="仿宋_GB2312" w:eastAsia="仿宋_GB2312" w:hAnsi="仿宋_GB2312" w:cs="仿宋_GB2312" w:hint="eastAsia"/>
          <w:sz w:val="32"/>
          <w:szCs w:val="32"/>
        </w:rPr>
        <w:t>单位签订的各类合同进行了全面、细致的审查，确保合同条款的合法性、明确性和可操作性</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有效维护了师生的合法权益，促进了</w:t>
      </w:r>
      <w:r>
        <w:rPr>
          <w:rFonts w:ascii="仿宋_GB2312" w:eastAsia="仿宋_GB2312" w:hAnsi="仿宋_GB2312" w:cs="仿宋_GB2312" w:hint="eastAsia"/>
          <w:sz w:val="32"/>
          <w:szCs w:val="32"/>
          <w:lang w:val="en-US" w:eastAsia="zh-CN"/>
        </w:rPr>
        <w:t>教科系统</w:t>
      </w:r>
      <w:r>
        <w:rPr>
          <w:rFonts w:ascii="仿宋_GB2312" w:eastAsia="仿宋_GB2312" w:hAnsi="仿宋_GB2312" w:cs="仿宋_GB2312" w:hint="eastAsia"/>
          <w:sz w:val="32"/>
          <w:szCs w:val="32"/>
        </w:rPr>
        <w:t>的和谐稳定。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default"/>
          <w:sz w:val="32"/>
          <w:szCs w:val="32"/>
          <w:lang w:val="en-US" w:eastAsia="zh-CN"/>
        </w:rPr>
      </w:pPr>
      <w:r>
        <w:rPr>
          <w:rFonts w:ascii="楷体_GB2312" w:eastAsia="楷体_GB2312" w:hAnsi="楷体_GB2312" w:cs="楷体_GB2312" w:hint="eastAsia"/>
          <w:b w:val="0"/>
          <w:bCs w:val="0"/>
          <w:sz w:val="32"/>
          <w:szCs w:val="32"/>
          <w:lang w:val="en-US" w:eastAsia="zh-CN"/>
        </w:rPr>
        <w:t>（二）扎实开展法治教育，提高师生法治意识。</w:t>
      </w:r>
      <w:r>
        <w:rPr>
          <w:rFonts w:ascii="仿宋_GB2312" w:eastAsia="仿宋_GB2312" w:hAnsi="仿宋_GB2312" w:cs="仿宋_GB2312" w:hint="eastAsia"/>
          <w:sz w:val="32"/>
          <w:szCs w:val="32"/>
          <w:lang w:val="en-US" w:eastAsia="zh-CN"/>
        </w:rPr>
        <w:t>严格执行“谁执法谁普法”责任清单，认真落实</w:t>
      </w:r>
      <w:r>
        <w:rPr>
          <w:rFonts w:ascii="仿宋_GB2312" w:eastAsia="仿宋_GB2312" w:hAnsi="仿宋_GB2312" w:cs="仿宋_GB2312" w:hint="eastAsia"/>
          <w:sz w:val="32"/>
          <w:szCs w:val="32"/>
          <w:lang w:val="en-US" w:eastAsia="zh-CN"/>
        </w:rPr>
        <w:t>“八五”普法</w:t>
      </w:r>
      <w:r>
        <w:rPr>
          <w:rFonts w:ascii="仿宋_GB2312" w:eastAsia="仿宋_GB2312" w:hAnsi="仿宋_GB2312" w:cs="仿宋_GB2312" w:hint="eastAsia"/>
          <w:sz w:val="32"/>
          <w:szCs w:val="32"/>
          <w:lang w:val="en-US" w:eastAsia="zh-CN"/>
        </w:rPr>
        <w:t>要求：一是坚持把学习贯彻习近平法治思想作为局党组理论学习中心组重要学习内容，组织理论学习中心组学习</w:t>
      </w:r>
      <w:r>
        <w:rPr>
          <w:rFonts w:ascii="Times New Roman" w:eastAsia="仿宋_GB2312" w:hAnsi="Times New Roman" w:cs="Times New Roman" w:hint="eastAsia"/>
          <w:b w:val="0"/>
          <w:bCs w:val="0"/>
          <w:color w:val="auto"/>
          <w:sz w:val="32"/>
          <w:szCs w:val="32"/>
          <w:lang w:val="en-US" w:eastAsia="zh-CN"/>
        </w:rPr>
        <w:t>12</w:t>
      </w:r>
      <w:r>
        <w:rPr>
          <w:rFonts w:ascii="仿宋_GB2312" w:eastAsia="仿宋_GB2312" w:hAnsi="仿宋_GB2312" w:cs="仿宋_GB2312" w:hint="eastAsia"/>
          <w:sz w:val="32"/>
          <w:szCs w:val="32"/>
          <w:lang w:val="en-US" w:eastAsia="zh-CN"/>
        </w:rPr>
        <w:t>次，局机关干部集中学习</w:t>
      </w:r>
      <w:r>
        <w:rPr>
          <w:rFonts w:ascii="Times New Roman" w:eastAsia="仿宋_GB2312" w:hAnsi="Times New Roman" w:cs="Times New Roman" w:hint="eastAsia"/>
          <w:b w:val="0"/>
          <w:bCs w:val="0"/>
          <w:color w:val="auto"/>
          <w:sz w:val="32"/>
          <w:szCs w:val="32"/>
          <w:lang w:val="en-US" w:eastAsia="zh-CN"/>
        </w:rPr>
        <w:t>40</w:t>
      </w:r>
      <w:r>
        <w:rPr>
          <w:rFonts w:ascii="仿宋_GB2312" w:eastAsia="仿宋_GB2312" w:hAnsi="仿宋_GB2312" w:cs="仿宋_GB2312" w:hint="eastAsia"/>
          <w:sz w:val="32"/>
          <w:szCs w:val="32"/>
          <w:lang w:val="en-US" w:eastAsia="zh-CN"/>
        </w:rPr>
        <w:t>余次。二是通过周二学习、寒暑假前一周集中学习等形式，以学校为单位组织全市</w:t>
      </w:r>
      <w:r>
        <w:rPr>
          <w:rFonts w:ascii="Times New Roman" w:eastAsia="仿宋_GB2312" w:hAnsi="Times New Roman" w:cs="Times New Roman" w:hint="eastAsia"/>
          <w:b w:val="0"/>
          <w:bCs w:val="0"/>
          <w:color w:val="auto"/>
          <w:sz w:val="32"/>
          <w:szCs w:val="32"/>
          <w:lang w:val="en-US" w:eastAsia="zh-CN"/>
        </w:rPr>
        <w:t>3000</w:t>
      </w:r>
      <w:r>
        <w:rPr>
          <w:rFonts w:ascii="仿宋_GB2312" w:eastAsia="仿宋_GB2312" w:hAnsi="仿宋_GB2312" w:cs="仿宋_GB2312" w:hint="eastAsia"/>
          <w:sz w:val="32"/>
          <w:szCs w:val="32"/>
          <w:lang w:val="en-US" w:eastAsia="zh-CN"/>
        </w:rPr>
        <w:t>余名教职工全覆盖学习宪法、党内法规。三是全面落实《青少年法治教育大纲》，开足开齐法治课程，同时，在国家和自治区宪法宣传日，宪法</w:t>
      </w:r>
      <w:bookmarkStart w:id="0" w:name="_GoBack"/>
      <w:bookmarkEnd w:id="0"/>
      <w:r>
        <w:rPr>
          <w:rFonts w:ascii="仿宋_GB2312" w:eastAsia="仿宋_GB2312" w:hAnsi="仿宋_GB2312" w:cs="仿宋_GB2312" w:hint="eastAsia"/>
          <w:sz w:val="32"/>
          <w:szCs w:val="32"/>
          <w:lang w:val="en-US" w:eastAsia="zh-CN"/>
        </w:rPr>
        <w:t>宣传周活动期间，组织开展主题班会</w:t>
      </w:r>
      <w:r>
        <w:rPr>
          <w:rFonts w:ascii="Times New Roman" w:eastAsia="仿宋_GB2312" w:hAnsi="Times New Roman" w:cs="Times New Roman" w:hint="eastAsia"/>
          <w:b w:val="0"/>
          <w:bCs w:val="0"/>
          <w:color w:val="auto"/>
          <w:sz w:val="32"/>
          <w:szCs w:val="32"/>
          <w:lang w:val="en-US" w:eastAsia="zh-CN"/>
        </w:rPr>
        <w:t>3000</w:t>
      </w:r>
      <w:r>
        <w:rPr>
          <w:rFonts w:ascii="仿宋_GB2312" w:eastAsia="仿宋_GB2312" w:hAnsi="仿宋_GB2312" w:cs="仿宋_GB2312" w:hint="eastAsia"/>
          <w:sz w:val="32"/>
          <w:szCs w:val="32"/>
          <w:lang w:val="en-US" w:eastAsia="zh-CN"/>
        </w:rPr>
        <w:t>余次、国旗下宣讲</w:t>
      </w:r>
      <w:r>
        <w:rPr>
          <w:rFonts w:ascii="Times New Roman" w:eastAsia="仿宋_GB2312" w:hAnsi="Times New Roman" w:cs="Times New Roman" w:hint="eastAsia"/>
          <w:b w:val="0"/>
          <w:bCs w:val="0"/>
          <w:color w:val="auto"/>
          <w:sz w:val="32"/>
          <w:szCs w:val="32"/>
          <w:lang w:val="en-US" w:eastAsia="zh-CN"/>
        </w:rPr>
        <w:t>230</w:t>
      </w:r>
      <w:r>
        <w:rPr>
          <w:rFonts w:ascii="仿宋_GB2312" w:eastAsia="仿宋_GB2312" w:hAnsi="仿宋_GB2312" w:cs="仿宋_GB2312" w:hint="eastAsia"/>
          <w:sz w:val="32"/>
          <w:szCs w:val="32"/>
          <w:lang w:val="en-US" w:eastAsia="zh-CN"/>
        </w:rPr>
        <w:t>场次，制作标语共</w:t>
      </w:r>
      <w:r>
        <w:rPr>
          <w:rFonts w:ascii="Times New Roman" w:eastAsia="仿宋_GB2312" w:hAnsi="Times New Roman" w:cs="Times New Roman" w:hint="eastAsia"/>
          <w:b w:val="0"/>
          <w:bCs w:val="0"/>
          <w:color w:val="auto"/>
          <w:sz w:val="32"/>
          <w:szCs w:val="32"/>
          <w:lang w:val="en-US" w:eastAsia="zh-CN"/>
        </w:rPr>
        <w:t>39</w:t>
      </w:r>
      <w:r>
        <w:rPr>
          <w:rFonts w:ascii="仿宋_GB2312" w:eastAsia="仿宋_GB2312" w:hAnsi="仿宋_GB2312" w:cs="仿宋_GB2312" w:hint="eastAsia"/>
          <w:sz w:val="32"/>
          <w:szCs w:val="32"/>
          <w:lang w:val="en-US" w:eastAsia="zh-CN"/>
        </w:rPr>
        <w:t>条、宣传板</w:t>
      </w:r>
      <w:r>
        <w:rPr>
          <w:rFonts w:ascii="Times New Roman" w:eastAsia="仿宋_GB2312" w:hAnsi="Times New Roman" w:cs="Times New Roman" w:hint="eastAsia"/>
          <w:b w:val="0"/>
          <w:bCs w:val="0"/>
          <w:color w:val="auto"/>
          <w:sz w:val="32"/>
          <w:szCs w:val="32"/>
          <w:lang w:val="en-US" w:eastAsia="zh-CN"/>
        </w:rPr>
        <w:t>54</w:t>
      </w:r>
      <w:r>
        <w:rPr>
          <w:rFonts w:ascii="仿宋_GB2312" w:eastAsia="仿宋_GB2312" w:hAnsi="仿宋_GB2312" w:cs="仿宋_GB2312" w:hint="eastAsia"/>
          <w:sz w:val="32"/>
          <w:szCs w:val="32"/>
          <w:lang w:val="en-US" w:eastAsia="zh-CN"/>
        </w:rPr>
        <w:t>块、张贴宣传画</w:t>
      </w:r>
      <w:r>
        <w:rPr>
          <w:rFonts w:ascii="Times New Roman" w:eastAsia="仿宋_GB2312" w:hAnsi="Times New Roman" w:cs="Times New Roman" w:hint="eastAsia"/>
          <w:b w:val="0"/>
          <w:bCs w:val="0"/>
          <w:color w:val="auto"/>
          <w:sz w:val="32"/>
          <w:szCs w:val="32"/>
          <w:lang w:val="en-US" w:eastAsia="zh-CN"/>
        </w:rPr>
        <w:t>150</w:t>
      </w:r>
      <w:r>
        <w:rPr>
          <w:rFonts w:ascii="仿宋_GB2312" w:eastAsia="仿宋_GB2312" w:hAnsi="仿宋_GB2312" w:cs="仿宋_GB2312" w:hint="eastAsia"/>
          <w:sz w:val="32"/>
          <w:szCs w:val="32"/>
          <w:lang w:val="en-US" w:eastAsia="zh-CN"/>
        </w:rPr>
        <w:t>张、出黑板报</w:t>
      </w:r>
      <w:r>
        <w:rPr>
          <w:rFonts w:ascii="Times New Roman" w:eastAsia="仿宋_GB2312" w:hAnsi="Times New Roman" w:cs="Times New Roman" w:hint="eastAsia"/>
          <w:b w:val="0"/>
          <w:bCs w:val="0"/>
          <w:color w:val="auto"/>
          <w:sz w:val="32"/>
          <w:szCs w:val="32"/>
          <w:lang w:val="en-US" w:eastAsia="zh-CN"/>
        </w:rPr>
        <w:t>1950</w:t>
      </w:r>
      <w:r>
        <w:rPr>
          <w:rFonts w:ascii="仿宋_GB2312" w:eastAsia="仿宋_GB2312" w:hAnsi="仿宋_GB2312" w:cs="仿宋_GB2312" w:hint="eastAsia"/>
          <w:sz w:val="32"/>
          <w:szCs w:val="32"/>
          <w:lang w:val="en-US" w:eastAsia="zh-CN"/>
        </w:rPr>
        <w:t>期、发布新闻稿件</w:t>
      </w:r>
      <w:r>
        <w:rPr>
          <w:rFonts w:ascii="Times New Roman" w:eastAsia="仿宋_GB2312" w:hAnsi="Times New Roman" w:cs="Times New Roman" w:hint="eastAsia"/>
          <w:b w:val="0"/>
          <w:bCs w:val="0"/>
          <w:color w:val="auto"/>
          <w:sz w:val="32"/>
          <w:szCs w:val="32"/>
          <w:lang w:val="en-US" w:eastAsia="zh-CN"/>
        </w:rPr>
        <w:t>38</w:t>
      </w:r>
      <w:r>
        <w:rPr>
          <w:rFonts w:ascii="仿宋_GB2312" w:eastAsia="仿宋_GB2312" w:hAnsi="仿宋_GB2312" w:cs="仿宋_GB2312" w:hint="eastAsia"/>
          <w:sz w:val="32"/>
          <w:szCs w:val="32"/>
          <w:lang w:val="en-US" w:eastAsia="zh-CN"/>
        </w:rPr>
        <w:t>篇、模拟法庭</w:t>
      </w:r>
      <w:r>
        <w:rPr>
          <w:rFonts w:ascii="Times New Roman" w:eastAsia="仿宋_GB2312" w:hAnsi="Times New Roman" w:cs="Times New Roman" w:hint="eastAsia"/>
          <w:b w:val="0"/>
          <w:bCs w:val="0"/>
          <w:color w:val="auto"/>
          <w:sz w:val="32"/>
          <w:szCs w:val="32"/>
          <w:lang w:val="en-US" w:eastAsia="zh-CN"/>
        </w:rPr>
        <w:t>5</w:t>
      </w:r>
      <w:r>
        <w:rPr>
          <w:rFonts w:ascii="仿宋_GB2312" w:eastAsia="仿宋_GB2312" w:hAnsi="仿宋_GB2312" w:cs="仿宋_GB2312" w:hint="eastAsia"/>
          <w:sz w:val="32"/>
          <w:szCs w:val="32"/>
          <w:lang w:val="en-US" w:eastAsia="zh-CN"/>
        </w:rPr>
        <w:t>场次。平时也常态化开展法治教育，邀请法治副校长、公安民警入校开展法治讲座</w:t>
      </w:r>
      <w:r>
        <w:rPr>
          <w:rFonts w:ascii="Times New Roman" w:eastAsia="仿宋_GB2312" w:hAnsi="Times New Roman" w:cs="Times New Roman" w:hint="eastAsia"/>
          <w:b w:val="0"/>
          <w:bCs w:val="0"/>
          <w:color w:val="auto"/>
          <w:sz w:val="32"/>
          <w:szCs w:val="32"/>
          <w:lang w:val="en-US" w:eastAsia="zh-CN"/>
        </w:rPr>
        <w:t>350</w:t>
      </w:r>
      <w:r>
        <w:rPr>
          <w:rFonts w:ascii="仿宋_GB2312" w:eastAsia="仿宋_GB2312" w:hAnsi="仿宋_GB2312" w:cs="仿宋_GB2312" w:hint="eastAsia"/>
          <w:sz w:val="32"/>
          <w:szCs w:val="32"/>
          <w:lang w:val="en-US" w:eastAsia="zh-CN"/>
        </w:rPr>
        <w:t>余场次，受益师生</w:t>
      </w:r>
      <w:r>
        <w:rPr>
          <w:rFonts w:ascii="Times New Roman" w:eastAsia="仿宋_GB2312" w:hAnsi="Times New Roman" w:cs="Times New Roman" w:hint="eastAsia"/>
          <w:b w:val="0"/>
          <w:bCs w:val="0"/>
          <w:color w:val="auto"/>
          <w:sz w:val="32"/>
          <w:szCs w:val="32"/>
          <w:lang w:val="en-US" w:eastAsia="zh-CN"/>
        </w:rPr>
        <w:t>3</w:t>
      </w:r>
      <w:r>
        <w:rPr>
          <w:rFonts w:ascii="仿宋_GB2312" w:eastAsia="仿宋_GB2312" w:hAnsi="仿宋_GB2312" w:cs="仿宋_GB2312" w:hint="eastAsia"/>
          <w:sz w:val="32"/>
          <w:szCs w:val="32"/>
          <w:lang w:val="en-US" w:eastAsia="zh-CN"/>
        </w:rPr>
        <w:t>万余人。在第九届全国学生“学宪法讲宪法”活动新疆选拔赛演讲比赛中，乌苏市第四中学刘全禹同学荣获初中组优秀奖、潘安琪同学荣获团体三等奖；乌苏市第四中学罗生勇老师荣获优秀指导教师、刘亚飞老师荣获指导老师三等奖的好成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三、问题短板和下一步打算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虽然我局在推进法治建设方面做了大量工作，取得了一定成绩，但仍存在一些不足，主要表现在：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楷体_GB2312" w:eastAsia="楷体_GB2312" w:hAnsi="楷体_GB2312" w:cs="楷体_GB2312" w:hint="eastAsia"/>
          <w:b w:val="0"/>
          <w:bCs w:val="0"/>
          <w:sz w:val="32"/>
          <w:szCs w:val="32"/>
          <w:lang w:val="en-US" w:eastAsia="zh-CN"/>
        </w:rPr>
      </w:pPr>
      <w:r>
        <w:rPr>
          <w:rFonts w:ascii="楷体_GB2312" w:eastAsia="楷体_GB2312" w:hAnsi="楷体_GB2312" w:cs="楷体_GB2312" w:hint="eastAsia"/>
          <w:b w:val="0"/>
          <w:bCs w:val="0"/>
          <w:sz w:val="32"/>
          <w:szCs w:val="32"/>
          <w:lang w:val="en-US" w:eastAsia="zh-CN"/>
        </w:rPr>
        <w:t>（一）法治意识需要进一步提高。</w:t>
      </w:r>
      <w:r>
        <w:rPr>
          <w:rFonts w:ascii="仿宋_GB2312" w:eastAsia="仿宋_GB2312" w:hAnsi="仿宋_GB2312" w:cs="仿宋_GB2312" w:hint="eastAsia"/>
          <w:sz w:val="32"/>
          <w:szCs w:val="32"/>
          <w:lang w:val="en-US" w:eastAsia="zh-CN"/>
        </w:rPr>
        <w:t>部分机关工作人员理论学习的连续性、系统性、全面性还不够，把学习落实到实践中还不够充分。行政执法人员运用法治思维和法治方式解决问题的能力有待提高。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val="0"/>
          <w:bCs w:val="0"/>
          <w:sz w:val="32"/>
          <w:szCs w:val="32"/>
          <w:lang w:val="en-US" w:eastAsia="zh-CN"/>
        </w:rPr>
        <w:t>（二）法治教育开展形式比较单一。</w:t>
      </w:r>
      <w:r>
        <w:rPr>
          <w:rFonts w:ascii="仿宋_GB2312" w:eastAsia="仿宋_GB2312" w:hAnsi="仿宋_GB2312" w:cs="仿宋_GB2312" w:hint="eastAsia"/>
          <w:sz w:val="32"/>
          <w:szCs w:val="32"/>
          <w:lang w:val="en-US" w:eastAsia="zh-CN"/>
        </w:rPr>
        <w:t>主要表现为依靠班会、开学第一课和学校组织的活动开展。虽然按计划推进法治教育课程，开展相关活动，但青少年法治教育针对性、实效性还有所欠缺，学生法治意识还需要进一步增强。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val="0"/>
          <w:bCs w:val="0"/>
          <w:sz w:val="32"/>
          <w:szCs w:val="32"/>
          <w:lang w:val="en-US" w:eastAsia="zh-CN"/>
        </w:rPr>
        <w:t>（三）教育行政执法力量相对薄弱。</w:t>
      </w:r>
      <w:r>
        <w:rPr>
          <w:rFonts w:ascii="仿宋_GB2312" w:eastAsia="仿宋_GB2312" w:hAnsi="仿宋_GB2312" w:cs="仿宋_GB2312" w:hint="eastAsia"/>
          <w:sz w:val="32"/>
          <w:szCs w:val="32"/>
          <w:lang w:val="en-US" w:eastAsia="zh-CN"/>
        </w:rPr>
        <w:t>随着教育事业的发展，教育行政执法任务日益繁重，但目前我局教育行政执法人员的业务能力和综合素质有待提高，影响了教育行政执法工作的有效开展。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为了进一步开展好教育系统今后的法治建设工作，补齐短板，我们将下一步打算：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val="0"/>
          <w:bCs w:val="0"/>
          <w:sz w:val="32"/>
          <w:szCs w:val="32"/>
          <w:lang w:val="en-US" w:eastAsia="zh-CN"/>
        </w:rPr>
        <w:t>（一）理论性与实践性相结合。</w:t>
      </w:r>
      <w:r>
        <w:rPr>
          <w:rFonts w:ascii="仿宋_GB2312" w:eastAsia="仿宋_GB2312" w:hAnsi="仿宋_GB2312" w:cs="仿宋_GB2312" w:hint="eastAsia"/>
          <w:sz w:val="32"/>
          <w:szCs w:val="32"/>
          <w:lang w:val="en-US" w:eastAsia="zh-CN"/>
        </w:rPr>
        <w:t>聘请普法宣讲团到学校举办专题讲座，讲解未成年人保护法、预防未成年人犯罪法、教育法等法律知识，注重理论与实践相结合，提高普法教育质量和效果。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val="0"/>
          <w:bCs w:val="0"/>
          <w:sz w:val="32"/>
          <w:szCs w:val="32"/>
          <w:lang w:val="en-US" w:eastAsia="zh-CN"/>
        </w:rPr>
        <w:t>（二）专项活动与法治课程相结合。</w:t>
      </w:r>
      <w:r>
        <w:rPr>
          <w:rFonts w:ascii="仿宋_GB2312" w:eastAsia="仿宋_GB2312" w:hAnsi="仿宋_GB2312" w:cs="仿宋_GB2312" w:hint="eastAsia"/>
          <w:sz w:val="32"/>
          <w:szCs w:val="32"/>
          <w:lang w:val="en-US" w:eastAsia="zh-CN"/>
        </w:rPr>
        <w:t>发挥课堂法治教育主渠道作用，根据不同年龄段学生生理、心理特点和接受能力制定授课内容，坚持品德教育与法治教育并重、理论教育与实践活动并行，不断完善学校法治课程制度体系，把法治宣传教育工作真正落到实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val="0"/>
          <w:bCs w:val="0"/>
          <w:sz w:val="32"/>
          <w:szCs w:val="32"/>
          <w:lang w:val="en-US" w:eastAsia="zh-CN"/>
        </w:rPr>
        <w:t>（三）切实加强法治宣传氛围营造。</w:t>
      </w:r>
      <w:r>
        <w:rPr>
          <w:rFonts w:ascii="仿宋_GB2312" w:eastAsia="仿宋_GB2312" w:hAnsi="仿宋_GB2312" w:cs="仿宋_GB2312" w:hint="eastAsia"/>
          <w:sz w:val="32"/>
          <w:szCs w:val="32"/>
          <w:lang w:val="en-US" w:eastAsia="zh-CN"/>
        </w:rPr>
        <w:t>在各校园设置永久性法治宣传标识，增强法律元素，努力营造浓厚的法治宣传氛围。抓实“谁执法谁普法”责任制，有针对性、经常性、多渠道全方面加强师生普法宣传教育。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val="0"/>
          <w:bCs w:val="0"/>
          <w:sz w:val="32"/>
          <w:szCs w:val="32"/>
          <w:lang w:val="en-US" w:eastAsia="zh-CN"/>
        </w:rPr>
        <w:t>（四）传统性与创新性相结合。</w:t>
      </w:r>
      <w:r>
        <w:rPr>
          <w:rFonts w:ascii="仿宋_GB2312" w:eastAsia="仿宋_GB2312" w:hAnsi="仿宋_GB2312" w:cs="仿宋_GB2312" w:hint="eastAsia"/>
          <w:sz w:val="32"/>
          <w:szCs w:val="32"/>
          <w:lang w:val="en-US" w:eastAsia="zh-CN"/>
        </w:rPr>
        <w:t>在利用黑板报、橱窗、广播、法治宣传栏等传统普法手段基础上，充分利用网络资源和信息技术平台，积极开创新载体、新途径，使青少年普法教育适应时代发展需要。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r>
        <w:rPr>
          <w:rFonts w:ascii="楷体_GB2312" w:eastAsia="楷体_GB2312" w:hAnsi="楷体_GB2312" w:cs="楷体_GB2312" w:hint="eastAsia"/>
          <w:b w:val="0"/>
          <w:bCs w:val="0"/>
          <w:sz w:val="32"/>
          <w:szCs w:val="32"/>
          <w:lang w:val="en-US" w:eastAsia="zh-CN"/>
        </w:rPr>
        <w:t>（五）加强教育行政执法队伍建设。</w:t>
      </w:r>
      <w:r>
        <w:rPr>
          <w:rFonts w:ascii="仿宋_GB2312" w:eastAsia="仿宋_GB2312" w:hAnsi="仿宋_GB2312" w:cs="仿宋_GB2312" w:hint="eastAsia"/>
          <w:sz w:val="32"/>
          <w:szCs w:val="32"/>
          <w:lang w:val="en-US" w:eastAsia="zh-CN"/>
        </w:rPr>
        <w:t>加大对执法人员的培训力度，定期组织执法人员参加业务培训和实践锻炼，提高执法人员的业务能力和综合素质。建立健全执法人员考核评价机制，加强对执法人员的监督管理，确保执法人员依法履行职责。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sz w:val="32"/>
          <w:szCs w:val="32"/>
          <w:lang w:val="en-US" w:eastAsia="zh-CN"/>
        </w:rPr>
      </w:pPr>
    </w:p>
    <w:sectPr>
      <w:pgSz w:w="11906" w:h="16838"/>
      <w:pgMar w:top="1701" w:right="1440" w:bottom="1701" w:left="1440" w:header="851" w:footer="992" w:gutter="0"/>
      <w:cols w:num="1" w:space="0"/>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855E8"/>
    <w:rsid w:val="0A5C15CB"/>
    <w:rsid w:val="0E8F4618"/>
    <w:rsid w:val="11460BFE"/>
    <w:rsid w:val="13BF31B2"/>
    <w:rsid w:val="14E804E7"/>
    <w:rsid w:val="195E16BF"/>
    <w:rsid w:val="1AFD0A64"/>
    <w:rsid w:val="1ED1023E"/>
    <w:rsid w:val="20A07C76"/>
    <w:rsid w:val="241B3BE7"/>
    <w:rsid w:val="25FA0FD5"/>
    <w:rsid w:val="26D03519"/>
    <w:rsid w:val="28B5297E"/>
    <w:rsid w:val="2A954815"/>
    <w:rsid w:val="2E886EC6"/>
    <w:rsid w:val="2EA2770C"/>
    <w:rsid w:val="31666F0B"/>
    <w:rsid w:val="31BB619A"/>
    <w:rsid w:val="32A72B8A"/>
    <w:rsid w:val="33723946"/>
    <w:rsid w:val="349849ED"/>
    <w:rsid w:val="349F1D0E"/>
    <w:rsid w:val="35B77D36"/>
    <w:rsid w:val="367774C5"/>
    <w:rsid w:val="36D13BB6"/>
    <w:rsid w:val="38023BA2"/>
    <w:rsid w:val="3ABA2190"/>
    <w:rsid w:val="3BF85348"/>
    <w:rsid w:val="3DF965E8"/>
    <w:rsid w:val="3F5B78C3"/>
    <w:rsid w:val="41566655"/>
    <w:rsid w:val="440A6511"/>
    <w:rsid w:val="449B7410"/>
    <w:rsid w:val="46252A99"/>
    <w:rsid w:val="47D716A0"/>
    <w:rsid w:val="4A25455E"/>
    <w:rsid w:val="4A7D1C49"/>
    <w:rsid w:val="4FB4750B"/>
    <w:rsid w:val="533341EF"/>
    <w:rsid w:val="54E04CB9"/>
    <w:rsid w:val="57DE6820"/>
    <w:rsid w:val="59CA14E1"/>
    <w:rsid w:val="59FC4E9B"/>
    <w:rsid w:val="5A6574B1"/>
    <w:rsid w:val="60685A9C"/>
    <w:rsid w:val="63F8270D"/>
    <w:rsid w:val="649317EA"/>
    <w:rsid w:val="6C3321FD"/>
    <w:rsid w:val="71234583"/>
    <w:rsid w:val="725D1A6B"/>
    <w:rsid w:val="75EE63BE"/>
    <w:rsid w:val="7BF1074D"/>
    <w:rsid w:val="7E7D4DE4"/>
    <w:rsid w:val="7EFE7AED"/>
    <w:rsid w:val="7F5B2D33"/>
  </w:rsids>
  <w:docVars>
    <w:docVar w:name="commondata" w:val="eyJoZGlkIjoiNGVhMGI1ZmUzNGRlZTQ0OTEzMDRkNWVjMmRmNTBlNTIifQ=="/>
    <w:docVar w:name="KSO_WPS_MARK_KEY" w:val="378d27cd-fad8-4ce7-94da-c24b7efc4483"/>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customStyle="1" w:styleId="1">
    <w:name w:val="正文文字 1"/>
    <w:basedOn w:val="Normal"/>
    <w:next w:val="Normal"/>
    <w:autoRedefine/>
    <w:uiPriority w:val="99"/>
    <w:qFormat/>
    <w:pPr>
      <w:ind w:left="240"/>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24</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Naz1</dc:creator>
  <cp:lastModifiedBy>喜文</cp:lastModifiedBy>
  <cp:revision>0</cp:revision>
  <dcterms:created xsi:type="dcterms:W3CDTF">2024-12-17T04:15:00Z</dcterms:created>
  <dcterms:modified xsi:type="dcterms:W3CDTF">2025-03-07T03:57:52Z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71FA393DB99743E6885B9F26A077C6F4</vt:lpwstr>
  </property>
  <property fmtid="{D5CDD505-2E9C-101B-9397-08002B2CF9AE}" pid="3" name="KSOProductBuildVer">
    <vt:lpwstr>2052-12.1.0.16729</vt:lpwstr>
  </property>
</Properties>
</file>