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auto"/>
          <w:sz w:val="44"/>
          <w:szCs w:val="44"/>
          <w:lang w:val="en-US" w:eastAsia="zh-CN"/>
        </w:rPr>
        <w:t>2024年度述法报告</w:t>
      </w:r>
    </w:p>
    <w:p>
      <w:pPr>
        <w:pStyle w:val="Char"/>
        <w:ind w:firstLine="1280" w:firstLineChars="400"/>
        <w:jc w:val="both"/>
        <w:rPr>
          <w:rFonts w:ascii="楷体_GB2312" w:eastAsia="楷体_GB2312" w:hAnsi="楷体_GB2312" w:cs="楷体_GB2312" w:hint="eastAsia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 w:val="0"/>
          <w:color w:val="auto"/>
          <w:kern w:val="2"/>
          <w:sz w:val="32"/>
          <w:szCs w:val="32"/>
          <w:lang w:val="en-US" w:eastAsia="zh-CN" w:bidi="ar-SA"/>
        </w:rPr>
        <w:t>乌苏市残联党组副书记理事长  乌·布鲁根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 w:cs="Times New Roman" w:hint="eastAsia"/>
          <w:color w:val="auto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auto"/>
          <w:sz w:val="32"/>
          <w:szCs w:val="32"/>
          <w:lang w:eastAsia="zh-CN"/>
        </w:rPr>
        <w:t>按照工作文件要求，现述法</w:t>
      </w:r>
      <w:r>
        <w:rPr>
          <w:rFonts w:ascii="仿宋_GB2312" w:eastAsia="仿宋_GB2312" w:hAnsi="仿宋" w:cs="Times New Roman" w:hint="eastAsia"/>
          <w:color w:val="auto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32"/>
          <w:szCs w:val="32"/>
          <w:lang w:val="en-US" w:eastAsia="zh-CN"/>
        </w:rPr>
        <w:t xml:space="preserve"> 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（一）切实发挥法治建设领导作用，做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  <w:lang w:val="en-US" w:eastAsia="zh-CN"/>
        </w:rPr>
        <w:t>好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推进法治建设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一年来，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政府的坚强领导下，认真学习习近平新时代中国特色社会主义思想、党中央及省市区关于法治建设的重大决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 xml:space="preserve">策部署和习近平总书记对残疾人事业的重要指示批示精神，全年定期不定期召开党组会议研究解决法治工作中的重大问题，确保法治工作有序推进，组织党组班子成员理论学习中心组学习 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 xml:space="preserve">12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场次，党员干部参加在线普法测试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次，每周二理论学习专项安排法律法规学习内容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次。通过集中学习、个人自学等方式，党员干部的知法守法学法用法水平明显提升。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（二）不断加强学法用法业务水平</w:t>
      </w: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认真学习贯彻党的二十大、二十届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一中、二中、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三中全会精神，树牢“四个意识”，坚定“四个自信”，做到“两个维护”，不断提高党员干部服务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残疾人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的能力水平。深入学习</w:t>
      </w:r>
      <w:r>
        <w:rPr>
          <w:rFonts w:ascii="仿宋_GB2312" w:eastAsia="仿宋_GB2312" w:hAnsi="仿宋_GB2312" w:cs="Courier New" w:hint="eastAsia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中华人民共和国</w:t>
      </w:r>
      <w:r>
        <w:rPr>
          <w:rFonts w:ascii="仿宋_GB2312" w:eastAsia="仿宋_GB2312" w:hAnsi="仿宋_GB2312" w:cs="Courier New" w:hint="eastAsia"/>
          <w:color w:val="auto"/>
          <w:kern w:val="2"/>
          <w:sz w:val="32"/>
          <w:szCs w:val="32"/>
          <w:lang w:val="en-US" w:eastAsia="zh-CN" w:bidi="ar-SA"/>
        </w:rPr>
        <w:t>宪法》《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中华人民共和国民法典》《中华人民共和国残疾人保障法》《残疾人就业条例》《中华人民共和国无障碍环境建设法》《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中华人民共和国残疾人证管理办法》等法律法规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为认真做好残疾人就业帮扶工作，在日常的帮扶基础上，市残联、乡镇（街道）残联积极开展入户走访工作，重点对残疾人失业人员、残疾家庭就业情况进行摸底调查，登记失业人员及困难家庭中的残疾人基本情况，做到了失业原因清、家庭状况清、思想动态清、技能特长清、择业要求清。与乌苏市人力资源社会保障部门组织的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场涉及</w:t>
      </w:r>
      <w:r>
        <w:rPr>
          <w:rFonts w:ascii="仿宋_GB2312" w:eastAsia="仿宋_GB2312" w:hAnsi="仿宋_GB2312" w:cs="仿宋_GB2312" w:hint="default"/>
          <w:sz w:val="32"/>
          <w:szCs w:val="32"/>
          <w:shd w:val="clear" w:color="auto" w:fill="FFFFFF"/>
          <w:lang w:val="en-US" w:eastAsia="zh-CN"/>
        </w:rPr>
        <w:t>残疾人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就业的大型招聘会上对各用人单位进行广泛宣传，宣传国家促进残疾人就业的法律法规政策及税收优惠政策，发放残疾人就业保障金宣传资料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1300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余份，41家单位安置了101人就业。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  <w:t>（三）不断提高残疾人社会保障水平。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巩固残疾人“两项补贴”覆盖率。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月共发放残疾人两项补贴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  <w:lang w:val="en-US" w:eastAsia="zh-CN"/>
        </w:rPr>
        <w:t>438.69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万元。依托中央、自治区项目，实施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户困难重度残疾人无障碍改造项目，共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计12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为残疾人免费发放助听器、成人轮椅、儿童轮椅、坐便椅、助行器等辅助器具，满足残疾人基本辅具配置需求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实施资助困难残疾学生及残疾人家庭子女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人发放了“爱心天使”补助资金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0.4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万元。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年困难智力、精神和重度残疾人发放残疾评定补贴资金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0.6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万元。规范合理使用爱心助残捐款资金，救助困难残疾人、孤寡残疾老人、残疾儿童等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户、发放资金共计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万元。今年与新疆残疾人福利基金会共同设立新疆残疾人福利基金会“爱心接力·幸福乌苏”爱心助残专项基金项目，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年筹集善款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 xml:space="preserve"> 6.75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 xml:space="preserve"> 万元，用于帮扶救助、走访慰问，让残疾人感受到社会各界人士对他们的关心关注。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开展行政权力和服务事项流程再造，进一步推进残联行政权力规范运行。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按照要求，市残联结合部门工作实际，认真开展了行政权力和行政服务事项职权流程再造工作，进一步推进残联行政权力和政务服务事项的规范运行。为增强工作透明度，切实接受社会监督，推进残疾人事业健康发展，市残联利用市政府门户网、市残联工作群等平台对流程图及风险点进行了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  <w:t>（五）持续加强惠残助残政策的宣传力度。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制定了详细的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年度法治宣传教育方案，并按计划有序推进。在“全国爱耳日”“全国助残日”“全国残疾预防日” 期间，协调全市各乡镇（街道）残联、村队（社区）残协会在醒目位置悬挂扶残助残宣传标语，发放宣传单，宣传《中华人民共和国残疾人保障法》《残疾人就业条例》等集中法治宣传活动，提高了社会公众对残疾人权益保障的认识，取得了良好的宣传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 w:hAnsi="仿宋_GB2312" w:cs="仿宋_GB2312" w:hint="default"/>
          <w:sz w:val="32"/>
          <w:szCs w:val="32"/>
          <w:shd w:val="clear" w:color="auto" w:fill="FFFFFF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六）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推进法治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化建设、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加强权益保障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进一步完善了行政决策程序，重大决策均经过合法性审查、论证、公众参与等环节，确保决策的科学性和民主性。规范了残疾人证办理、残疾人两项补贴发放等行政行为，建立了公开透明的工作机制，接受社会监督。对行政权力进行了全面梳理，明确了权力清单和责任清单，加强了对行政权力的监督制约。及时处理残疾人信访投诉，建立了信访工作台账，对信访问题进行跟踪督办，确保问题得到妥善解决。今年以来，共处理残疾人信访投诉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>件，回复率达</w:t>
      </w:r>
      <w:r>
        <w:rPr>
          <w:rFonts w:ascii="Times New Roman" w:eastAsia="仿宋_GB2312" w:hAnsi="Times New Roman" w:cs="Times New Roman" w:hint="default"/>
          <w:sz w:val="32"/>
          <w:szCs w:val="32"/>
          <w:shd w:val="clear" w:color="auto" w:fill="FFFFFF"/>
          <w:lang w:val="en-US" w:eastAsia="zh-CN"/>
        </w:rPr>
        <w:t xml:space="preserve"> 100%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val="en-US" w:eastAsia="zh-CN"/>
        </w:rPr>
        <w:t xml:space="preserve">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Times New Roman" w:hint="default"/>
          <w:color w:val="auto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ascii="黑体" w:eastAsia="黑体" w:hAnsi="黑体" w:cs="Times New Roman" w:hint="default"/>
          <w:color w:val="auto"/>
          <w:sz w:val="32"/>
          <w:szCs w:val="32"/>
          <w:lang w:val="en-US" w:eastAsia="zh-CN"/>
        </w:rPr>
        <w:t>下一步</w:t>
      </w:r>
      <w:r>
        <w:rPr>
          <w:rFonts w:ascii="黑体" w:eastAsia="黑体" w:hAnsi="黑体" w:cs="Times New Roman" w:hint="eastAsia"/>
          <w:color w:val="auto"/>
          <w:sz w:val="32"/>
          <w:szCs w:val="32"/>
          <w:lang w:val="en-US" w:eastAsia="zh-CN"/>
        </w:rPr>
        <w:t>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一）</w:t>
      </w:r>
      <w:r>
        <w:rPr>
          <w:rFonts w:ascii="楷体_GB2312" w:eastAsia="楷体_GB2312" w:hAnsi="楷体_GB2312" w:cs="楷体_GB2312" w:hint="eastAsia"/>
          <w:b w:val="0"/>
          <w:bCs w:val="0"/>
          <w:kern w:val="2"/>
          <w:sz w:val="32"/>
          <w:szCs w:val="32"/>
          <w:lang w:val="en-US" w:eastAsia="zh-CN"/>
        </w:rPr>
        <w:t>强化法治思维。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  <w:t>进一步抓好以宪法为核心的中国特色社会主义法律体系宣传教育，规范相关业务工作流程，以会代培等方式提高全市残疾人工作者的法律意识。积极组织机关干部职工开展“</w:t>
      </w:r>
      <w:r>
        <w:rPr>
          <w:rFonts w:ascii="仿宋_GB2312" w:eastAsia="仿宋_GB2312" w:hAnsi="仿宋_GB2312" w:cs="Times New Roman" w:hint="default"/>
          <w:color w:val="auto"/>
          <w:sz w:val="32"/>
          <w:szCs w:val="32"/>
          <w:lang w:val="en-US" w:eastAsia="zh-CN"/>
        </w:rPr>
        <w:t>法宣在线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Times New Roman" w:hint="default"/>
          <w:color w:val="auto"/>
          <w:sz w:val="32"/>
          <w:szCs w:val="32"/>
          <w:lang w:val="en-US" w:eastAsia="zh-CN"/>
        </w:rPr>
        <w:t>学习平台无纸化答题活动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  <w:t>，营造了浓厚的学法氛围，不断提高学法用法能力水平，不断提高业务工作能力素质。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二）</w:t>
      </w:r>
      <w:r>
        <w:rPr>
          <w:rFonts w:ascii="楷体_GB2312" w:eastAsia="楷体_GB2312" w:hAnsi="楷体_GB2312" w:cs="楷体_GB2312" w:hint="eastAsia"/>
          <w:b w:val="0"/>
          <w:bCs w:val="0"/>
          <w:kern w:val="2"/>
          <w:sz w:val="32"/>
          <w:szCs w:val="32"/>
          <w:lang w:val="en-US" w:eastAsia="zh-CN"/>
        </w:rPr>
        <w:t>强化制度建设。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  <w:t>进一步完善办事流程，主要对残疾人证办法，残疾人两项补贴申请，按比例安置残疾人就业年审、辅助器具申请等都能做到依法依规规范办理，推动全市残联系统的法治制度建设再上一个层次。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三）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  <w:lang w:val="en-US" w:eastAsia="zh-CN"/>
        </w:rPr>
        <w:t>强化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宣传教育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  <w:t>开展《中华人民共和国民法典》走进残疾人家庭活动，通过编印宣传册等方式，以生动鲜活的事例和语言，采取残疾人喜闻乐见的形式讲述法治故事，解读法治精神，使法律走入日常生活、走入残疾群众，营造良好的尊法学法守法用法的法治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  <w:lang w:val="en-US" w:eastAsia="zh-CN"/>
        </w:rPr>
        <w:t>四）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落实惠残政策。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持续落实好上级的各项惠残政策，特别是持续跟进困难重度残疾人家庭无障碍改造项目和0-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岁残疾儿童康复救助完成情况，做好跟踪指导和督促落实工作，力求把好事办实，把实事办好，不断提升残疾人群众的幸福感和获得感。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Times New Roman"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sz="4" w:space="31" w:color="FFFFFF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</w:p>
    <w:sectPr>
      <w:headerReference w:type="default" r:id="rId5"/>
      <w:footerReference w:type="default" r:id="rId6"/>
      <w:pgSz w:w="11906" w:h="16838"/>
      <w:pgMar w:top="1701" w:right="1440" w:bottom="1701" w:left="1440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97085"/>
    <w:rsid w:val="006A502B"/>
    <w:rsid w:val="01B6684F"/>
    <w:rsid w:val="040C1363"/>
    <w:rsid w:val="059C7D99"/>
    <w:rsid w:val="065C59AF"/>
    <w:rsid w:val="069C71E6"/>
    <w:rsid w:val="0D573B33"/>
    <w:rsid w:val="0E125C24"/>
    <w:rsid w:val="0E427DF0"/>
    <w:rsid w:val="112B20BC"/>
    <w:rsid w:val="131041D6"/>
    <w:rsid w:val="14732371"/>
    <w:rsid w:val="147C562C"/>
    <w:rsid w:val="172163F1"/>
    <w:rsid w:val="1CCD3C8E"/>
    <w:rsid w:val="1CE41C12"/>
    <w:rsid w:val="1FC833A8"/>
    <w:rsid w:val="20177B8F"/>
    <w:rsid w:val="205927B7"/>
    <w:rsid w:val="21022961"/>
    <w:rsid w:val="23D95DCE"/>
    <w:rsid w:val="276255FA"/>
    <w:rsid w:val="278851C7"/>
    <w:rsid w:val="27F06A84"/>
    <w:rsid w:val="28324836"/>
    <w:rsid w:val="284D661F"/>
    <w:rsid w:val="2882125B"/>
    <w:rsid w:val="2AF6767D"/>
    <w:rsid w:val="2C8A4A19"/>
    <w:rsid w:val="2DF80160"/>
    <w:rsid w:val="2E56410D"/>
    <w:rsid w:val="2FA16314"/>
    <w:rsid w:val="339C7739"/>
    <w:rsid w:val="34D64E08"/>
    <w:rsid w:val="34DD3E6A"/>
    <w:rsid w:val="3632331D"/>
    <w:rsid w:val="377C1F4C"/>
    <w:rsid w:val="37CB64BB"/>
    <w:rsid w:val="39645750"/>
    <w:rsid w:val="3BC1700C"/>
    <w:rsid w:val="3C720E18"/>
    <w:rsid w:val="3D640956"/>
    <w:rsid w:val="3E904B2D"/>
    <w:rsid w:val="3E997085"/>
    <w:rsid w:val="3EAD36C6"/>
    <w:rsid w:val="3F8460D3"/>
    <w:rsid w:val="40663B48"/>
    <w:rsid w:val="42B92A1F"/>
    <w:rsid w:val="43921389"/>
    <w:rsid w:val="43E02E56"/>
    <w:rsid w:val="443A024B"/>
    <w:rsid w:val="46820AD8"/>
    <w:rsid w:val="46F84480"/>
    <w:rsid w:val="482F1CE8"/>
    <w:rsid w:val="484F2995"/>
    <w:rsid w:val="49EA7E31"/>
    <w:rsid w:val="49F53038"/>
    <w:rsid w:val="4BA019D3"/>
    <w:rsid w:val="4E3A6CE2"/>
    <w:rsid w:val="53DF4555"/>
    <w:rsid w:val="55184797"/>
    <w:rsid w:val="5537679D"/>
    <w:rsid w:val="586D493D"/>
    <w:rsid w:val="5CFA4954"/>
    <w:rsid w:val="5DBE1AAD"/>
    <w:rsid w:val="60210F15"/>
    <w:rsid w:val="62853D91"/>
    <w:rsid w:val="63985C82"/>
    <w:rsid w:val="64FF178A"/>
    <w:rsid w:val="67F82632"/>
    <w:rsid w:val="67FA019D"/>
    <w:rsid w:val="6AB272A9"/>
    <w:rsid w:val="6ADF69C9"/>
    <w:rsid w:val="6D6413F2"/>
    <w:rsid w:val="6D896244"/>
    <w:rsid w:val="70323BAD"/>
    <w:rsid w:val="7041037F"/>
    <w:rsid w:val="707B21E1"/>
    <w:rsid w:val="74D852F3"/>
    <w:rsid w:val="753647F7"/>
    <w:rsid w:val="77CB028A"/>
    <w:rsid w:val="77E54EA6"/>
    <w:rsid w:val="793169B8"/>
    <w:rsid w:val="79E74FE0"/>
    <w:rsid w:val="7AB61DB9"/>
    <w:rsid w:val="7B061DD3"/>
    <w:rsid w:val="7B172E1E"/>
    <w:rsid w:val="7BF10801"/>
    <w:rsid w:val="7C0A7299"/>
    <w:rsid w:val="7C9027D7"/>
    <w:rsid w:val="7D756637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autoRedefine/>
    <w:qFormat/>
    <w:pPr>
      <w:widowControl w:val="0"/>
      <w:jc w:val="both"/>
    </w:pPr>
    <w:rPr>
      <w:rFonts w:asciiTheme="minorHAnsi" w:eastAsiaTheme="minorEastAsia" w:hAnsiTheme="minorHAnsi" w:cs="仿宋_GB2312"/>
      <w:kern w:val="2"/>
      <w:sz w:val="32"/>
      <w:szCs w:val="32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outlineLvl w:val="2"/>
    </w:pPr>
    <w:rPr>
      <w:rFonts w:ascii="Calibri" w:hAnsi="Calibri" w:hint="default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2"/>
    <w:autoRedefine/>
    <w:uiPriority w:val="99"/>
    <w:qFormat/>
    <w:pPr>
      <w:spacing w:after="120"/>
    </w:pPr>
  </w:style>
  <w:style w:type="paragraph" w:customStyle="1" w:styleId="2">
    <w:name w:val="正文（首行缩进2字符）"/>
    <w:basedOn w:val="Normal"/>
    <w:next w:val="Normal"/>
    <w:autoRedefine/>
    <w:qFormat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Footer">
    <w:name w:val="footer"/>
    <w:basedOn w:val="Normal"/>
    <w:next w:val="Normal"/>
    <w:autoRedefine/>
    <w:qFormat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宋体" w:asciiTheme="minorHAnsi" w:hAnsiTheme="minorHAnsi" w:cstheme="minorBidi"/>
      <w:kern w:val="2"/>
      <w:sz w:val="18"/>
      <w:szCs w:val="22"/>
      <w:lang w:val="en-US" w:eastAsia="zh-CN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BodyTextFirstIndent">
    <w:name w:val="Body Text First Indent"/>
    <w:basedOn w:val="BodyText"/>
    <w:autoRedefine/>
    <w:uiPriority w:val="99"/>
    <w:qFormat/>
    <w:pPr>
      <w:ind w:firstLine="420" w:firstLineChars="100"/>
    </w:pPr>
  </w:style>
  <w:style w:type="paragraph" w:customStyle="1" w:styleId="Char">
    <w:name w:val="Char"/>
    <w:basedOn w:val="Normal"/>
    <w:autoRedefine/>
    <w:uiPriority w:val="99"/>
    <w:unhideWhenUsed/>
    <w:qFormat/>
    <w:pPr>
      <w:spacing w:beforeLines="0" w:afterLines="0"/>
    </w:pPr>
    <w:rPr>
      <w:rFonts w:ascii="仿宋_GB2312" w:eastAsia="仿宋_GB2312" w:hint="eastAsia"/>
      <w:b/>
      <w:sz w:val="32"/>
    </w:rPr>
  </w:style>
  <w:style w:type="paragraph" w:customStyle="1" w:styleId="Style1">
    <w:name w:val="_Style 1"/>
    <w:autoRedefine/>
    <w:qFormat/>
    <w:pPr>
      <w:widowControl w:val="0"/>
      <w:jc w:val="both"/>
    </w:pPr>
    <w:rPr>
      <w:rFonts w:ascii="Times New Roman" w:eastAsia="方正小标宋_GBK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cp:lastPrinted>2025-02-24T04:02:00Z</cp:lastPrinted>
  <dcterms:created xsi:type="dcterms:W3CDTF">2024-12-30T02:20:00Z</dcterms:created>
  <dcterms:modified xsi:type="dcterms:W3CDTF">2025-03-07T03:46:30Z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E91A4D1BFB0A43578441994839BC6DF5</vt:lpwstr>
  </property>
  <property fmtid="{D5CDD505-2E9C-101B-9397-08002B2CF9AE}" pid="3" name="KSOProductBuildVer">
    <vt:lpwstr>2052-12.1.0.16729</vt:lpwstr>
  </property>
</Properties>
</file>