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Times New Roman" w:eastAsia="方正小标宋简体" w:hAnsi="Times New Roman" w:cs="Times New Roman" w:hint="default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default"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乌苏市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市场监督管理局党组书记、副局长  </w:t>
      </w: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苏红涛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根据工作要求，现述法如下：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一、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履职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（一）坚持法治引领，强化政治责任。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切实提高政治站位，主动增强责任担当。团结带领全局党员干部全面贯彻落实党的二十大和二十届二中、三中全会精神，深入学习习近平新时代中国特色社会主义思想和习近平法治思想，引导党员干部严守政治纪律和政治规矩，增强“四个意识”、坚定“四个自信”、做到“两个维护”。二是严肃党内政治生活，夯实党建工作基础。严格执行《关于新形势下党内政治生活的若干准则》，认真落实“三会一课”、民主评议党员、组织生活会、谈心谈话等制度。制定年度学法计划及清单，采取集体学习研讨、个人自学等多种学习形式加强法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治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教育，开展理论学习中心组学法</w:t>
      </w:r>
      <w:r>
        <w:rPr>
          <w:rFonts w:ascii="Times New Roman" w:eastAsia="仿宋_GB2312" w:hAnsi="Times New Roman" w:cs="Times New Roman" w:hint="default"/>
          <w:sz w:val="32"/>
          <w:szCs w:val="32"/>
        </w:rPr>
        <w:t>1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（二）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坚持党的领导，强化崇法善治。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一是强化组织领导，扛牢第一责任。成立以书记、局长为组长的工作领导小组，切实履行法治建设第一责任人职责，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月亲自安排部署年度法治建设和普法工作。带头讲法治课</w:t>
      </w:r>
      <w:r>
        <w:rPr>
          <w:rFonts w:ascii="Times New Roman" w:eastAsia="仿宋_GB2312" w:hAnsi="Times New Roman" w:cs="Times New Roman" w:hint="default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次，听取工作汇报</w:t>
      </w:r>
      <w:r>
        <w:rPr>
          <w:rFonts w:ascii="Times New Roman" w:eastAsia="仿宋_GB2312" w:hAnsi="Times New Roman" w:cs="Times New Roman" w:hint="default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次，及时研究解决有关重大问题。二是科学民主决策，完善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机制。坚持重大决策合法性审查制度，聘请法律顾问，强化法律顾问作用。强化公平竞争审查，全面落实三项制度和行政规范性文件合法性审核机制。全面实施市场准入负面清单制度，确保“一单尽列、单外无单”。三是提高依法行政素养，规范公正文明执法。组织开展年度法治教育培训及各项学法考试，提升行政执法人员能力素质。加强执法人员管理，严格执行行政执法人员持证上岗制度，建立健全常态化的行政监督机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（三）坚持依法行政，强化监管为民。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en-US" w:eastAsia="zh-CN" w:bidi="ar"/>
        </w:rPr>
        <w:t>行政监督常态化机制，全面推进严格规范公正文明执法。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坚持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依法公平竞争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开展公平竞争审查，审阅政策措施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126</w:t>
      </w:r>
      <w:r>
        <w:rPr>
          <w:rFonts w:ascii="仿宋_GB2312" w:eastAsia="仿宋_GB2312" w:hAnsi="仿宋_GB2312" w:cs="仿宋_GB2312" w:hint="eastAsia"/>
          <w:sz w:val="32"/>
          <w:szCs w:val="32"/>
        </w:rPr>
        <w:t>件。坚持依法严格办案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开展食品药品、特种设备、制售假冒伪劣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商品</w:t>
      </w:r>
      <w:r>
        <w:rPr>
          <w:rFonts w:ascii="仿宋_GB2312" w:eastAsia="仿宋_GB2312" w:hAnsi="仿宋_GB2312" w:cs="仿宋_GB2312" w:hint="eastAsia"/>
          <w:sz w:val="32"/>
          <w:szCs w:val="32"/>
        </w:rPr>
        <w:t>等专项整治，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查</w:t>
      </w:r>
      <w:r>
        <w:rPr>
          <w:rFonts w:ascii="仿宋_GB2312" w:eastAsia="仿宋_GB2312" w:hAnsi="仿宋_GB2312" w:cs="仿宋_GB2312" w:hint="eastAsia"/>
          <w:sz w:val="32"/>
          <w:szCs w:val="32"/>
        </w:rPr>
        <w:t>办违法案件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374</w:t>
      </w:r>
      <w:r>
        <w:rPr>
          <w:rFonts w:ascii="仿宋_GB2312" w:eastAsia="仿宋_GB2312" w:hAnsi="仿宋_GB2312" w:cs="仿宋_GB2312" w:hint="eastAsia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坚持依法严厉治乱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深化市监领域行业突出问题专项治理工作，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提升监管效能。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坚持依法严肃维权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深化人民调解机制，</w:t>
      </w:r>
      <w:r>
        <w:rPr>
          <w:rFonts w:ascii="仿宋_GB2312" w:eastAsia="仿宋_GB2312" w:hAnsi="仿宋_GB2312" w:cs="仿宋_GB2312" w:hint="eastAsia"/>
          <w:sz w:val="32"/>
          <w:szCs w:val="32"/>
        </w:rPr>
        <w:t>受理消费投诉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1217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件，挽回经济损失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57</w:t>
      </w:r>
      <w:r>
        <w:rPr>
          <w:rFonts w:ascii="仿宋_GB2312" w:eastAsia="仿宋_GB2312" w:hAnsi="仿宋_GB2312" w:cs="仿宋_GB2312" w:hint="eastAsia"/>
          <w:sz w:val="32"/>
          <w:szCs w:val="32"/>
        </w:rPr>
        <w:t>万余元。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（四）坚持问题导向，强化整改落实。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en-US" w:eastAsia="zh-CN" w:bidi="ar"/>
        </w:rPr>
        <w:t>对标述法会议和法治督查反馈问题，聚焦法治建设工作职责清单、法治宣传教育、依法依规办事等问题，举一反三查不足，上年度述法报告自查存在问题</w:t>
      </w:r>
      <w:r>
        <w:rPr>
          <w:rFonts w:ascii="Times New Roman" w:eastAsia="仿宋_GB2312" w:hAnsi="Times New Roman" w:cs="Times New Roman" w:hint="default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en-US" w:eastAsia="zh-CN" w:bidi="ar"/>
        </w:rPr>
        <w:t>个，现场述法点评提出问题</w:t>
      </w:r>
      <w:r>
        <w:rPr>
          <w:rFonts w:ascii="Times New Roman" w:eastAsia="仿宋_GB2312" w:hAnsi="Times New Roman" w:cs="Times New Roman" w:hint="default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en-US" w:eastAsia="zh-CN" w:bidi="ar"/>
        </w:rPr>
        <w:t>个，地区、市级督查反馈问题</w:t>
      </w:r>
      <w:r>
        <w:rPr>
          <w:rFonts w:ascii="Times New Roman" w:eastAsia="仿宋_GB2312" w:hAnsi="Times New Roman" w:cs="Times New Roman" w:hint="default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en-US" w:eastAsia="zh-CN" w:bidi="ar"/>
        </w:rPr>
        <w:t>个，问题全部整改完毕，并长期坚持。切实履行推进法治建设第一责任人职责，大力加强领导班子和领导干部法治建设，不断提升自身法治素养和法治能力，加强各项工作制度化、规范化、科学化水平。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下一步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工作</w:t>
      </w:r>
      <w:r>
        <w:rPr>
          <w:rFonts w:ascii="黑体" w:eastAsia="黑体" w:hAnsi="黑体" w:cs="黑体" w:hint="eastAsia"/>
          <w:sz w:val="32"/>
          <w:szCs w:val="32"/>
        </w:rPr>
        <w:t>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提升法治学习能力。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把学习宣传贯彻习近平法治思想作为首要政治任务，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学好用好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法治思想，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提高运用法治思维做好工作的自觉性，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切实增强</w:t>
      </w:r>
      <w:r>
        <w:rPr>
          <w:rFonts w:ascii="仿宋_GB2312" w:eastAsia="仿宋_GB2312" w:hAnsi="仿宋_GB2312" w:cs="仿宋_GB2312" w:hint="eastAsia"/>
          <w:sz w:val="32"/>
          <w:szCs w:val="32"/>
        </w:rPr>
        <w:t>履行推行法治建设第一责任人职责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的自觉和能力，</w:t>
      </w:r>
      <w:r>
        <w:rPr>
          <w:rFonts w:ascii="仿宋_GB2312" w:eastAsia="仿宋_GB2312" w:hAnsi="仿宋_GB2312" w:cs="仿宋_GB2312" w:hint="eastAsia"/>
          <w:sz w:val="32"/>
          <w:szCs w:val="32"/>
        </w:rPr>
        <w:t>实现党组理论学习中心组学法常态化、干部学法制度化、教育培训经常化。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提升为民服务能力。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围绕群众关心的热点、难点、堵点，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持续开展助企纾困“三进三送”活动，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推进注册登记便利化，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推行“柔性执法”和包容审慎监管措施，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强化知识产权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促进</w:t>
      </w:r>
      <w:r>
        <w:rPr>
          <w:rFonts w:ascii="仿宋_GB2312" w:eastAsia="仿宋_GB2312" w:hAnsi="仿宋_GB2312" w:cs="仿宋_GB2312" w:hint="eastAsia"/>
          <w:sz w:val="32"/>
          <w:szCs w:val="32"/>
        </w:rPr>
        <w:t>和保护工作，简化办事流程、加大执法力度、提高服务质量，做到职为民守、责为民尽、绩为民创。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（三）提升全过程普法能力。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立足市场监管领域职能职责，面向监管服务对象和各族群众，结合日常检查、专项整治、执法办案和处理消费者投诉，全方位做好普法宣传教育。同时，面向社会做好重要时间节点的普法宣传活动，组织开展普法知识专题宣传，利用新媒体渠道推动“互联网+普法”，切实增强法治宣传教育的吸引力、感染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（四）提升依法监管履职能力。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聚焦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民意最盼、危害最大、风险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隐患</w:t>
      </w:r>
      <w:r>
        <w:rPr>
          <w:rFonts w:ascii="仿宋_GB2312" w:eastAsia="仿宋_GB2312" w:hAnsi="仿宋_GB2312" w:cs="仿宋_GB2312" w:hint="eastAsia"/>
          <w:sz w:val="32"/>
          <w:szCs w:val="32"/>
        </w:rPr>
        <w:t>最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突出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”重点监管领域，压实责任，消除隐患，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牢牢守住食品、药品、特种设备和产品质量“四大安全”底线。</w:t>
      </w:r>
      <w:r>
        <w:rPr>
          <w:rFonts w:ascii="仿宋_GB2312" w:eastAsia="仿宋_GB2312" w:hAnsi="仿宋_GB2312" w:cs="仿宋_GB2312" w:hint="eastAsia"/>
          <w:sz w:val="32"/>
          <w:szCs w:val="32"/>
        </w:rPr>
        <w:t>严厉打击扰乱市场秩序的各项违法行为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持续净化公平竞争市场环境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lang w:val="zh-CN" w:eastAsia="zh-CN"/>
        </w:rPr>
        <w:t>深入推进部门联合“双随机、一公开”监管，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加强沟通联系、数据共享、联合执法，形成监管合力。</w:t>
      </w:r>
    </w:p>
    <w:sectPr>
      <w:footerReference w:type="default" r:id="rId5"/>
      <w:pgSz w:w="11906" w:h="16838"/>
      <w:pgMar w:top="1701" w:right="1440" w:bottom="1701" w:left="1440" w:header="851" w:footer="992" w:gutter="0"/>
      <w:pgNumType w:fmt="numberInDash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1557A3F"/>
    <w:rsid w:val="016A45EA"/>
    <w:rsid w:val="046B51B4"/>
    <w:rsid w:val="0DAF7C8B"/>
    <w:rsid w:val="12340C68"/>
    <w:rsid w:val="1977218D"/>
    <w:rsid w:val="1C302E5D"/>
    <w:rsid w:val="1E5208BA"/>
    <w:rsid w:val="20570270"/>
    <w:rsid w:val="21942285"/>
    <w:rsid w:val="27410324"/>
    <w:rsid w:val="28D635FE"/>
    <w:rsid w:val="28F65B23"/>
    <w:rsid w:val="29344381"/>
    <w:rsid w:val="2A0E468C"/>
    <w:rsid w:val="2A6553E6"/>
    <w:rsid w:val="2EE338FA"/>
    <w:rsid w:val="2EF40455"/>
    <w:rsid w:val="3615709A"/>
    <w:rsid w:val="36E53634"/>
    <w:rsid w:val="386A40D7"/>
    <w:rsid w:val="3BBC230F"/>
    <w:rsid w:val="3CB91EEE"/>
    <w:rsid w:val="3E526AD0"/>
    <w:rsid w:val="3FC343A8"/>
    <w:rsid w:val="41D10249"/>
    <w:rsid w:val="429B366F"/>
    <w:rsid w:val="43A23EF5"/>
    <w:rsid w:val="47E739D3"/>
    <w:rsid w:val="47F04692"/>
    <w:rsid w:val="4918503E"/>
    <w:rsid w:val="4C0F6284"/>
    <w:rsid w:val="4CFF0ECE"/>
    <w:rsid w:val="4DE0208F"/>
    <w:rsid w:val="51D71B43"/>
    <w:rsid w:val="525A7AFF"/>
    <w:rsid w:val="566A39AB"/>
    <w:rsid w:val="59E37A8B"/>
    <w:rsid w:val="5BA64395"/>
    <w:rsid w:val="5DF271A3"/>
    <w:rsid w:val="5E5F248E"/>
    <w:rsid w:val="64AD07D8"/>
    <w:rsid w:val="6AD172CA"/>
    <w:rsid w:val="6CAF7836"/>
    <w:rsid w:val="6D0C6BF5"/>
    <w:rsid w:val="6E1D39B2"/>
    <w:rsid w:val="747538AE"/>
    <w:rsid w:val="75FC218E"/>
    <w:rsid w:val="771901D8"/>
    <w:rsid w:val="77687FDC"/>
    <w:rsid w:val="780C28FA"/>
  </w:rsids>
  <w:docVars>
    <w:docVar w:name="commondata" w:val="eyJoZGlkIjoiNGVhMGI1ZmUzNGRlZTQ0OTEzMDRkNWVjMmRmNTBlN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39" w:qFormat="1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qFormat="1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TOC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uiPriority w:val="99"/>
    <w:qFormat/>
    <w:pPr>
      <w:widowControl/>
      <w:ind w:left="1000" w:hanging="400"/>
      <w:outlineLvl w:val="2"/>
    </w:pPr>
    <w:rPr>
      <w:szCs w:val="21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qFormat/>
    <w:pPr>
      <w:spacing w:line="540" w:lineRule="exact"/>
      <w:jc w:val="left"/>
    </w:pPr>
    <w:rPr>
      <w:rFonts w:ascii="黑体" w:eastAsia="黑体" w:hAnsi="黑体"/>
      <w:sz w:val="32"/>
      <w:szCs w:val="32"/>
    </w:rPr>
  </w:style>
  <w:style w:type="paragraph" w:styleId="BodyText">
    <w:name w:val="Body Text"/>
    <w:basedOn w:val="Normal"/>
    <w:next w:val="Normal"/>
    <w:uiPriority w:val="99"/>
    <w:unhideWhenUsed/>
    <w:qFormat/>
    <w:pPr>
      <w:spacing w:after="12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NormalWeb">
    <w:name w:val="Normal (Web)"/>
    <w:basedOn w:val="Normal"/>
    <w:next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BodyTextFirstIndent">
    <w:name w:val="Body Text First Indent"/>
    <w:basedOn w:val="BodyText"/>
    <w:next w:val="Normal"/>
    <w:autoRedefine/>
    <w:uiPriority w:val="99"/>
    <w:unhideWhenUsed/>
    <w:qFormat/>
    <w:pPr>
      <w:ind w:firstLine="420" w:firstLineChars="100"/>
    </w:pPr>
  </w:style>
  <w:style w:type="character" w:styleId="Strong">
    <w:name w:val="Strong"/>
    <w:basedOn w:val="DefaultParagraphFont"/>
    <w:qFormat/>
    <w:rPr>
      <w:b/>
    </w:rPr>
  </w:style>
  <w:style w:type="character" w:customStyle="1" w:styleId="NormalCharacter">
    <w:name w:val="NormalCharacter"/>
    <w:autoRedefine/>
    <w:semiHidden/>
    <w:qFormat/>
    <w:rPr>
      <w:rFonts w:ascii="Calibri" w:eastAsia="宋体" w:hAnsi="Calibri" w:cs="仿宋_GB2312"/>
      <w:kern w:val="0"/>
      <w:sz w:val="32"/>
      <w:szCs w:val="32"/>
      <w:lang w:val="en-US" w:eastAsia="zh-CN" w:bidi="ar-SA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cs="Times New Roman" w:hint="eastAsia"/>
      <w:color w:val="000000"/>
      <w:sz w:val="24"/>
      <w:szCs w:val="22"/>
      <w:lang w:val="en-US" w:eastAsia="zh-CN" w:bidi="ar-SA"/>
    </w:rPr>
  </w:style>
  <w:style w:type="paragraph" w:customStyle="1" w:styleId="1">
    <w:name w:val="引文目录1"/>
    <w:next w:val="Normal"/>
    <w:qFormat/>
    <w:pPr>
      <w:widowControl w:val="0"/>
      <w:spacing w:before="100" w:beforeAutospacing="1" w:after="100" w:afterAutospacing="1"/>
      <w:ind w:left="200" w:leftChars="200"/>
      <w:jc w:val="both"/>
    </w:pPr>
    <w:rPr>
      <w:rFonts w:ascii="Calibri" w:eastAsia="宋体" w:hAnsi="Calibri" w:cs="Times New Roman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2166</Words>
  <Characters>2196</Characters>
  <Application>Microsoft Office Word</Application>
  <DocSecurity>0</DocSecurity>
  <Lines>0</Lines>
  <Paragraphs>0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徐海</dc:creator>
  <cp:lastModifiedBy>喜文</cp:lastModifiedBy>
  <cp:revision>1</cp:revision>
  <dcterms:created xsi:type="dcterms:W3CDTF">2024-01-15T09:36:00Z</dcterms:created>
  <dcterms:modified xsi:type="dcterms:W3CDTF">2025-03-07T04:07:34Z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6CC2946D4AD0410281C19C0DBD3F08E2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eyJoZGlkIjoiMjhjYjA5MTE5ZDA4NTVkMjc4ZGUyZjQzZWU4NWQ2Y2YiLCJ1c2VySWQiOiI5NTE2MTA2NTAifQ==</vt:lpwstr>
  </property>
</Properties>
</file>