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eastAsia="方正小标宋简体" w:hAnsi="Times New Roman" w:cs="Times New Roman" w:hint="default"/>
          <w:sz w:val="44"/>
          <w:szCs w:val="44"/>
          <w:lang w:val="en-US" w:eastAsia="zh-CN"/>
        </w:rPr>
      </w:pPr>
      <w:r>
        <w:rPr>
          <w:rFonts w:ascii="Times New Roman" w:eastAsia="方正小标宋简体" w:hAnsi="Times New Roman" w:cs="Times New Roman" w:hint="default"/>
          <w:sz w:val="44"/>
          <w:szCs w:val="44"/>
          <w:lang w:val="en-US" w:eastAsia="zh-CN"/>
        </w:rPr>
        <w:t>2024年度述法报告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eastAsia="楷体_GB2312" w:hAnsi="Times New Roman" w:cs="Times New Roman"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eastAsia="楷体_GB2312" w:hAnsi="Times New Roman" w:cs="Times New Roman" w:hint="default"/>
          <w:sz w:val="32"/>
          <w:szCs w:val="32"/>
          <w:lang w:val="en-US" w:eastAsia="zh-CN"/>
        </w:rPr>
      </w:pPr>
      <w:r>
        <w:rPr>
          <w:rFonts w:ascii="Times New Roman" w:eastAsia="楷体_GB2312" w:hAnsi="Times New Roman" w:cs="Times New Roman" w:hint="default"/>
          <w:sz w:val="32"/>
          <w:szCs w:val="32"/>
          <w:lang w:val="en-US" w:eastAsia="zh-CN"/>
        </w:rPr>
        <w:t>乌苏市甘河子镇党委</w:t>
      </w:r>
      <w:r>
        <w:rPr>
          <w:rFonts w:ascii="Times New Roman" w:eastAsia="楷体_GB2312" w:hAnsi="Times New Roman" w:cs="Times New Roman" w:hint="eastAsia"/>
          <w:sz w:val="32"/>
          <w:szCs w:val="32"/>
          <w:lang w:val="en-US" w:eastAsia="zh-CN"/>
        </w:rPr>
        <w:t>副</w:t>
      </w:r>
      <w:r>
        <w:rPr>
          <w:rFonts w:ascii="Times New Roman" w:eastAsia="楷体_GB2312" w:hAnsi="Times New Roman" w:cs="Times New Roman" w:hint="default"/>
          <w:sz w:val="32"/>
          <w:szCs w:val="32"/>
          <w:lang w:val="en-US" w:eastAsia="zh-CN"/>
        </w:rPr>
        <w:t>书记</w:t>
      </w:r>
      <w:r>
        <w:rPr>
          <w:rFonts w:ascii="Times New Roman" w:eastAsia="楷体_GB2312" w:hAnsi="Times New Roman" w:cs="Times New Roman" w:hint="eastAsia"/>
          <w:sz w:val="32"/>
          <w:szCs w:val="32"/>
          <w:lang w:val="en-US" w:eastAsia="zh-CN"/>
        </w:rPr>
        <w:t>、镇长</w:t>
      </w:r>
      <w:r>
        <w:rPr>
          <w:rFonts w:ascii="Times New Roman" w:eastAsia="楷体_GB2312" w:hAnsi="Times New Roman" w:cs="Times New Roman" w:hint="default"/>
          <w:sz w:val="32"/>
          <w:szCs w:val="32"/>
          <w:lang w:val="en-US" w:eastAsia="zh-CN"/>
        </w:rPr>
        <w:t xml:space="preserve">  </w:t>
      </w:r>
      <w:r>
        <w:rPr>
          <w:rFonts w:ascii="Times New Roman" w:eastAsia="楷体_GB2312" w:hAnsi="Times New Roman" w:cs="Times New Roman" w:hint="eastAsia"/>
          <w:sz w:val="32"/>
          <w:szCs w:val="32"/>
          <w:lang w:val="en-US" w:eastAsia="zh-CN"/>
        </w:rPr>
        <w:t>刘宝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eastAsia="仿宋_GB2312" w:hAnsi="Times New Roman" w:cs="Times New Roman"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根据工作要求，现述法如下：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ascii="Times New Roman" w:eastAsia="黑体" w:hAnsi="Times New Roman" w:cs="Times New Roman" w:hint="default"/>
          <w:sz w:val="32"/>
          <w:szCs w:val="32"/>
          <w:lang w:val="en-US" w:eastAsia="zh-CN"/>
        </w:rPr>
      </w:pPr>
      <w:r>
        <w:rPr>
          <w:rFonts w:ascii="Times New Roman" w:eastAsia="黑体" w:hAnsi="Times New Roman" w:cs="Times New Roman" w:hint="eastAsia"/>
          <w:sz w:val="32"/>
          <w:szCs w:val="32"/>
          <w:lang w:val="en-US" w:eastAsia="zh-CN"/>
        </w:rPr>
        <w:t>一、</w:t>
      </w:r>
      <w:r>
        <w:rPr>
          <w:rFonts w:ascii="Times New Roman" w:eastAsia="黑体" w:hAnsi="Times New Roman" w:cs="Times New Roman" w:hint="default"/>
          <w:sz w:val="32"/>
          <w:szCs w:val="32"/>
          <w:lang w:val="en-US" w:eastAsia="zh-CN"/>
        </w:rPr>
        <w:t>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sz w:val="32"/>
          <w:szCs w:val="32"/>
          <w:lang w:val="en-US" w:eastAsia="zh-CN"/>
        </w:rPr>
        <w:t>（一）坚决学习贯彻习近平法治思想。</w:t>
      </w:r>
      <w:r>
        <w:rPr>
          <w:rFonts w:ascii="仿宋_GB2312" w:eastAsia="仿宋_GB2312" w:hAnsi="仿宋_GB2312" w:cs="仿宋_GB2312" w:hint="eastAsia"/>
          <w:sz w:val="32"/>
          <w:szCs w:val="32"/>
          <w:lang w:val="en-US" w:eastAsia="zh-CN"/>
        </w:rPr>
        <w:t>建立会前学法制度，将习近平法治思想、党的二十大报告关于坚持全面依法治国相关内容、宪法、民法典等内容纳入党委理论学习中心组和党委会学习计划。2024年以来，党委理论学习中心组集中学法14次；组织召开机关干部和村干部专题学法4次，参与人数120余人次，切实做到重大事项决策前必学法、重点工作开展前必学法，着力提升领导干部的法治素养和法治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val="en-US" w:eastAsia="zh-CN"/>
        </w:rPr>
        <w:t>二</w:t>
      </w:r>
      <w:r>
        <w:rPr>
          <w:rFonts w:ascii="楷体_GB2312" w:eastAsia="楷体_GB2312" w:hAnsi="楷体_GB2312" w:cs="楷体_GB2312" w:hint="eastAsia"/>
          <w:sz w:val="32"/>
          <w:szCs w:val="32"/>
          <w:lang w:eastAsia="zh-CN"/>
        </w:rPr>
        <w:t>）</w:t>
      </w:r>
      <w:r>
        <w:rPr>
          <w:rFonts w:ascii="楷体_GB2312" w:eastAsia="楷体_GB2312" w:hAnsi="楷体_GB2312" w:cs="楷体_GB2312" w:hint="eastAsia"/>
          <w:sz w:val="32"/>
          <w:szCs w:val="32"/>
          <w:lang w:val="en-US" w:eastAsia="zh-CN"/>
        </w:rPr>
        <w:t>统筹引领法治政府建设。</w:t>
      </w:r>
      <w:r>
        <w:rPr>
          <w:rFonts w:ascii="仿宋_GB2312" w:eastAsia="仿宋_GB2312" w:hAnsi="仿宋_GB2312" w:cs="仿宋_GB2312" w:hint="eastAsia"/>
          <w:b/>
          <w:bCs/>
          <w:sz w:val="32"/>
          <w:szCs w:val="32"/>
          <w:lang w:val="en-US" w:eastAsia="zh-CN"/>
        </w:rPr>
        <w:t>一是</w:t>
      </w:r>
      <w:r>
        <w:rPr>
          <w:rFonts w:ascii="仿宋_GB2312" w:eastAsia="仿宋_GB2312" w:hAnsi="仿宋_GB2312" w:cs="仿宋_GB2312" w:hint="eastAsia"/>
          <w:sz w:val="32"/>
          <w:szCs w:val="32"/>
          <w:lang w:val="en-US" w:eastAsia="zh-CN"/>
        </w:rPr>
        <w:t>将听取法治建设情况纳入党委会重要议程，听取相关工作汇报，及时解决法治建设工作中的实际问题。</w:t>
      </w:r>
      <w:r>
        <w:rPr>
          <w:rFonts w:ascii="仿宋_GB2312" w:eastAsia="仿宋_GB2312" w:hAnsi="仿宋_GB2312" w:cs="仿宋_GB2312" w:hint="eastAsia"/>
          <w:b/>
          <w:bCs/>
          <w:sz w:val="32"/>
          <w:szCs w:val="32"/>
          <w:lang w:val="en-US" w:eastAsia="zh-CN"/>
        </w:rPr>
        <w:t>二是</w:t>
      </w:r>
      <w:r>
        <w:rPr>
          <w:rFonts w:ascii="仿宋_GB2312" w:eastAsia="仿宋_GB2312" w:hAnsi="仿宋_GB2312" w:cs="仿宋_GB2312" w:hint="eastAsia"/>
          <w:sz w:val="32"/>
          <w:szCs w:val="32"/>
          <w:lang w:val="en-US" w:eastAsia="zh-CN"/>
        </w:rPr>
        <w:t>将法治建设与党建、经济各项工作同研究、同部署、同落实，依法规范镇村党务、政务、村务规范化管理，主动接受人大法律监督、自觉接受司法监督</w:t>
      </w:r>
      <w:bookmarkStart w:id="0" w:name="_GoBack"/>
      <w:bookmarkEnd w:id="0"/>
      <w:r>
        <w:rPr>
          <w:rFonts w:ascii="仿宋_GB2312" w:eastAsia="仿宋_GB2312" w:hAnsi="仿宋_GB2312" w:cs="仿宋_GB2312" w:hint="eastAsia"/>
          <w:sz w:val="32"/>
          <w:szCs w:val="32"/>
          <w:lang w:val="en-US" w:eastAsia="zh-CN"/>
        </w:rPr>
        <w:t>、社会监督和舆论监督，不断提高决策科学化、民主化、法治化水平。</w:t>
      </w:r>
      <w:r>
        <w:rPr>
          <w:rFonts w:ascii="仿宋_GB2312" w:eastAsia="仿宋_GB2312" w:hAnsi="仿宋_GB2312" w:cs="仿宋_GB2312" w:hint="eastAsia"/>
          <w:b/>
          <w:bCs/>
          <w:sz w:val="32"/>
          <w:szCs w:val="32"/>
          <w:lang w:val="en-US" w:eastAsia="zh-CN"/>
        </w:rPr>
        <w:t>三是</w:t>
      </w:r>
      <w:r>
        <w:rPr>
          <w:rFonts w:ascii="仿宋_GB2312" w:eastAsia="仿宋_GB2312" w:hAnsi="仿宋_GB2312" w:cs="仿宋_GB2312" w:hint="eastAsia"/>
          <w:sz w:val="32"/>
          <w:szCs w:val="32"/>
          <w:lang w:val="en-US" w:eastAsia="zh-CN"/>
        </w:rPr>
        <w:t>本年度主持召开依法治镇委员会会议2次，听取法治汇报2次，对依法治村、合法性审查、法治文化阵地建设等法治建设工作作重点部署。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b w:val="0"/>
          <w:bCs w:val="0"/>
          <w:sz w:val="32"/>
          <w:szCs w:val="32"/>
          <w:lang w:val="en-US" w:eastAsia="zh-CN"/>
        </w:rPr>
      </w:pPr>
      <w:r>
        <w:rPr>
          <w:rFonts w:ascii="楷体_GB2312" w:eastAsia="楷体_GB2312" w:hAnsi="楷体_GB2312" w:cs="楷体_GB2312" w:hint="eastAsia"/>
          <w:sz w:val="32"/>
          <w:szCs w:val="32"/>
          <w:lang w:val="en-US" w:eastAsia="zh-CN"/>
        </w:rPr>
        <w:t>（三）依法行政，加速法治政府建设。</w:t>
      </w:r>
      <w:r>
        <w:rPr>
          <w:rFonts w:ascii="仿宋_GB2312" w:eastAsia="仿宋_GB2312" w:hAnsi="仿宋_GB2312" w:cs="仿宋_GB2312" w:hint="eastAsia"/>
          <w:b/>
          <w:bCs/>
          <w:sz w:val="32"/>
          <w:szCs w:val="32"/>
          <w:lang w:val="en-US" w:eastAsia="zh-CN"/>
        </w:rPr>
        <w:t>一是</w:t>
      </w:r>
      <w:r>
        <w:rPr>
          <w:rFonts w:ascii="仿宋_GB2312" w:eastAsia="仿宋_GB2312" w:hAnsi="仿宋_GB2312" w:cs="仿宋_GB2312" w:hint="eastAsia"/>
          <w:sz w:val="32"/>
          <w:szCs w:val="32"/>
          <w:lang w:val="en-US" w:eastAsia="zh-CN"/>
        </w:rPr>
        <w:t>扎实推进综合行政执法改革，配优配强执法队伍，全力以赴做好执法保障。目前，执法人员3人，开展各类培训16次48学时，其间3名执法干部参加市委依法治市办为期一个月的执法培训，同时向市场监督管理局执法队实地学习特种设备的检查方法以及“九小场所”执法要点、自然资源局执法队走访学习图斑反馈及违建排查、农业农村局下企业加工厂实地查看加厚膜生产线及残膜回收处理工艺流程。截至目前，综合行政执法办累计开展执法检查36次，检查商铺5家、企业6家，办理移交案件线索22个，检查发现案件线索6个，下达责令改正通知书18份，其中行政处罚4件，不予行政处罚1件，合计行政处罚金额30200元，累计补缴水资源费117079.8元。</w:t>
      </w:r>
      <w:r>
        <w:rPr>
          <w:rFonts w:ascii="仿宋_GB2312" w:eastAsia="仿宋_GB2312" w:hAnsi="仿宋_GB2312" w:cs="仿宋_GB2312" w:hint="eastAsia"/>
          <w:b/>
          <w:bCs/>
          <w:sz w:val="32"/>
          <w:szCs w:val="32"/>
          <w:lang w:val="en-US" w:eastAsia="zh-CN"/>
        </w:rPr>
        <w:t>二是</w:t>
      </w:r>
      <w:r>
        <w:rPr>
          <w:rFonts w:ascii="仿宋_GB2312" w:eastAsia="仿宋_GB2312" w:hAnsi="仿宋_GB2312" w:cs="仿宋_GB2312" w:hint="eastAsia"/>
          <w:b w:val="0"/>
          <w:bCs w:val="0"/>
          <w:sz w:val="32"/>
          <w:szCs w:val="32"/>
          <w:lang w:val="en-US" w:eastAsia="zh-CN"/>
        </w:rPr>
        <w:t>加强政务公开，不断完善群众举报投诉制度，拓宽群众监督渠道，推动政府工作在法治轨道上高效运行。围绕民生和社会热点，利用便民服务大厅，政务公开栏等积极宣传习近平法治思想，及时宣传最新法律法规，公开财政预算，重大项目审批和实施，社会公益事业建设等群众关注的热点问题和重大突发事件的政府信息。</w:t>
      </w:r>
      <w:r>
        <w:rPr>
          <w:rFonts w:ascii="仿宋_GB2312" w:eastAsia="仿宋_GB2312" w:hAnsi="仿宋_GB2312" w:cs="仿宋_GB2312" w:hint="eastAsia"/>
          <w:b/>
          <w:bCs/>
          <w:sz w:val="32"/>
          <w:szCs w:val="32"/>
          <w:lang w:val="en-US" w:eastAsia="zh-CN"/>
        </w:rPr>
        <w:t>三是</w:t>
      </w:r>
      <w:r>
        <w:rPr>
          <w:rFonts w:ascii="仿宋_GB2312" w:eastAsia="仿宋_GB2312" w:hAnsi="仿宋_GB2312" w:cs="仿宋_GB2312" w:hint="eastAsia"/>
          <w:b w:val="0"/>
          <w:bCs w:val="0"/>
          <w:sz w:val="32"/>
          <w:szCs w:val="32"/>
          <w:lang w:val="en-US" w:eastAsia="zh-CN"/>
        </w:rPr>
        <w:t>坚持依法处访。依照《信访工作条例》规定依法办理信访案件，及时消除信访隐患，化解信访积案，一年来，我镇解决信访案件9件，无新增信访人员，无赴省进京访，无群访事件发生。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sz w:val="32"/>
          <w:szCs w:val="32"/>
          <w:lang w:val="en-US" w:eastAsia="zh-CN"/>
        </w:rPr>
        <w:t>（四）上年度反馈问题整改情况。</w:t>
      </w:r>
      <w:r>
        <w:rPr>
          <w:rFonts w:ascii="仿宋_GB2312" w:eastAsia="仿宋_GB2312" w:hAnsi="仿宋_GB2312" w:cs="仿宋_GB2312" w:hint="eastAsia"/>
          <w:sz w:val="32"/>
          <w:szCs w:val="32"/>
          <w:lang w:val="en-US" w:eastAsia="zh-CN"/>
        </w:rPr>
        <w:t>切实履行推进法治建设第一责任人职责，承担问题整改主体责任，针对整改共性问题、自查问题制定具有针对性的整改措施，确保整改目标、责任单位、整改措施、完成时限“四落实”。2023年度述法反馈共性问题6条、个人自查问题2条均已完成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eastAsia="黑体" w:hAnsi="黑体" w:cs="黑体" w:hint="default"/>
          <w:sz w:val="32"/>
          <w:szCs w:val="32"/>
          <w:lang w:val="en-US" w:eastAsia="zh-CN"/>
        </w:rPr>
      </w:pPr>
      <w:r>
        <w:rPr>
          <w:rFonts w:ascii="黑体" w:eastAsia="黑体" w:hAnsi="黑体" w:cs="黑体" w:hint="eastAsia"/>
          <w:sz w:val="32"/>
          <w:szCs w:val="32"/>
          <w:lang w:val="en-US" w:eastAsia="zh-CN"/>
        </w:rPr>
        <w:t>二、下一步工作打算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sz w:val="32"/>
          <w:szCs w:val="32"/>
          <w:lang w:val="en-US" w:eastAsia="zh-CN"/>
        </w:rPr>
      </w:pPr>
      <w:r>
        <w:rPr>
          <w:rFonts w:ascii="楷体_GB2312" w:eastAsia="楷体_GB2312" w:hAnsi="楷体_GB2312" w:cs="楷体_GB2312" w:hint="eastAsia"/>
          <w:b w:val="0"/>
          <w:bCs w:val="0"/>
          <w:sz w:val="32"/>
          <w:szCs w:val="32"/>
          <w:lang w:val="en-US" w:eastAsia="zh-CN"/>
        </w:rPr>
        <w:t>（一）厚植法治思维，加强法治培训。</w:t>
      </w:r>
      <w:r>
        <w:rPr>
          <w:rFonts w:ascii="仿宋_GB2312" w:eastAsia="仿宋_GB2312" w:hAnsi="仿宋_GB2312" w:cs="仿宋_GB2312" w:hint="default"/>
          <w:sz w:val="32"/>
          <w:szCs w:val="32"/>
          <w:lang w:val="en-US" w:eastAsia="zh-CN"/>
        </w:rPr>
        <w:t>不断加强执法人员执法教育培训工作，聚焦实际操作需求，坚持问题导向，开展案例剖析、法律法规每日自学等活动，努力形成</w:t>
      </w:r>
      <w:r>
        <w:rPr>
          <w:rFonts w:ascii="仿宋_GB2312" w:eastAsia="仿宋_GB2312" w:hAnsi="仿宋_GB2312" w:cs="仿宋_GB2312" w:hint="eastAsia"/>
          <w:sz w:val="32"/>
          <w:szCs w:val="32"/>
          <w:lang w:val="en-US" w:eastAsia="zh-CN"/>
        </w:rPr>
        <w:t>大统战工作格局</w:t>
      </w:r>
      <w:r>
        <w:rPr>
          <w:rFonts w:ascii="仿宋_GB2312" w:eastAsia="仿宋_GB2312" w:hAnsi="仿宋_GB2312" w:cs="仿宋_GB2312" w:hint="default"/>
          <w:sz w:val="32"/>
          <w:szCs w:val="32"/>
          <w:lang w:val="en-US" w:eastAsia="zh-CN"/>
        </w:rPr>
        <w:t>，着力提升执法队伍法治素养和依法履职尽责能力。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sz w:val="32"/>
          <w:szCs w:val="32"/>
          <w:lang w:val="en-US" w:eastAsia="zh-CN"/>
        </w:rPr>
      </w:pPr>
      <w:r>
        <w:rPr>
          <w:rFonts w:ascii="楷体_GB2312" w:eastAsia="楷体_GB2312" w:hAnsi="楷体_GB2312" w:cs="楷体_GB2312" w:hint="eastAsia"/>
          <w:sz w:val="32"/>
          <w:szCs w:val="32"/>
          <w:lang w:val="en-US" w:eastAsia="zh-CN"/>
        </w:rPr>
        <w:t>（三）营造氛围，常抓普法工作走深走实。</w:t>
      </w:r>
      <w:r>
        <w:rPr>
          <w:rFonts w:ascii="仿宋_GB2312" w:eastAsia="仿宋_GB2312" w:hAnsi="仿宋_GB2312" w:cs="仿宋_GB2312" w:hint="default"/>
          <w:sz w:val="32"/>
          <w:szCs w:val="32"/>
          <w:lang w:val="en-US" w:eastAsia="zh-CN"/>
        </w:rPr>
        <w:t>全面落实</w:t>
      </w:r>
      <w:r>
        <w:rPr>
          <w:rFonts w:ascii="仿宋_GB2312" w:eastAsia="仿宋_GB2312" w:hAnsi="仿宋_GB2312" w:cs="仿宋_GB2312" w:hint="eastAsia"/>
          <w:sz w:val="32"/>
          <w:szCs w:val="32"/>
          <w:lang w:val="en-US" w:eastAsia="zh-CN"/>
        </w:rPr>
        <w:t>“谁执法谁普法”</w:t>
      </w:r>
      <w:r>
        <w:rPr>
          <w:rFonts w:ascii="仿宋_GB2312" w:eastAsia="仿宋_GB2312" w:hAnsi="仿宋_GB2312" w:cs="仿宋_GB2312" w:hint="default"/>
          <w:sz w:val="32"/>
          <w:szCs w:val="32"/>
          <w:lang w:val="en-US" w:eastAsia="zh-CN"/>
        </w:rPr>
        <w:t>普法责任制，创新形式开展法律宣传，做好法治典型案例宣传。创新宣传形式，注重办法，用群众喜闻乐见的方式方法，扩大普法覆盖面。紧盯群众最关心、最需要的热点难点问题和法律需求，宣传贴近群众生活的法律知识，推动在全镇营造尊法学法守法用法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sz w:val="32"/>
          <w:szCs w:val="32"/>
          <w:lang w:val="en-US" w:eastAsia="zh-CN"/>
        </w:rPr>
      </w:pPr>
      <w:r>
        <w:rPr>
          <w:rFonts w:ascii="楷体_GB2312" w:eastAsia="楷体_GB2312" w:hAnsi="楷体_GB2312" w:cs="楷体_GB2312" w:hint="eastAsia"/>
          <w:sz w:val="32"/>
          <w:szCs w:val="32"/>
          <w:lang w:val="en-US" w:eastAsia="zh-CN"/>
        </w:rPr>
        <w:t>（四）加快建设高素质法治人才队伍。</w:t>
      </w:r>
      <w:r>
        <w:rPr>
          <w:rFonts w:ascii="仿宋_GB2312" w:eastAsia="仿宋_GB2312" w:hAnsi="仿宋_GB2312" w:cs="仿宋_GB2312" w:hint="default"/>
          <w:sz w:val="32"/>
          <w:szCs w:val="32"/>
          <w:lang w:val="en-US" w:eastAsia="zh-CN"/>
        </w:rPr>
        <w:t>着力加强法治人才培养，推进法治队伍正规化、专业化建设。健全各项规章制度，确保各项工作依法依规开展。严格按照法律法规履行职责，不断提高干部职工运用法治思维和法治方式深化改革、推动发展、化解矛盾、维护稳定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sz w:val="32"/>
          <w:szCs w:val="32"/>
          <w:lang w:val="en-US" w:eastAsia="zh-CN"/>
        </w:rPr>
      </w:pPr>
    </w:p>
    <w:p>
      <w:pPr>
        <w:rPr>
          <w:rFonts w:ascii="仿宋_GB2312" w:eastAsia="仿宋_GB2312" w:hAnsi="仿宋_GB2312" w:cs="仿宋_GB2312" w:hint="eastAsia"/>
          <w:sz w:val="32"/>
          <w:szCs w:val="32"/>
          <w:lang w:val="en-US" w:eastAsia="zh-CN"/>
        </w:rPr>
      </w:pPr>
    </w:p>
    <w:sectPr>
      <w:footerReference w:type="default" r:id="rId5"/>
      <w:pgSz w:w="11906" w:h="16838"/>
      <w:pgMar w:top="1701" w:right="1440" w:bottom="1701" w:left="1440"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posOffset>2613025</wp:posOffset>
              </wp:positionH>
              <wp:positionV relativeFrom="paragraph">
                <wp:posOffset>-105410</wp:posOffset>
              </wp:positionV>
              <wp:extent cx="542925" cy="25146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925"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rPr>
                              <w:rFonts w:asciiTheme="majorEastAsia" w:eastAsiaTheme="majorEastAsia" w:hAnsiTheme="majorEastAsia" w:cstheme="majorEastAsia" w:hint="eastAsia"/>
                              <w:sz w:val="32"/>
                              <w:szCs w:val="32"/>
                              <w:lang w:eastAsia="zh-CN"/>
                            </w:rPr>
                          </w:pPr>
                          <w:r>
                            <w:rPr>
                              <w:rFonts w:asciiTheme="majorEastAsia" w:eastAsiaTheme="majorEastAsia" w:hAnsiTheme="majorEastAsia" w:cstheme="majorEastAsia" w:hint="eastAsia"/>
                              <w:sz w:val="32"/>
                              <w:szCs w:val="32"/>
                              <w:lang w:eastAsia="zh-CN"/>
                            </w:rPr>
                            <w:t>—</w:t>
                          </w:r>
                          <w:r>
                            <w:rPr>
                              <w:rFonts w:asciiTheme="majorEastAsia" w:eastAsiaTheme="majorEastAsia" w:hAnsiTheme="majorEastAsia" w:cstheme="majorEastAsia" w:hint="eastAsia"/>
                              <w:sz w:val="32"/>
                              <w:szCs w:val="32"/>
                              <w:lang w:eastAsia="zh-CN"/>
                            </w:rPr>
                            <w:fldChar w:fldCharType="begin"/>
                          </w:r>
                          <w:r>
                            <w:rPr>
                              <w:rFonts w:asciiTheme="majorEastAsia" w:eastAsiaTheme="majorEastAsia" w:hAnsiTheme="majorEastAsia" w:cstheme="majorEastAsia" w:hint="eastAsia"/>
                              <w:sz w:val="32"/>
                              <w:szCs w:val="32"/>
                              <w:lang w:eastAsia="zh-CN"/>
                            </w:rPr>
                            <w:instrText xml:space="preserve"> PAGE  \* MERGEFORMAT </w:instrText>
                          </w:r>
                          <w:r>
                            <w:rPr>
                              <w:rFonts w:asciiTheme="majorEastAsia" w:eastAsiaTheme="majorEastAsia" w:hAnsiTheme="majorEastAsia" w:cstheme="majorEastAsia" w:hint="eastAsia"/>
                              <w:sz w:val="32"/>
                              <w:szCs w:val="32"/>
                              <w:lang w:eastAsia="zh-CN"/>
                            </w:rPr>
                            <w:fldChar w:fldCharType="separate"/>
                          </w:r>
                          <w:r>
                            <w:rPr>
                              <w:rFonts w:asciiTheme="majorEastAsia" w:eastAsiaTheme="majorEastAsia" w:hAnsiTheme="majorEastAsia" w:cstheme="majorEastAsia" w:hint="eastAsia"/>
                              <w:sz w:val="32"/>
                              <w:szCs w:val="32"/>
                              <w:lang w:eastAsia="zh-CN"/>
                            </w:rPr>
                            <w:t>1</w:t>
                          </w:r>
                          <w:r>
                            <w:rPr>
                              <w:rFonts w:asciiTheme="majorEastAsia" w:eastAsiaTheme="majorEastAsia" w:hAnsiTheme="majorEastAsia" w:cstheme="majorEastAsia" w:hint="eastAsia"/>
                              <w:sz w:val="32"/>
                              <w:szCs w:val="32"/>
                              <w:lang w:eastAsia="zh-CN"/>
                            </w:rPr>
                            <w:fldChar w:fldCharType="end"/>
                          </w:r>
                          <w:r>
                            <w:rPr>
                              <w:rFonts w:asciiTheme="majorEastAsia" w:eastAsiaTheme="majorEastAsia" w:hAnsiTheme="majorEastAsia" w:cstheme="majorEastAsia" w:hint="eastAsia"/>
                              <w:sz w:val="32"/>
                              <w:szCs w:val="32"/>
                              <w:lang w:eastAsia="zh-CN"/>
                            </w:rPr>
                            <w: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42.75pt;height:19.8pt;margin-top:-8.3pt;margin-left:205.75pt;mso-height-relative:page;mso-position-horizontal-relative:margin;mso-width-relative:page;position:absolute;z-index:251659264" coordsize="21600,21600" filled="f" stroked="f" strokeweight="0.5pt">
              <o:lock v:ext="edit" aspectratio="f"/>
              <v:textbox inset="0,0,0,0">
                <w:txbxContent>
                  <w:p>
                    <w:pPr>
                      <w:pStyle w:val="Footer"/>
                      <w:jc w:val="center"/>
                      <w:rPr>
                        <w:rFonts w:asciiTheme="majorEastAsia" w:eastAsiaTheme="majorEastAsia" w:hAnsiTheme="majorEastAsia" w:cstheme="majorEastAsia" w:hint="eastAsia"/>
                        <w:sz w:val="32"/>
                        <w:szCs w:val="32"/>
                        <w:lang w:eastAsia="zh-CN"/>
                      </w:rPr>
                    </w:pPr>
                    <w:r>
                      <w:rPr>
                        <w:rFonts w:asciiTheme="majorEastAsia" w:eastAsiaTheme="majorEastAsia" w:hAnsiTheme="majorEastAsia" w:cstheme="majorEastAsia" w:hint="eastAsia"/>
                        <w:sz w:val="32"/>
                        <w:szCs w:val="32"/>
                        <w:lang w:eastAsia="zh-CN"/>
                      </w:rPr>
                      <w:t>—</w:t>
                    </w:r>
                    <w:r>
                      <w:rPr>
                        <w:rFonts w:asciiTheme="majorEastAsia" w:eastAsiaTheme="majorEastAsia" w:hAnsiTheme="majorEastAsia" w:cstheme="majorEastAsia" w:hint="eastAsia"/>
                        <w:sz w:val="32"/>
                        <w:szCs w:val="32"/>
                        <w:lang w:eastAsia="zh-CN"/>
                      </w:rPr>
                      <w:fldChar w:fldCharType="begin"/>
                    </w:r>
                    <w:r>
                      <w:rPr>
                        <w:rFonts w:asciiTheme="majorEastAsia" w:eastAsiaTheme="majorEastAsia" w:hAnsiTheme="majorEastAsia" w:cstheme="majorEastAsia" w:hint="eastAsia"/>
                        <w:sz w:val="32"/>
                        <w:szCs w:val="32"/>
                        <w:lang w:eastAsia="zh-CN"/>
                      </w:rPr>
                      <w:instrText xml:space="preserve"> PAGE  \* MERGEFORMAT </w:instrText>
                    </w:r>
                    <w:r>
                      <w:rPr>
                        <w:rFonts w:asciiTheme="majorEastAsia" w:eastAsiaTheme="majorEastAsia" w:hAnsiTheme="majorEastAsia" w:cstheme="majorEastAsia" w:hint="eastAsia"/>
                        <w:sz w:val="32"/>
                        <w:szCs w:val="32"/>
                        <w:lang w:eastAsia="zh-CN"/>
                      </w:rPr>
                      <w:fldChar w:fldCharType="separate"/>
                    </w:r>
                    <w:r>
                      <w:rPr>
                        <w:rFonts w:asciiTheme="majorEastAsia" w:eastAsiaTheme="majorEastAsia" w:hAnsiTheme="majorEastAsia" w:cstheme="majorEastAsia" w:hint="eastAsia"/>
                        <w:sz w:val="32"/>
                        <w:szCs w:val="32"/>
                        <w:lang w:eastAsia="zh-CN"/>
                      </w:rPr>
                      <w:t>1</w:t>
                    </w:r>
                    <w:r>
                      <w:rPr>
                        <w:rFonts w:asciiTheme="majorEastAsia" w:eastAsiaTheme="majorEastAsia" w:hAnsiTheme="majorEastAsia" w:cstheme="majorEastAsia" w:hint="eastAsia"/>
                        <w:sz w:val="32"/>
                        <w:szCs w:val="32"/>
                        <w:lang w:eastAsia="zh-CN"/>
                      </w:rPr>
                      <w:fldChar w:fldCharType="end"/>
                    </w:r>
                    <w:r>
                      <w:rPr>
                        <w:rFonts w:asciiTheme="majorEastAsia" w:eastAsiaTheme="majorEastAsia" w:hAnsiTheme="majorEastAsia" w:cstheme="majorEastAsia" w:hint="eastAsia"/>
                        <w:sz w:val="32"/>
                        <w:szCs w:val="32"/>
                        <w:lang w:eastAsia="zh-CN"/>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5770B"/>
    <w:rsid w:val="00550F7D"/>
    <w:rsid w:val="17704E16"/>
    <w:rsid w:val="17781BE9"/>
    <w:rsid w:val="2185770B"/>
    <w:rsid w:val="2D534D4B"/>
    <w:rsid w:val="49A25890"/>
    <w:rsid w:val="630D55FA"/>
    <w:rsid w:val="73B21992"/>
    <w:rsid w:val="7AA2407B"/>
    <w:rsid w:val="7BFD7CF5"/>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basedOn w:val="Normal"/>
    <w:pPr>
      <w:ind w:firstLine="420" w:firstLineChars="2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你超棒</dc:creator>
  <cp:lastModifiedBy>喜文</cp:lastModifiedBy>
  <cp:revision>1</cp:revision>
  <cp:lastPrinted>2025-03-05T10:07:00Z</cp:lastPrinted>
  <dcterms:created xsi:type="dcterms:W3CDTF">2024-12-30T06:58:00Z</dcterms:created>
  <dcterms:modified xsi:type="dcterms:W3CDTF">2025-03-07T04:29:14Z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554C11D8B4A0434BB57945F86BA09B9A_12</vt:lpwstr>
  </property>
  <property fmtid="{D5CDD505-2E9C-101B-9397-08002B2CF9AE}" pid="3" name="KSOProductBuildVer">
    <vt:lpwstr>2052-12.1.0.16729</vt:lpwstr>
  </property>
</Properties>
</file>