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年度述法报告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楷体_GB2312" w:eastAsia="楷体_GB2312" w:hAnsi="楷体_GB2312" w:cs="楷体_GB2312" w:hint="eastAsi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乌苏市</w:t>
      </w:r>
      <w:r>
        <w:rPr>
          <w:rFonts w:ascii="楷体_GB2312" w:eastAsia="楷体_GB2312" w:hAnsi="楷体_GB2312" w:cs="楷体_GB2312" w:hint="eastAsi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应急管理局党委书记、副局长  </w:t>
      </w:r>
      <w:r>
        <w:rPr>
          <w:rFonts w:ascii="楷体_GB2312" w:eastAsia="楷体_GB2312" w:hAnsi="楷体_GB2312" w:cs="楷体_GB2312" w:hint="eastAsia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孙  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560" w:lineRule="atLeast"/>
        <w:ind w:left="0" w:right="0" w:firstLine="640"/>
        <w:jc w:val="both"/>
        <w:rPr>
          <w:rFonts w:ascii="Times New Roman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Times New Roman" w:hAnsi="Times New Roman" w:cs="Times New Roman" w:hint="default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 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根据工作要求，现述法如下：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一、</w:t>
      </w:r>
      <w:r>
        <w:rPr>
          <w:rFonts w:ascii="Times New Roman" w:eastAsia="黑体" w:hAnsi="Times New Roman" w:cs="Times New Roman" w:hint="default"/>
          <w:sz w:val="32"/>
          <w:szCs w:val="32"/>
        </w:rPr>
        <w:t>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 xml:space="preserve"> 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一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Times New Roman" w:hint="default"/>
          <w:sz w:val="32"/>
          <w:szCs w:val="32"/>
        </w:rPr>
        <w:t>落实</w:t>
      </w:r>
      <w:r>
        <w:rPr>
          <w:rFonts w:ascii="Times New Roman" w:eastAsia="楷体_GB2312" w:hAnsi="Times New Roman" w:cs="Times New Roman" w:hint="default"/>
          <w:sz w:val="32"/>
          <w:szCs w:val="32"/>
        </w:rPr>
        <w:t>“第一议题”制度</w:t>
      </w:r>
      <w:r>
        <w:rPr>
          <w:rFonts w:ascii="Times New Roman" w:eastAsia="楷体_GB2312" w:hAnsi="Times New Roman" w:cs="Times New Roman" w:hint="default"/>
          <w:sz w:val="32"/>
          <w:szCs w:val="32"/>
        </w:rPr>
        <w:t>及学法讲法制度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、</w:t>
      </w: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坚持民主集中原则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将学习习近平新时代中国特色社会主义思想作为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党委理论学习中心组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学习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党内重要会议的第一议题，及时组织传达学习习近平总书记关于法治建设的重要论述，确保全体党员干部深刻领会法治精神实质和实践要求。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发挥带头作用</w:t>
      </w:r>
      <w:r>
        <w:rPr>
          <w:rFonts w:ascii="仿宋_GB2312" w:eastAsia="仿宋_GB2312" w:hAnsi="仿宋_GB2312" w:cs="仿宋_GB2312" w:hint="eastAsia"/>
          <w:sz w:val="32"/>
          <w:szCs w:val="32"/>
        </w:rPr>
        <w:t>，组织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局班子成员和全体干部职工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习近平法治思想</w:t>
      </w:r>
      <w:r>
        <w:rPr>
          <w:rFonts w:ascii="仿宋_GB2312" w:eastAsia="仿宋_GB2312" w:hAnsi="仿宋_GB2312" w:cs="仿宋_GB2312" w:hint="eastAsia"/>
          <w:sz w:val="32"/>
          <w:szCs w:val="32"/>
        </w:rPr>
        <w:t>专题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讲座2次，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组织学习宪法法律和党内法规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2次，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严格落实党委理论学习中心组学法制度和讲法制度，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营造良好的法治学习氛围，推动全局干部职工法治素养整体提升。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在工作中，我始终坚持民主集中制原则，充分发扬党内民主，广泛听取意见建议，确保决策的科学性和民主性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今年共召开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次党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委</w:t>
      </w:r>
      <w:r>
        <w:rPr>
          <w:rFonts w:ascii="仿宋_GB2312" w:eastAsia="仿宋_GB2312" w:hAnsi="仿宋_GB2312" w:cs="仿宋_GB2312" w:hint="eastAsia"/>
          <w:sz w:val="32"/>
          <w:szCs w:val="32"/>
        </w:rPr>
        <w:t>会议研究“三重一大”事项，对于重大事项决策、重要干部任免、重大项目安排和大额度资金使用等事项，均按照规定程序进行集体研究、集体决策，做到决策过程公开透明，决策结果公正合理，切实履行好党委书记的领导责任。</w:t>
      </w:r>
    </w:p>
    <w:p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default"/>
          <w:sz w:val="32"/>
          <w:szCs w:val="32"/>
          <w:lang w:val="en-US" w:eastAsia="zh-CN"/>
        </w:rPr>
        <w:t>二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切实加强组织保障，强化组织领导明</w:t>
      </w: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确</w:t>
      </w:r>
      <w:r>
        <w:rPr>
          <w:rFonts w:ascii="Times New Roman" w:eastAsia="楷体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责任。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高度重视法治建设工作，召开党委会议研究部署全年法治建设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重点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工作，制定全局普法责任清单，并成立了法治建设工作领导小组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建立了主要负责人统一领导、分管领导分工负责、股室各司其职、干部积极参与的领导体制和工作机制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今年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以来，局党委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研究安排部署法治建设工作1次，听取法治建设工作汇报2次，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为法治建设工作的顺利开展提供了有力的组织保证。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落实法治建设第一责任人“述法”要求，领导班子成员将法治建设履职情况写入个人年度述职报告。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  <w:lang w:val="en-US" w:eastAsia="zh-CN"/>
        </w:rPr>
        <w:t>三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Times New Roman" w:hint="default"/>
          <w:sz w:val="32"/>
          <w:szCs w:val="32"/>
        </w:rPr>
        <w:t>落实党对人大等各项工作的全面领导及基层减负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。</w:t>
      </w:r>
      <w:r>
        <w:rPr>
          <w:rFonts w:ascii="Times New Roman" w:eastAsia="仿宋_GB2312" w:hAnsi="Times New Roman" w:cs="Times New Roman" w:hint="default"/>
          <w:sz w:val="32"/>
          <w:szCs w:val="32"/>
        </w:rPr>
        <w:t>积极落实党对人大等各项工作的全面领导，支持人大依法履行职责，加强与人大的沟通协调，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积极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办理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人大代表建议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和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意见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，自觉接受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人大、政协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监督，不断改进工作</w:t>
      </w:r>
      <w:r>
        <w:rPr>
          <w:rFonts w:ascii="Times New Roman" w:eastAsia="仿宋_GB2312" w:hAnsi="Times New Roman" w:cs="Times New Roman" w:hint="default"/>
          <w:sz w:val="32"/>
          <w:szCs w:val="32"/>
        </w:rPr>
        <w:t>。认真落实上级基层减负要求，精简会议文件，规范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安全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/>
        </w:rPr>
        <w:t>生产督察</w:t>
      </w:r>
      <w:r>
        <w:rPr>
          <w:rFonts w:ascii="Times New Roman" w:eastAsia="仿宋_GB2312" w:hAnsi="Times New Roman" w:cs="Times New Roman" w:hint="default"/>
          <w:sz w:val="32"/>
          <w:szCs w:val="32"/>
        </w:rPr>
        <w:t>考核，切实减轻基层负担，让基层干部有更多的时间和精力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投入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安全生产</w:t>
      </w:r>
      <w:r>
        <w:rPr>
          <w:rFonts w:ascii="Times New Roman" w:eastAsia="仿宋_GB2312" w:hAnsi="Times New Roman" w:cs="Times New Roman" w:hint="default"/>
          <w:sz w:val="32"/>
          <w:szCs w:val="32"/>
        </w:rPr>
        <w:t>工作。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  <w:lang w:val="en-US" w:eastAsia="zh-CN"/>
        </w:rPr>
        <w:t>四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Times New Roman" w:hint="default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落实“谁主管谁普法、谁执法谁普法”责任制</w:t>
      </w:r>
      <w:r>
        <w:rPr>
          <w:rFonts w:ascii="Times New Roman" w:eastAsia="楷体_GB2312" w:hAnsi="Times New Roman" w:cs="Times New Roman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深入学习宣传宪法、民法典等系列宣传活动，充分利用“5·12”全国防灾减灾日、“安全生产月”“11·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消防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日、“12·4”国家宪法日等时间节点，组织开展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宪法、民法典、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应急救援、安全生产、防震减灾等宣传活动20余场次。发放宣传资料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1万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余份，悬挂横幅1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余条。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围绕普法强基补短板专项行动部署，多举措加大宣传力度，扩大宣传氛围，营造良好的应急管理和安全监管氛围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为提升全民安全与灾害应对素养，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依托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综治中心搭建的网络直播间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和市司法局、市融媒体法治讲堂直播间，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组织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场现场直播普法活动，其中6月份组织1场关于“人人讲安全、个个会应急”的现场执法直播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11月组织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宣传了“防灾减灾”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《中华人民共和国安全生产法》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等法律法规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现场直播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2场；推动企业落实安全生产责任主体，今年以来对企业负责人、安全管理人员、执法人员开展“安全生产专题培训”2次；增强防灾能力，减少灾害损失在乡镇街道开展“防灾减灾救灾知识培训”4场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为引导公众参与，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通过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微信视频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号开展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普法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宣传2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，群众可适时通过直播进行互动咨询，行政执法人员现场进行普法解答，及时为群众提供咨询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服务，</w:t>
      </w:r>
      <w:r>
        <w:rPr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排忧解难。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</w:pPr>
      <w:r>
        <w:rPr>
          <w:rFonts w:ascii="Times New Roman" w:eastAsia="楷体_GB2312" w:hAnsi="Times New Roman" w:cs="Times New Roman" w:hint="eastAsia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  <w:lang w:val="en-US" w:eastAsia="zh-CN"/>
        </w:rPr>
        <w:t>五</w:t>
      </w:r>
      <w:r>
        <w:rPr>
          <w:rFonts w:ascii="Times New Roman" w:eastAsia="楷体_GB2312" w:hAnsi="Times New Roman" w:cs="Times New Roman" w:hint="eastAsia"/>
          <w:sz w:val="32"/>
          <w:szCs w:val="32"/>
          <w:lang w:eastAsia="zh-CN"/>
        </w:rPr>
        <w:t>）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扎实完成法治督察整改任务，推动法治建设再上新台阶。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市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应急管理局针对上年度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自治区、地区、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市法治督察反馈问题，高度重视，迅速行动，全面整改。</w:t>
      </w:r>
      <w:r>
        <w:rPr>
          <w:rFonts w:ascii="Times New Roman" w:eastAsia="仿宋_GB2312" w:hAnsi="Times New Roman" w:cs="Times New Roman" w:hint="default"/>
          <w:sz w:val="32"/>
          <w:szCs w:val="32"/>
          <w:lang w:val="en-US" w:eastAsia="zh-CN"/>
        </w:rPr>
        <w:t>制定了整改方案</w:t>
      </w:r>
      <w:r>
        <w:rPr>
          <w:rFonts w:ascii="Times New Roman" w:eastAsia="仿宋_GB2312" w:hAnsi="Times New Roman" w:cs="Times New Roman" w:hint="default"/>
          <w:sz w:val="32"/>
          <w:szCs w:val="32"/>
          <w:lang w:eastAsia="zh-CN"/>
        </w:rPr>
        <w:t>，明确责任分工，对反馈问题进行逐一剖析，并制定详细整改措施。通过加强法律法规学习，完善内部管理制度，强化执法监督，提升服务质量，确保整改工作取得实效。目前，各项整改任务已按期完成，法治建设水平得到显著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eastAsia="仿宋_GB2312" w:hAnsi="Times New Roman" w:cs="Times New Roman" w:hint="default"/>
          <w:sz w:val="32"/>
          <w:szCs w:val="32"/>
          <w:lang w:val="en-US"/>
        </w:rPr>
      </w:pPr>
      <w:r>
        <w:rPr>
          <w:rFonts w:ascii="Times New Roman" w:eastAsia="黑体" w:hAnsi="Times New Roman" w:cs="Times New Roman" w:hint="eastAsia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lang w:val="en-US" w:eastAsia="zh-CN"/>
        </w:rPr>
        <w:t>、下一步工作打算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Strong"/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Style w:val="Strong"/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加强普法宣传，营造浓厚法治氛围。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继续加强法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治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教育宣传。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多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形式、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多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渠道广泛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法律法规宣传活动。</w:t>
      </w:r>
    </w:p>
    <w:p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ascii="Times New Roman" w:eastAsia="仿宋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Strong"/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Style w:val="Strong"/>
          <w:rFonts w:ascii="仿宋_GB2312" w:eastAsia="仿宋_GB2312" w:hAnsi="仿宋_GB2312" w:cs="仿宋_GB2312" w:hint="eastAsia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加强法治队伍建设。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过案卷评查、岗位练兵、集中培训、交流学习、以老带新等多种形式，不断提升执法队伍整体素质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eastAsia="仿宋_GB2312" w:hAnsi="Times New Roman" w:cs="Times New Roman" w:hint="default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确保安全生产法律法规执行的力度和严肃性。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  <w:u w:val="none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u w:val="none"/>
          <w:lang w:eastAsia="zh-CN"/>
        </w:rPr>
        <w:t>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u w:val="none"/>
        </w:rPr>
        <w:t>严格落实国家机关工作人员学法用法制度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u w:val="none"/>
          <w:lang w:eastAsia="zh-CN"/>
        </w:rPr>
        <w:t>。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u w:val="none"/>
        </w:rPr>
        <w:t>深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</w:rPr>
        <w:t>入开展法治专题培训，将学法用法依法行政等情况纳入年度考核，保证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  <w:lang w:val="en-US" w:eastAsia="zh-CN"/>
        </w:rPr>
        <w:t>干部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</w:rPr>
        <w:t>履行好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  <w:lang w:val="en-US" w:eastAsia="zh-CN"/>
        </w:rPr>
        <w:t>自身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</w:rPr>
        <w:t>的政治责任与法治责任，使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  <w:lang w:val="en-US" w:eastAsia="zh-CN"/>
        </w:rPr>
        <w:t>全体干部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u w:val="none"/>
        </w:rPr>
        <w:t>成为法治化建设的主要推动者与群众法治理念的引领者。</w:t>
      </w:r>
    </w:p>
    <w:sectPr>
      <w:pgSz w:w="11906" w:h="16838"/>
      <w:pgMar w:top="1701" w:right="1440" w:bottom="1701" w:left="144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7235E"/>
    <w:rsid w:val="0055180B"/>
    <w:rsid w:val="043264B4"/>
    <w:rsid w:val="07D84597"/>
    <w:rsid w:val="154C32ED"/>
    <w:rsid w:val="1B65127F"/>
    <w:rsid w:val="1C06219A"/>
    <w:rsid w:val="24CB122B"/>
    <w:rsid w:val="259E0645"/>
    <w:rsid w:val="29C27A8F"/>
    <w:rsid w:val="2B341EF0"/>
    <w:rsid w:val="2DF54BEC"/>
    <w:rsid w:val="2E5B4C9B"/>
    <w:rsid w:val="2FA913E2"/>
    <w:rsid w:val="30274FF8"/>
    <w:rsid w:val="4FA2799C"/>
    <w:rsid w:val="5907235E"/>
    <w:rsid w:val="5BA431A3"/>
    <w:rsid w:val="5E361A1F"/>
    <w:rsid w:val="64FD39BC"/>
    <w:rsid w:val="6BAF668B"/>
    <w:rsid w:val="6EF51F98"/>
    <w:rsid w:val="70477422"/>
    <w:rsid w:val="704D54F2"/>
    <w:rsid w:val="75845FDA"/>
    <w:rsid w:val="78E37C2E"/>
  </w:rsids>
  <w:docVars>
    <w:docVar w:name="commondata" w:val="eyJoZGlkIjoiNGVhMGI1ZmUzNGRlZTQ0OTEzMDRkNWVjMmRmNTBlN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next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cp:lastPrinted>2025-02-17T04:37:00Z</cp:lastPrinted>
  <dcterms:created xsi:type="dcterms:W3CDTF">2025-02-11T08:32:00Z</dcterms:created>
  <dcterms:modified xsi:type="dcterms:W3CDTF">2025-03-07T03:44:04Z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B750D3A855F346069406BB9941FE0BE3</vt:lpwstr>
  </property>
  <property fmtid="{D5CDD505-2E9C-101B-9397-08002B2CF9AE}" pid="3" name="KSOProductBuildVer">
    <vt:lpwstr>2052-12.1.0.16729</vt:lpwstr>
  </property>
</Properties>
</file>