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Times New Roman" w:eastAsia="方正小标宋简体" w:hAnsi="Times New Roman" w:cs="Times New Roman" w:hint="default"/>
          <w:color w:val="000000" w:themeColor="text1"/>
          <w:sz w:val="44"/>
          <w:szCs w:val="44"/>
          <w:highlight w:val="none"/>
          <w:lang w:val="en-US" w:eastAsia="zh-CN"/>
          <w14:textFill>
            <w14:solidFill>
              <w14:schemeClr w14:val="tx1"/>
            </w14:solidFill>
          </w14:textFill>
        </w:rPr>
      </w:pPr>
      <w:r>
        <w:rPr>
          <w:rFonts w:ascii="Times New Roman" w:eastAsia="方正小标宋简体" w:hAnsi="Times New Roman" w:cs="Times New Roman" w:hint="default"/>
          <w:color w:val="000000" w:themeColor="text1"/>
          <w:sz w:val="44"/>
          <w:szCs w:val="44"/>
          <w:highlight w:val="none"/>
          <w:lang w:val="en-US" w:eastAsia="zh-CN"/>
          <w14:textFill>
            <w14:solidFill>
              <w14:schemeClr w14:val="tx1"/>
            </w14:solidFill>
          </w14:textFill>
        </w:rPr>
        <w:t>2024年度述法报告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eastAsia="楷体_GB2312" w:hAnsi="Times New Roman" w:cs="Times New Roman" w:hint="default"/>
          <w:color w:val="000000" w:themeColor="text1"/>
          <w:sz w:val="32"/>
          <w:szCs w:val="32"/>
          <w:highlight w:val="none"/>
          <w:lang w:val="en-US" w:eastAsia="zh-CN"/>
          <w14:textFill>
            <w14:solidFill>
              <w14:schemeClr w14:val="tx1"/>
            </w14:solidFill>
          </w14:textFill>
        </w:rPr>
      </w:pPr>
      <w:r>
        <w:rPr>
          <w:rFonts w:ascii="Times New Roman" w:eastAsia="楷体_GB2312" w:hAnsi="Times New Roman" w:cs="Times New Roman" w:hint="default"/>
          <w:color w:val="000000" w:themeColor="text1"/>
          <w:sz w:val="32"/>
          <w:szCs w:val="32"/>
          <w:highlight w:val="none"/>
          <w:lang w:val="en-US" w:eastAsia="zh-CN"/>
          <w14:textFill>
            <w14:solidFill>
              <w14:schemeClr w14:val="tx1"/>
            </w14:solidFill>
          </w14:textFill>
        </w:rPr>
        <w:t>乌苏市应急管理局党委副书记、局长  迟柏涛</w:t>
      </w:r>
    </w:p>
    <w:p>
      <w:pPr>
        <w:pStyle w:val="Heading1"/>
        <w:pageBreakBefore w:val="0"/>
        <w:widowControl w:val="0"/>
        <w:kinsoku/>
        <w:wordWrap/>
        <w:overflowPunct/>
        <w:topLinePunct w:val="0"/>
        <w:autoSpaceDE/>
        <w:autoSpaceDN/>
        <w:bidi w:val="0"/>
        <w:adjustRightInd/>
        <w:snapToGrid/>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color w:val="000000" w:themeColor="text1"/>
          <w:sz w:val="32"/>
          <w:szCs w:val="32"/>
          <w:highlight w:val="none"/>
          <w:lang w:val="en-US" w:eastAsia="zh-CN"/>
          <w14:textFill>
            <w14:solidFill>
              <w14:schemeClr w14:val="tx1"/>
            </w14:solidFill>
          </w14:textFill>
        </w:rPr>
      </w:pPr>
      <w:r>
        <w:rPr>
          <w:rFonts w:ascii="Times New Roman" w:eastAsia="仿宋_GB2312" w:hAnsi="Times New Roman" w:cs="Times New Roman" w:hint="default"/>
          <w:color w:val="000000" w:themeColor="text1"/>
          <w:sz w:val="32"/>
          <w:szCs w:val="32"/>
          <w:highlight w:val="none"/>
          <w:lang w:val="en-US" w:eastAsia="zh-CN"/>
          <w14:textFill>
            <w14:solidFill>
              <w14:schemeClr w14:val="tx1"/>
            </w14:solidFill>
          </w14:textFill>
        </w:rPr>
        <w:t>根据工作要求，现述法如下</w:t>
      </w:r>
      <w:r>
        <w:rPr>
          <w:rFonts w:ascii="Times New Roman" w:eastAsia="仿宋_GB2312" w:hAnsi="Times New Roman" w:cs="Times New Roman" w:hint="eastAsia"/>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color w:val="000000" w:themeColor="text1"/>
          <w:sz w:val="32"/>
          <w:szCs w:val="32"/>
          <w:highlight w:val="none"/>
          <w:lang w:eastAsia="zh-CN"/>
          <w14:textFill>
            <w14:solidFill>
              <w14:schemeClr w14:val="tx1"/>
            </w14:solidFill>
          </w14:textFill>
        </w:rPr>
      </w:pPr>
      <w:r>
        <w:rPr>
          <w:rFonts w:ascii="Times New Roman" w:eastAsia="黑体" w:hAnsi="Times New Roman" w:cs="Times New Roman" w:hint="default"/>
          <w:color w:val="000000" w:themeColor="text1"/>
          <w:sz w:val="32"/>
          <w:szCs w:val="32"/>
          <w:highlight w:val="none"/>
          <w:lang w:val="en-US" w:eastAsia="zh-CN"/>
          <w14:textFill>
            <w14:solidFill>
              <w14:schemeClr w14:val="tx1"/>
            </w14:solidFill>
          </w14:textFill>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b w:val="0"/>
          <w:bCs w:val="0"/>
          <w:color w:val="000000" w:themeColor="text1"/>
          <w:sz w:val="32"/>
          <w:szCs w:val="32"/>
          <w14:textFill>
            <w14:solidFill>
              <w14:schemeClr w14:val="tx1"/>
            </w14:solidFill>
          </w14:textFill>
        </w:rPr>
      </w:pPr>
      <w:r>
        <w:rPr>
          <w:rFonts w:ascii="Times New Roman" w:eastAsia="楷体_GB2312" w:hAnsi="Times New Roman" w:cs="Times New Roman" w:hint="default"/>
          <w:b w:val="0"/>
          <w:bCs w:val="0"/>
          <w:color w:val="000000" w:themeColor="text1"/>
          <w:sz w:val="32"/>
          <w:szCs w:val="32"/>
          <w14:textFill>
            <w14:solidFill>
              <w14:schemeClr w14:val="tx1"/>
            </w14:solidFill>
          </w14:textFill>
        </w:rPr>
        <w:t>（一）高度重视党委</w:t>
      </w:r>
      <w:r>
        <w:rPr>
          <w:rFonts w:ascii="Times New Roman" w:eastAsia="楷体_GB2312" w:hAnsi="Times New Roman" w:cs="Times New Roman" w:hint="eastAsia"/>
          <w:b w:val="0"/>
          <w:bCs w:val="0"/>
          <w:color w:val="000000" w:themeColor="text1"/>
          <w:sz w:val="32"/>
          <w:szCs w:val="32"/>
          <w:lang w:eastAsia="zh-CN"/>
          <w14:textFill>
            <w14:solidFill>
              <w14:schemeClr w14:val="tx1"/>
            </w14:solidFill>
          </w14:textFill>
        </w:rPr>
        <w:t>理论学习中心组</w:t>
      </w:r>
      <w:r>
        <w:rPr>
          <w:rFonts w:ascii="Times New Roman" w:eastAsia="楷体_GB2312" w:hAnsi="Times New Roman" w:cs="Times New Roman" w:hint="default"/>
          <w:b w:val="0"/>
          <w:bCs w:val="0"/>
          <w:color w:val="000000" w:themeColor="text1"/>
          <w:sz w:val="32"/>
          <w:szCs w:val="32"/>
          <w14:textFill>
            <w14:solidFill>
              <w14:schemeClr w14:val="tx1"/>
            </w14:solidFill>
          </w14:textFill>
        </w:rPr>
        <w:t>学法制度，落实重大事项决策前学法，强化了习近平法治思想培训。</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一是将涵盖习近平法治思想、宪法、中国特色社会主义法律体系以及与应急管理工作紧密相关的法律法规的学习内容纳入中心组学习中，增强了领导干部的法治观念，依法决策、依法行政能力得到有效提升。二是在重大事项决策前，组织相关人员学习法律法规、政策文件，确保决策过程符合法律法规要求。三是将习近平法治思想学习，</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作为</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党委中心组学习、干部培训的重要内容，认真落实主要领导带头讲法，集体学法。今年以来</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本人</w:t>
      </w:r>
      <w:r>
        <w:rPr>
          <w:rFonts w:ascii="Times New Roman" w:eastAsia="仿宋_GB2312" w:hAnsi="Times New Roman" w:cs="Times New Roman" w:hint="default"/>
          <w:b w:val="0"/>
          <w:bCs w:val="0"/>
          <w:color w:val="000000" w:themeColor="text1"/>
          <w:sz w:val="32"/>
          <w:szCs w:val="32"/>
          <w14:textFill>
            <w14:solidFill>
              <w14:schemeClr w14:val="tx1"/>
            </w14:solidFill>
          </w14:textFill>
        </w:rPr>
        <w:t>带头讲法治课2次，开展习近平法治思想专题培训学习3次，参加“法治讲堂，逢九必讲”5次，通过培训领导干部对习近平法治思想</w:t>
      </w:r>
      <w:r>
        <w:rPr>
          <w:rFonts w:ascii="Times New Roman" w:eastAsia="仿宋_GB2312" w:hAnsi="Times New Roman" w:cs="Times New Roman" w:hint="eastAsia"/>
          <w:b w:val="0"/>
          <w:bCs w:val="0"/>
          <w:color w:val="000000" w:themeColor="text1"/>
          <w:sz w:val="32"/>
          <w:szCs w:val="32"/>
          <w:lang w:eastAsia="zh-CN"/>
          <w14:textFill>
            <w14:solidFill>
              <w14:schemeClr w14:val="tx1"/>
            </w14:solidFill>
          </w14:textFill>
        </w:rPr>
        <w:t>有了更深刻的认识</w:t>
      </w:r>
      <w:bookmarkStart w:id="0" w:name="_GoBack"/>
      <w:bookmarkEnd w:id="0"/>
      <w:r>
        <w:rPr>
          <w:rFonts w:ascii="Times New Roman" w:eastAsia="仿宋_GB2312" w:hAnsi="Times New Roman" w:cs="Times New Roman" w:hint="default"/>
          <w:b w:val="0"/>
          <w:bCs w:val="0"/>
          <w:color w:val="000000" w:themeColor="text1"/>
          <w:sz w:val="32"/>
          <w:szCs w:val="32"/>
          <w14:textFill>
            <w14:solidFill>
              <w14:schemeClr w14:val="tx1"/>
            </w14:solidFill>
          </w14:textFill>
        </w:rPr>
        <w:t>和理解，为依法行政提供了坚实的思想基础。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firstLine="640" w:leftChars="0" w:firstLineChars="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_GB2312" w:hAnsi="Times New Roman" w:cs="Times New Roman" w:hint="default"/>
          <w:b w:val="0"/>
          <w:bCs w:val="0"/>
          <w:color w:val="000000" w:themeColor="text1"/>
          <w:sz w:val="32"/>
          <w:szCs w:val="32"/>
          <w14:textFill>
            <w14:solidFill>
              <w14:schemeClr w14:val="tx1"/>
            </w14:solidFill>
          </w14:textFill>
        </w:rPr>
        <w:t>推进本单位法治建设</w:t>
      </w:r>
      <w:r>
        <w:rPr>
          <w:rFonts w:ascii="Times New Roman" w:eastAsia="楷体_GB2312" w:hAnsi="Times New Roman" w:cs="Times New Roman" w:hint="default"/>
          <w:b w:val="0"/>
          <w:bCs w:val="0"/>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一是推动建立健全法治政府建设重要工作、重大问题研究解决机制。高度重视法治政府建设工作，召开党委会议研究部署全年法治政府建设重点工作，制定全局普法责任清单，并成立了法治建设工作领导小组，及时研究解决法治政府建设有关重大问题，为推进法治建设提供保障，创造条件。建立了主要负责人统一领导、分管领导分工负责、股室各司其职、干部群众积极参与的领导体制和工作机制；今年以来本人，研究安排部署法治建设工作1次，听取法治建设工作汇报2次，为法治政府建设工作的顺利开展提供了有力的组织保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firstLine="640" w:leftChars="0" w:firstLineChars="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_GB2312" w:hAnsi="Times New Roman" w:cs="Times New Roman" w:hint="default"/>
          <w:b w:val="0"/>
          <w:bCs w:val="0"/>
          <w:color w:val="000000" w:themeColor="text1"/>
          <w:sz w:val="32"/>
          <w:szCs w:val="32"/>
          <w:lang w:val="en-US" w:eastAsia="zh-CN"/>
          <w14:textFill>
            <w14:solidFill>
              <w14:schemeClr w14:val="tx1"/>
            </w14:solidFill>
          </w14:textFill>
        </w:rPr>
        <w:t>积极推进依法行政，严格规范公正文明执法。</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一是建章立制，保障规范执法。先后制定了“三项制度”《行政执法错案差案责任追究制度》等制度规范，为实现规范公正文明执法提供了制度保障。二是加大行政执法工作力度，提高执法检查隐患查处率，对非煤矿山、工矿商贸、危险化学品生产经营等行业领域开展执法行动，有力打击安全生产违法行为</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三是支持全面严格落实行政执法公示制度、执法全过程记录制度、重大行政执法决定法制审核制度，规范行政执法行为，严格遵守《</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中华人民共和国</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政府信息公开条例》，对行政处罚、行政许可及时在政府网站上予以公开，2024年共在政府网站</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和塔城地区信用信息平台</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主动公开行政处罚决定书25份、行政许可5期</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、开具</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法制审核意见书1</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4</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份、行政处罚案件集体讨论记录1</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4</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份。</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四</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是制定《乌苏市应急管理局综合行政执法培训方案》，将习近平法治思想、《中华人民共和国宪法</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中华人民共和国安全生产法》等法治思想、法学理论和与业务相关的法律法规纳入学法内容。2024年组织全体干部职工开展22期行政执法培训，完成了60课时的学习，有效提高执法人员法治思维，形成办事依法、遇事找法、解决问题用法、化解矛盾靠法的思维方式和工作方法。</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五是</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落实法律顾问制度，充分发挥法律顾问职能作用，加强重大法律事务审查工作，聘用律师事务所律师担任局法律顾问，参与我局重要行政决策论证，对具体行政行为提出法律意见，确保重大决策科学性、合法性与可操作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firstLine="640" w:leftChars="0" w:firstLineChars="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_GB2312" w:hAnsi="Times New Roman" w:cs="Times New Roman" w:hint="default"/>
          <w:b w:val="0"/>
          <w:bCs w:val="0"/>
          <w:color w:val="000000" w:themeColor="text1"/>
          <w:sz w:val="32"/>
          <w:szCs w:val="32"/>
          <w:lang w:val="en-US" w:eastAsia="zh-CN"/>
          <w14:textFill>
            <w14:solidFill>
              <w14:schemeClr w14:val="tx1"/>
            </w14:solidFill>
          </w14:textFill>
        </w:rPr>
        <w:t>坚持以身作则，争做文明执法的“应急人”。</w:t>
      </w:r>
      <w:r>
        <w:rPr>
          <w:rFonts w:ascii="Times New Roman" w:eastAsia="仿宋_GB2312" w:hAnsi="Times New Roman" w:cs="Times New Roman" w:hint="default"/>
          <w:sz w:val="32"/>
          <w:szCs w:val="32"/>
        </w:rPr>
        <w:t>定期</w:t>
      </w:r>
      <w:r>
        <w:rPr>
          <w:rFonts w:ascii="Times New Roman" w:eastAsia="仿宋_GB2312" w:hAnsi="Times New Roman" w:cs="Times New Roman" w:hint="default"/>
          <w:sz w:val="32"/>
          <w:szCs w:val="32"/>
          <w:lang w:val="en-US" w:eastAsia="zh-CN"/>
        </w:rPr>
        <w:t>对</w:t>
      </w:r>
      <w:r>
        <w:rPr>
          <w:rFonts w:ascii="Times New Roman" w:eastAsia="仿宋_GB2312" w:hAnsi="Times New Roman" w:cs="Times New Roman" w:hint="default"/>
          <w:sz w:val="32"/>
          <w:szCs w:val="32"/>
        </w:rPr>
        <w:t>企业</w:t>
      </w:r>
      <w:r>
        <w:rPr>
          <w:rFonts w:ascii="Times New Roman" w:eastAsia="仿宋_GB2312" w:hAnsi="Times New Roman" w:cs="Times New Roman" w:hint="default"/>
          <w:sz w:val="32"/>
          <w:szCs w:val="32"/>
          <w:lang w:val="en-US" w:eastAsia="zh-CN"/>
        </w:rPr>
        <w:t>开展安全生产检查</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val="en-US" w:eastAsia="zh-CN"/>
        </w:rPr>
        <w:t>督促</w:t>
      </w:r>
      <w:r>
        <w:rPr>
          <w:rFonts w:ascii="Times New Roman" w:eastAsia="仿宋_GB2312" w:hAnsi="Times New Roman" w:cs="Times New Roman" w:hint="default"/>
          <w:sz w:val="32"/>
          <w:szCs w:val="32"/>
        </w:rPr>
        <w:t>企业查问题、改隐患，强化风险防控</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实施“</w:t>
      </w:r>
      <w:r>
        <w:rPr>
          <w:rFonts w:ascii="Times New Roman" w:eastAsia="仿宋_GB2312" w:hAnsi="Times New Roman" w:cs="Times New Roman" w:hint="default"/>
          <w:sz w:val="32"/>
          <w:szCs w:val="32"/>
          <w:lang w:val="en-US" w:eastAsia="zh-CN"/>
        </w:rPr>
        <w:t>执法</w:t>
      </w:r>
      <w:r>
        <w:rPr>
          <w:rFonts w:ascii="Times New Roman" w:eastAsia="仿宋_GB2312" w:hAnsi="Times New Roman" w:cs="Times New Roman" w:hint="default"/>
          <w:sz w:val="32"/>
          <w:szCs w:val="32"/>
        </w:rPr>
        <w:t>+专家”监管模式，聘请专家对企业开展高水平“把脉问诊”</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制定年度安全生产监督检查计划，结合“双随机、一公开”</w:t>
      </w:r>
      <w:r>
        <w:rPr>
          <w:rFonts w:ascii="Times New Roman" w:eastAsia="仿宋_GB2312" w:hAnsi="Times New Roman" w:cs="Times New Roman" w:hint="default"/>
          <w:sz w:val="32"/>
          <w:szCs w:val="32"/>
          <w:lang w:val="en-US" w:eastAsia="zh-CN"/>
        </w:rPr>
        <w:t>工作机制</w:t>
      </w:r>
      <w:r>
        <w:rPr>
          <w:rFonts w:ascii="Times New Roman" w:eastAsia="仿宋_GB2312" w:hAnsi="Times New Roman" w:cs="Times New Roman" w:hint="default"/>
          <w:sz w:val="32"/>
          <w:szCs w:val="32"/>
          <w:u w:val="none"/>
        </w:rPr>
        <w:t>，</w:t>
      </w:r>
      <w:r>
        <w:rPr>
          <w:rFonts w:ascii="Times New Roman" w:eastAsia="仿宋_GB2312" w:hAnsi="Times New Roman" w:cs="Times New Roman" w:hint="default"/>
          <w:sz w:val="32"/>
          <w:szCs w:val="32"/>
          <w:u w:val="none"/>
          <w:lang w:val="en-US" w:eastAsia="zh-CN"/>
        </w:rPr>
        <w:t>严厉打击</w:t>
      </w:r>
      <w:r>
        <w:rPr>
          <w:rFonts w:ascii="Times New Roman" w:eastAsia="仿宋_GB2312" w:hAnsi="Times New Roman" w:cs="Times New Roman" w:hint="default"/>
          <w:sz w:val="32"/>
          <w:szCs w:val="32"/>
          <w:u w:val="none"/>
        </w:rPr>
        <w:t>违法行为。</w:t>
      </w:r>
      <w:r>
        <w:rPr>
          <w:rFonts w:ascii="Times New Roman" w:eastAsia="仿宋_GB2312" w:hAnsi="Times New Roman" w:cs="Times New Roman" w:hint="eastAsia"/>
          <w:sz w:val="32"/>
          <w:szCs w:val="32"/>
          <w:u w:val="none"/>
          <w:lang w:eastAsia="zh-CN"/>
        </w:rPr>
        <w:t>截至</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目前，监督检查各类生产经营单位共检查企业100家次，发现隐患</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521</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份，已整改完成</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510</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项。立案1</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4</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起，行政处罚</w:t>
      </w: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34.97</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firstLine="640" w:leftChars="0" w:firstLineChars="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楷体_GB2312" w:hAnsi="Times New Roman" w:cs="Times New Roman" w:hint="default"/>
          <w:b w:val="0"/>
          <w:bCs w:val="0"/>
          <w:color w:val="000000" w:themeColor="text1"/>
          <w:sz w:val="32"/>
          <w:szCs w:val="32"/>
          <w:lang w:val="en-US" w:eastAsia="zh-CN"/>
          <w14:textFill>
            <w14:solidFill>
              <w14:schemeClr w14:val="tx1"/>
            </w14:solidFill>
          </w14:textFill>
        </w:rPr>
        <w:t>上年度述法和自治区、地区及乌苏市法治督察反馈问题整改情况。</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做好了2024年自治区、地区、乌苏市法治建设全面督察反馈问题的整改工作，法治领域问题得到了解决。采用多种形式全面加强法制宣传教育，规范执法过程音视频记录保存管理工作，加大执法处罚力度，各类违法违规现象得到相应的处罚，进一步加强了执法人员的学习培训力度，采取了集中培训、分散学习和参加上级业务培训等方式，提升执法人员法律素质、职业道德素养、执法为民理念、依法行政意识、执法业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黑体" w:hAnsi="Times New Roman" w:cs="Times New Roman" w:hint="default"/>
          <w:b w:val="0"/>
          <w:bCs w:val="0"/>
          <w:color w:val="000000" w:themeColor="text1"/>
          <w:sz w:val="32"/>
          <w:szCs w:val="32"/>
          <w:lang w:val="en-US" w:eastAsia="zh-CN"/>
          <w14:textFill>
            <w14:solidFill>
              <w14:schemeClr w14:val="tx1"/>
            </w14:solidFill>
          </w14:textFill>
        </w:rPr>
        <w:t>三、下一步工作打算</w:t>
      </w:r>
    </w:p>
    <w:p>
      <w:pPr>
        <w:pStyle w:val="BodyTextInden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加强法治教育，持续推进依法行政。坚持把法治建设作为经常性、基础性、全局性工作来抓。</w:t>
      </w:r>
    </w:p>
    <w:p>
      <w:pPr>
        <w:pStyle w:val="BodyTextInden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b w:val="0"/>
          <w:bCs/>
          <w:color w:val="000000"/>
          <w:kern w:val="0"/>
          <w:sz w:val="32"/>
          <w:szCs w:val="32"/>
          <w:highlight w:val="none"/>
          <w:lang w:val="en-US" w:eastAsia="zh-CN" w:bidi="ar"/>
        </w:rPr>
      </w:pPr>
      <w:r>
        <w:rPr>
          <w:rFonts w:ascii="Times New Roman" w:eastAsia="仿宋_GB2312" w:hAnsi="Times New Roman" w:cs="Times New Roman" w:hint="eastAsia"/>
          <w:b w:val="0"/>
          <w:bCs/>
          <w:color w:val="000000"/>
          <w:kern w:val="0"/>
          <w:sz w:val="32"/>
          <w:szCs w:val="32"/>
          <w:highlight w:val="none"/>
          <w:lang w:val="en-US" w:eastAsia="zh-CN" w:bidi="ar"/>
        </w:rPr>
        <w:t>（二）</w:t>
      </w:r>
      <w:r>
        <w:rPr>
          <w:rFonts w:ascii="Times New Roman" w:eastAsia="仿宋_GB2312" w:hAnsi="Times New Roman" w:cs="Times New Roman" w:hint="default"/>
          <w:b w:val="0"/>
          <w:bCs/>
          <w:color w:val="000000"/>
          <w:kern w:val="0"/>
          <w:sz w:val="32"/>
          <w:szCs w:val="32"/>
          <w:highlight w:val="none"/>
          <w:lang w:val="en-US" w:eastAsia="zh-CN" w:bidi="ar"/>
        </w:rPr>
        <w:t>把住要害关键，进一步提高突发事件依法处置能力。加强灾害应急演练，调整和充实应急物资的品种和数量，严格落实值班值守制度，做到灾情信息上报及时、优化各项应急预案衔接，扎实推进全市</w:t>
      </w:r>
      <w:r>
        <w:rPr>
          <w:rFonts w:ascii="Times New Roman" w:eastAsia="仿宋_GB2312" w:hAnsi="Times New Roman" w:cs="Times New Roman" w:hint="eastAsia"/>
          <w:b w:val="0"/>
          <w:bCs/>
          <w:color w:val="000000"/>
          <w:kern w:val="0"/>
          <w:sz w:val="32"/>
          <w:szCs w:val="32"/>
          <w:highlight w:val="none"/>
          <w:lang w:val="en-US" w:eastAsia="zh-CN" w:bidi="ar"/>
        </w:rPr>
        <w:t>防灾减灾救灾</w:t>
      </w:r>
      <w:r>
        <w:rPr>
          <w:rFonts w:ascii="Times New Roman" w:eastAsia="仿宋_GB2312" w:hAnsi="Times New Roman" w:cs="Times New Roman" w:hint="default"/>
          <w:b w:val="0"/>
          <w:bCs/>
          <w:color w:val="000000"/>
          <w:kern w:val="0"/>
          <w:sz w:val="32"/>
          <w:szCs w:val="32"/>
          <w:highlight w:val="none"/>
          <w:lang w:val="en-US" w:eastAsia="zh-CN" w:bidi="ar"/>
        </w:rPr>
        <w:t>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pPr>
      <w:r>
        <w:rPr>
          <w:rFonts w:ascii="Times New Roman" w:eastAsia="仿宋_GB2312" w:hAnsi="Times New Roman" w:cs="Times New Roman" w:hint="eastAsia"/>
          <w:b w:val="0"/>
          <w:bCs w:val="0"/>
          <w:color w:val="000000" w:themeColor="text1"/>
          <w:sz w:val="32"/>
          <w:szCs w:val="32"/>
          <w:lang w:val="en-US" w:eastAsia="zh-CN"/>
          <w14:textFill>
            <w14:solidFill>
              <w14:schemeClr w14:val="tx1"/>
            </w14:solidFill>
          </w14:textFill>
        </w:rPr>
        <w:t>（三）</w:t>
      </w:r>
      <w:r>
        <w:rPr>
          <w:rFonts w:ascii="Times New Roman" w:eastAsia="仿宋_GB2312" w:hAnsi="Times New Roman" w:cs="Times New Roman" w:hint="default"/>
          <w:b w:val="0"/>
          <w:bCs w:val="0"/>
          <w:color w:val="000000" w:themeColor="text1"/>
          <w:sz w:val="32"/>
          <w:szCs w:val="32"/>
          <w:lang w:val="en-US" w:eastAsia="zh-CN"/>
          <w14:textFill>
            <w14:solidFill>
              <w14:schemeClr w14:val="tx1"/>
            </w14:solidFill>
          </w14:textFill>
        </w:rPr>
        <w:t>加强法治队伍建设。通过案卷评查、岗位练兵、集中培训、交流学习、以老带新等多种形式，不断提升执法队伍整体素质。严厉打击非法生产、经营行为，严格查处生产安全事故，严肃整治重大事故隐患。确保安全生产法律法规执行的力度和严肃性。</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ascii="Times New Roman" w:hAnsi="Times New Roman" w:cs="Times New Roman" w:hint="default"/>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ascii="Times New Roman" w:hAnsi="Times New Roman" w:cs="Times New Roman" w:hint="default"/>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ascii="Times New Roman" w:eastAsia="仿宋_GB2312" w:hAnsi="Times New Roman" w:cs="Times New Roman" w:hint="default"/>
          <w:sz w:val="32"/>
          <w:szCs w:val="32"/>
          <w:lang w:val="en-US" w:eastAsia="zh-CN"/>
        </w:rPr>
      </w:pPr>
      <w:r>
        <w:rPr>
          <w:rFonts w:ascii="Times New Roman" w:hAnsi="Times New Roman" w:cs="Times New Roman" w:hint="default"/>
          <w:lang w:val="en-US" w:eastAsia="zh-CN"/>
        </w:rPr>
        <w:t xml:space="preserve"> </w:t>
      </w:r>
      <w:r>
        <w:rPr>
          <w:rFonts w:ascii="Times New Roman" w:eastAsia="仿宋_GB2312" w:hAnsi="Times New Roman" w:cs="Times New Roman" w:hint="default"/>
          <w:sz w:val="32"/>
          <w:szCs w:val="32"/>
          <w:lang w:val="en-US" w:eastAsia="zh-CN"/>
        </w:rPr>
        <w:t xml:space="preserve">   </w:t>
      </w:r>
    </w:p>
    <w:p/>
    <w:sectPr>
      <w:pgSz w:w="11906" w:h="16838"/>
      <w:pgMar w:top="1701" w:right="1440" w:bottom="1701" w:left="144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9ADA18"/>
    <w:multiLevelType w:val="singleLevel"/>
    <w:tmpl w:val="169ADA1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F26AB"/>
    <w:rsid w:val="07CF26AB"/>
    <w:rsid w:val="0CFA5CD7"/>
    <w:rsid w:val="413A421C"/>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qFormat="1"/>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line="560" w:lineRule="exact"/>
      <w:jc w:val="center"/>
      <w:outlineLvl w:val="0"/>
    </w:pPr>
    <w:rPr>
      <w:rFonts w:eastAsia="方正小标宋_GBK"/>
      <w:kern w:val="44"/>
      <w:sz w:val="36"/>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Indent">
    <w:name w:val="Normal Indent"/>
    <w:basedOn w:val="Normal"/>
    <w:uiPriority w:val="99"/>
    <w:unhideWhenUsed/>
    <w:qFormat/>
    <w:pPr>
      <w:spacing w:line="240" w:lineRule="atLeast"/>
      <w:ind w:firstLine="441" w:firstLineChars="210"/>
    </w:pPr>
    <w:rPr>
      <w:rFonts w:ascii="宋体" w:eastAsia="宋体" w:hAnsi="宋体" w:cs="Times New Roman"/>
      <w:bCs/>
      <w:color w:val="000000"/>
      <w:szCs w:val="24"/>
    </w:rPr>
  </w:style>
  <w:style w:type="paragraph" w:styleId="BodyTextIndent">
    <w:name w:val="Body Text Indent"/>
    <w:basedOn w:val="Normal"/>
    <w:next w:val="NormalIndent"/>
    <w:uiPriority w:val="99"/>
    <w:unhideWhenUsed/>
    <w:qFormat/>
    <w:pPr>
      <w:spacing w:after="120"/>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喜文</dc:creator>
  <cp:lastModifiedBy>喜文</cp:lastModifiedBy>
  <cp:revision>1</cp:revision>
  <dcterms:created xsi:type="dcterms:W3CDTF">2025-03-07T03:41:00Z</dcterms:created>
  <dcterms:modified xsi:type="dcterms:W3CDTF">2025-03-07T03:43:28Z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DDB02B01333846FC9845F8A16470AF04_11</vt:lpwstr>
  </property>
  <property fmtid="{D5CDD505-2E9C-101B-9397-08002B2CF9AE}" pid="3" name="KSOProductBuildVer">
    <vt:lpwstr>2052-12.1.0.16729</vt:lpwstr>
  </property>
</Properties>
</file>