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kinsoku/>
        <w:wordWrap/>
        <w:overflowPunct/>
        <w:topLinePunct w:val="0"/>
        <w:autoSpaceDE/>
        <w:autoSpaceDN/>
        <w:bidi w:val="0"/>
        <w:adjustRightInd/>
        <w:snapToGrid/>
        <w:spacing w:beforeAutospacing="0" w:afterAutospacing="0" w:line="560" w:lineRule="exact"/>
        <w:ind w:left="0"/>
        <w:jc w:val="center"/>
        <w:textAlignment w:val="auto"/>
        <w:rPr>
          <w:rFonts w:ascii="方正小标宋简体" w:eastAsia="方正小标宋简体" w:hAnsi="方正小标宋简体" w:cs="方正小标宋简体" w:hint="eastAsia"/>
          <w:sz w:val="44"/>
          <w:szCs w:val="44"/>
        </w:rPr>
      </w:pPr>
      <w:bookmarkStart w:id="0" w:name="_GoBack"/>
      <w:bookmarkEnd w:id="0"/>
      <w:r>
        <w:rPr>
          <w:rFonts w:ascii="方正小标宋简体" w:eastAsia="方正小标宋简体" w:hAnsi="方正小标宋简体" w:cs="方正小标宋简体" w:hint="eastAsia"/>
          <w:sz w:val="44"/>
          <w:szCs w:val="44"/>
        </w:rPr>
        <w:t>2024年度述法报告</w:t>
      </w:r>
    </w:p>
    <w:p>
      <w:pPr>
        <w:keepNext w:val="0"/>
        <w:keepLines w:val="0"/>
        <w:pageBreakBefore w:val="0"/>
        <w:kinsoku/>
        <w:wordWrap/>
        <w:overflowPunct/>
        <w:topLinePunct w:val="0"/>
        <w:autoSpaceDE/>
        <w:autoSpaceDN/>
        <w:bidi w:val="0"/>
        <w:adjustRightInd/>
        <w:snapToGrid/>
        <w:spacing w:beforeAutospacing="0" w:afterAutospacing="0" w:line="560" w:lineRule="exact"/>
        <w:ind w:left="0"/>
        <w:jc w:val="center"/>
        <w:textAlignment w:val="auto"/>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乌苏市文化体育广播电视和旅游局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ascii="楷体_GB2312" w:eastAsia="楷体_GB2312" w:hAnsi="楷体_GB2312" w:cs="楷体_GB2312" w:hint="eastAsia"/>
          <w:spacing w:val="0"/>
          <w:sz w:val="32"/>
          <w:szCs w:val="32"/>
          <w:lang w:val="en-US" w:eastAsia="zh-CN"/>
        </w:rPr>
      </w:pPr>
      <w:r>
        <w:rPr>
          <w:rFonts w:ascii="楷体_GB2312" w:eastAsia="楷体_GB2312" w:hAnsi="楷体_GB2312" w:cs="楷体_GB2312" w:hint="eastAsia"/>
          <w:spacing w:val="0"/>
          <w:sz w:val="32"/>
          <w:szCs w:val="32"/>
          <w:lang w:val="en-US" w:eastAsia="zh-CN"/>
        </w:rPr>
        <w:t>党组副书记、</w:t>
      </w:r>
      <w:r>
        <w:rPr>
          <w:rFonts w:ascii="楷体_GB2312" w:eastAsia="楷体_GB2312" w:hAnsi="楷体_GB2312" w:cs="楷体_GB2312" w:hint="eastAsia"/>
          <w:spacing w:val="0"/>
          <w:sz w:val="32"/>
          <w:szCs w:val="32"/>
        </w:rPr>
        <w:t>局长</w:t>
      </w:r>
      <w:r>
        <w:rPr>
          <w:rFonts w:ascii="楷体_GB2312" w:eastAsia="楷体_GB2312" w:hAnsi="楷体_GB2312" w:cs="楷体_GB2312" w:hint="eastAsia"/>
          <w:spacing w:val="0"/>
          <w:sz w:val="32"/>
          <w:szCs w:val="32"/>
          <w:lang w:val="en-US" w:eastAsia="zh-CN"/>
        </w:rPr>
        <w:t xml:space="preserve"> 孟 莹</w:t>
      </w:r>
    </w:p>
    <w:p>
      <w:pPr>
        <w:pStyle w:val="Heading3"/>
        <w:keepNext w:val="0"/>
        <w:keepLines w:val="0"/>
        <w:pageBreakBefore w:val="0"/>
        <w:kinsoku/>
        <w:wordWrap/>
        <w:overflowPunct/>
        <w:topLinePunct w:val="0"/>
        <w:autoSpaceDE/>
        <w:autoSpaceDN/>
        <w:bidi w:val="0"/>
        <w:adjustRightInd/>
        <w:snapToGrid/>
        <w:spacing w:beforeAutospacing="0" w:afterAutospacing="0" w:line="560" w:lineRule="exact"/>
        <w:ind w:left="0"/>
        <w:textAlignment w:val="auto"/>
      </w:pPr>
    </w:p>
    <w:p>
      <w:pPr>
        <w:pStyle w:val="Heading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pPr>
      <w:r>
        <w:rPr>
          <w:rFonts w:ascii="仿宋_GB2312" w:eastAsia="仿宋_GB2312" w:hAnsi="仿宋_GB2312" w:cs="仿宋_GB2312" w:hint="eastAsia"/>
          <w:sz w:val="32"/>
          <w:szCs w:val="32"/>
        </w:rPr>
        <w:t>根据工作要求，现述法如下：</w:t>
      </w:r>
    </w:p>
    <w:p>
      <w:pPr>
        <w:pStyle w:val="NormalWeb"/>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履职情况</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right="0" w:firstLine="640" w:rightChars="0" w:firstLineChars="200"/>
        <w:jc w:val="both"/>
        <w:textAlignment w:val="auto"/>
        <w:rPr>
          <w:rFonts w:ascii="仿宋_GB2312" w:eastAsia="仿宋_GB2312" w:hAnsi="仿宋_GB2312" w:cs="仿宋_GB2312" w:hint="eastAsia"/>
          <w:b w:val="0"/>
          <w:bCs w:val="0"/>
          <w:kern w:val="0"/>
          <w:sz w:val="32"/>
          <w:szCs w:val="32"/>
          <w:lang w:val="en-US" w:eastAsia="zh-CN" w:bidi="ar"/>
        </w:rPr>
      </w:pPr>
      <w:r>
        <w:rPr>
          <w:rFonts w:ascii="楷体_GB2312" w:eastAsia="楷体_GB2312" w:hAnsi="楷体_GB2312" w:cs="楷体_GB2312" w:hint="eastAsia"/>
          <w:sz w:val="32"/>
          <w:szCs w:val="32"/>
          <w:lang w:bidi="ar"/>
        </w:rPr>
        <w:t>（一）学思践悟，强化法治引领。</w:t>
      </w:r>
      <w:r>
        <w:rPr>
          <w:rFonts w:ascii="仿宋_GB2312" w:eastAsia="仿宋_GB2312" w:hAnsi="仿宋_GB2312" w:cs="仿宋_GB2312" w:hint="eastAsia"/>
          <w:sz w:val="32"/>
          <w:szCs w:val="32"/>
          <w:lang w:bidi="ar"/>
        </w:rPr>
        <w:t>始终把政治建设摆在首位，以党组中心组学习为重要契机，深入学习习近平法治思想，以及中央、自治区、地区党委关于法治建设的重要会议精神。通过专题党课、观看教育片、交流研讨等多种形式，推动理论学习入脑入心，让法治思维贯穿文旅工作的全过程。积极落实上级关于法治建设的决策部署，组织实施本部门法治建设实施规划和年度计划。定期研究法治政府建设的重大问题，并及时向党组请示汇报。在职能转变和简政放权方面，优化办事流程，简化审批手续，提高办事效率，助力经济发展。组织开展系列专项整治行动，取得明显成效。</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eastAsia="仿宋_GB2312" w:hAnsi="仿宋_GB2312" w:cs="仿宋_GB2312" w:hint="eastAsia"/>
          <w:sz w:val="32"/>
          <w:szCs w:val="32"/>
          <w:lang w:bidi="ar"/>
        </w:rPr>
      </w:pPr>
      <w:r>
        <w:rPr>
          <w:rFonts w:ascii="楷体_GB2312" w:eastAsia="楷体_GB2312" w:hAnsi="楷体_GB2312" w:cs="楷体_GB2312" w:hint="eastAsia"/>
          <w:sz w:val="32"/>
          <w:szCs w:val="32"/>
          <w:lang w:bidi="ar"/>
        </w:rPr>
        <w:t>（二）狠抓整改，彰显责任担当。</w:t>
      </w:r>
      <w:r>
        <w:rPr>
          <w:rFonts w:ascii="仿宋_GB2312" w:eastAsia="仿宋_GB2312" w:hAnsi="仿宋_GB2312" w:cs="仿宋_GB2312" w:hint="eastAsia"/>
          <w:sz w:val="32"/>
          <w:szCs w:val="32"/>
          <w:lang w:bidi="ar"/>
        </w:rPr>
        <w:t>针对法治督查整改工作中出现的问题，按照党组整改要求，主动认领包括</w:t>
      </w:r>
      <w:r>
        <w:rPr>
          <w:rFonts w:ascii="Times New Roman" w:eastAsia="仿宋_GB2312" w:hAnsi="Times New Roman" w:cs="Times New Roman" w:hint="default"/>
          <w:sz w:val="32"/>
          <w:szCs w:val="32"/>
          <w:lang w:bidi="ar"/>
        </w:rPr>
        <w:t>19</w:t>
      </w:r>
      <w:r>
        <w:rPr>
          <w:rFonts w:ascii="仿宋_GB2312" w:eastAsia="仿宋_GB2312" w:hAnsi="仿宋_GB2312" w:cs="仿宋_GB2312" w:hint="eastAsia"/>
          <w:sz w:val="32"/>
          <w:szCs w:val="32"/>
          <w:lang w:bidi="ar"/>
        </w:rPr>
        <w:t>条共性问题、</w:t>
      </w:r>
      <w:r>
        <w:rPr>
          <w:rFonts w:ascii="Times New Roman" w:eastAsia="仿宋_GB2312" w:hAnsi="Times New Roman" w:cs="Times New Roman" w:hint="eastAsia"/>
          <w:sz w:val="32"/>
          <w:szCs w:val="32"/>
          <w:lang w:bidi="ar"/>
        </w:rPr>
        <w:t>6</w:t>
      </w:r>
      <w:r>
        <w:rPr>
          <w:rFonts w:ascii="仿宋_GB2312" w:eastAsia="仿宋_GB2312" w:hAnsi="仿宋_GB2312" w:cs="仿宋_GB2312" w:hint="eastAsia"/>
          <w:sz w:val="32"/>
          <w:szCs w:val="32"/>
          <w:lang w:bidi="ar"/>
        </w:rPr>
        <w:t>条个性问题以及上一年度自查出的</w:t>
      </w:r>
      <w:r>
        <w:rPr>
          <w:rFonts w:ascii="Times New Roman" w:eastAsia="仿宋_GB2312" w:hAnsi="Times New Roman" w:cs="Times New Roman" w:hint="eastAsia"/>
          <w:sz w:val="32"/>
          <w:szCs w:val="32"/>
          <w:lang w:bidi="ar"/>
        </w:rPr>
        <w:t>3</w:t>
      </w:r>
      <w:r>
        <w:rPr>
          <w:rFonts w:ascii="仿宋_GB2312" w:eastAsia="仿宋_GB2312" w:hAnsi="仿宋_GB2312" w:cs="仿宋_GB2312" w:hint="eastAsia"/>
          <w:sz w:val="32"/>
          <w:szCs w:val="32"/>
          <w:lang w:bidi="ar"/>
        </w:rPr>
        <w:t>条问题，对存在的所有问题逐项进行分析，制定整改措施，按照《党政主要负责人履行推进法治建设第一责任人职责规定》，迅速制定整改措施并全力推进，目前已全部整改到位，为法治建设奠定了坚实基础。</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eastAsia="仿宋_GB2312" w:hAnsi="仿宋_GB2312" w:cs="仿宋_GB2312" w:hint="eastAsia"/>
          <w:sz w:val="32"/>
          <w:szCs w:val="32"/>
          <w:lang w:bidi="ar"/>
        </w:rPr>
      </w:pPr>
      <w:r>
        <w:rPr>
          <w:rFonts w:ascii="楷体_GB2312" w:eastAsia="楷体_GB2312" w:hAnsi="楷体_GB2312" w:cs="楷体_GB2312" w:hint="eastAsia"/>
          <w:sz w:val="32"/>
          <w:szCs w:val="32"/>
          <w:lang w:bidi="ar"/>
        </w:rPr>
        <w:t>（三）深化改革，促进依法行政。</w:t>
      </w:r>
      <w:r>
        <w:rPr>
          <w:rFonts w:ascii="仿宋_GB2312" w:eastAsia="仿宋_GB2312" w:hAnsi="仿宋_GB2312" w:cs="仿宋_GB2312" w:hint="eastAsia"/>
          <w:sz w:val="32"/>
          <w:szCs w:val="32"/>
          <w:lang w:bidi="ar"/>
        </w:rPr>
        <w:t>深入落实行政执法体制改革，积极推进乡镇综合执法工作，加强与乡镇的沟通协作，建立健全执法联动机制，提升基层执法效能。严格执行行政执法“三项制度”，通过执法公示制度，让执法信息公开透明；利用执法全过程记录制度，确保执法过程有据可查；借助重大执法决定法制审核制度，保证执法决定合法规范。在重大行政决策中，严格遵循法定程序，充分发挥政府法律顾问和公职律师的专业优势，广泛征求意见，进行风险评估，提高决策的科学性和合法性。</w:t>
      </w:r>
    </w:p>
    <w:p>
      <w:pPr>
        <w:pStyle w:val="NormalWeb"/>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黑体" w:eastAsia="黑体" w:hAnsi="黑体" w:cs="黑体" w:hint="eastAsia"/>
          <w:sz w:val="32"/>
          <w:szCs w:val="32"/>
        </w:rPr>
      </w:pPr>
      <w:r>
        <w:rPr>
          <w:rFonts w:ascii="黑体" w:eastAsia="黑体" w:hAnsi="黑体" w:cs="黑体" w:hint="eastAsia"/>
          <w:sz w:val="32"/>
          <w:szCs w:val="32"/>
        </w:rPr>
        <w:t>亮点工作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eastAsia="仿宋_GB2312" w:hAnsi="仿宋_GB2312" w:cs="仿宋_GB2312" w:hint="eastAsia"/>
          <w:sz w:val="32"/>
          <w:szCs w:val="32"/>
          <w:lang w:val="en-US" w:eastAsia="zh-CN" w:bidi="ar"/>
        </w:rPr>
      </w:pPr>
      <w:r>
        <w:rPr>
          <w:rFonts w:ascii="楷体_GB2312" w:eastAsia="楷体_GB2312" w:hAnsi="楷体_GB2312" w:cs="楷体_GB2312" w:hint="eastAsia"/>
          <w:kern w:val="0"/>
          <w:sz w:val="32"/>
          <w:szCs w:val="32"/>
          <w:lang w:val="en-US" w:eastAsia="zh-CN" w:bidi="ar"/>
        </w:rPr>
        <w:t>（一）加大执法力度，净化市场环境。</w:t>
      </w:r>
      <w:r>
        <w:rPr>
          <w:rFonts w:ascii="仿宋_GB2312" w:eastAsia="仿宋_GB2312" w:hAnsi="仿宋_GB2312" w:cs="仿宋_GB2312" w:hint="eastAsia"/>
          <w:sz w:val="32"/>
          <w:szCs w:val="32"/>
          <w:lang w:bidi="ar"/>
        </w:rPr>
        <w:t>结合元旦、春节、</w:t>
      </w:r>
      <w:r>
        <w:rPr>
          <w:rFonts w:ascii="仿宋_GB2312" w:eastAsia="仿宋_GB2312" w:hAnsi="仿宋_GB2312" w:cs="仿宋_GB2312" w:hint="eastAsia"/>
          <w:sz w:val="32"/>
          <w:szCs w:val="32"/>
          <w:lang w:bidi="ar"/>
        </w:rPr>
        <w:t>全国两会</w:t>
      </w:r>
      <w:r>
        <w:rPr>
          <w:rFonts w:ascii="仿宋_GB2312" w:eastAsia="仿宋_GB2312" w:hAnsi="仿宋_GB2312" w:cs="仿宋_GB2312" w:hint="eastAsia"/>
          <w:sz w:val="32"/>
          <w:szCs w:val="32"/>
          <w:lang w:bidi="ar"/>
        </w:rPr>
        <w:t>、开学季、清明、五一、中秋、高考等重要时间节点，组织开展了</w:t>
      </w:r>
      <w:r>
        <w:rPr>
          <w:rFonts w:ascii="仿宋_GB2312" w:eastAsia="仿宋_GB2312" w:hAnsi="仿宋_GB2312" w:cs="仿宋_GB2312" w:hint="eastAsia"/>
          <w:sz w:val="32"/>
          <w:szCs w:val="32"/>
          <w:lang w:val="en-US" w:eastAsia="zh-CN" w:bidi="ar"/>
        </w:rPr>
        <w:t>互联网上网服务营业场所</w:t>
      </w:r>
      <w:r>
        <w:rPr>
          <w:rFonts w:ascii="仿宋_GB2312" w:eastAsia="仿宋_GB2312" w:hAnsi="仿宋_GB2312" w:cs="仿宋_GB2312" w:hint="eastAsia"/>
          <w:sz w:val="32"/>
          <w:szCs w:val="32"/>
          <w:lang w:bidi="ar"/>
        </w:rPr>
        <w:t>、娱乐场所、营业性演出</w:t>
      </w:r>
      <w:r>
        <w:rPr>
          <w:rFonts w:ascii="仿宋_GB2312" w:eastAsia="仿宋_GB2312" w:hAnsi="仿宋_GB2312" w:cs="仿宋_GB2312" w:hint="eastAsia"/>
          <w:sz w:val="32"/>
          <w:szCs w:val="32"/>
          <w:lang w:val="en-US" w:eastAsia="zh-CN" w:bidi="ar"/>
        </w:rPr>
        <w:t>经营活动</w:t>
      </w:r>
      <w:r>
        <w:rPr>
          <w:rFonts w:ascii="仿宋_GB2312" w:eastAsia="仿宋_GB2312" w:hAnsi="仿宋_GB2312" w:cs="仿宋_GB2312" w:hint="eastAsia"/>
          <w:sz w:val="32"/>
          <w:szCs w:val="32"/>
          <w:lang w:bidi="ar"/>
        </w:rPr>
        <w:t>、未经许可经营旅行社业务</w:t>
      </w:r>
      <w:r>
        <w:rPr>
          <w:rFonts w:ascii="仿宋_GB2312" w:eastAsia="仿宋_GB2312" w:hAnsi="仿宋_GB2312" w:cs="仿宋_GB2312" w:hint="eastAsia"/>
          <w:sz w:val="32"/>
          <w:szCs w:val="32"/>
          <w:lang w:eastAsia="zh-CN" w:bidi="ar"/>
        </w:rPr>
        <w:t>、</w:t>
      </w:r>
      <w:r>
        <w:rPr>
          <w:rFonts w:ascii="仿宋_GB2312" w:eastAsia="仿宋_GB2312" w:hAnsi="仿宋_GB2312" w:cs="仿宋_GB2312" w:hint="eastAsia"/>
          <w:sz w:val="32"/>
          <w:szCs w:val="32"/>
          <w:lang w:bidi="ar"/>
        </w:rPr>
        <w:t>校园周边治理、未成年人保护等系列文化市场领域专项整治行动。向广大市场经营主体宣传《中华人民共和国未成年人保护法》《</w:t>
      </w:r>
      <w:r>
        <w:rPr>
          <w:rFonts w:ascii="仿宋_GB2312" w:eastAsia="仿宋_GB2312" w:hAnsi="仿宋_GB2312" w:cs="仿宋_GB2312" w:hint="eastAsia"/>
          <w:sz w:val="32"/>
          <w:szCs w:val="32"/>
          <w:lang w:val="en-US" w:eastAsia="zh-CN" w:bidi="ar"/>
        </w:rPr>
        <w:t>互联网上网服务营业场所管理条例</w:t>
      </w:r>
      <w:r>
        <w:rPr>
          <w:rFonts w:ascii="仿宋_GB2312" w:eastAsia="仿宋_GB2312" w:hAnsi="仿宋_GB2312" w:cs="仿宋_GB2312" w:hint="eastAsia"/>
          <w:sz w:val="32"/>
          <w:szCs w:val="32"/>
          <w:lang w:bidi="ar"/>
        </w:rPr>
        <w:t>》《娱乐场所管理条例》等相关法律法规。</w:t>
      </w:r>
      <w:r>
        <w:rPr>
          <w:rFonts w:ascii="Times New Roman" w:eastAsia="仿宋_GB2312" w:hAnsi="Times New Roman" w:cs="Times New Roman" w:hint="default"/>
          <w:b w:val="0"/>
          <w:bCs/>
          <w:kern w:val="0"/>
          <w:sz w:val="32"/>
          <w:szCs w:val="32"/>
          <w:lang w:val="en-US" w:eastAsia="zh-CN" w:bidi="ar"/>
        </w:rPr>
        <w:t>202</w:t>
      </w:r>
      <w:r>
        <w:rPr>
          <w:rFonts w:ascii="Times New Roman" w:eastAsia="仿宋_GB2312" w:hAnsi="Times New Roman" w:cs="Times New Roman" w:hint="eastAsia"/>
          <w:b w:val="0"/>
          <w:bCs/>
          <w:kern w:val="0"/>
          <w:sz w:val="32"/>
          <w:szCs w:val="32"/>
          <w:lang w:val="en-US" w:eastAsia="zh-CN" w:bidi="ar"/>
        </w:rPr>
        <w:t>4</w:t>
      </w:r>
      <w:r>
        <w:rPr>
          <w:rFonts w:ascii="仿宋_GB2312" w:eastAsia="仿宋_GB2312" w:hAnsi="仿宋_GB2312" w:cs="仿宋_GB2312" w:hint="eastAsia"/>
          <w:b w:val="0"/>
          <w:bCs/>
          <w:kern w:val="0"/>
          <w:sz w:val="32"/>
          <w:szCs w:val="32"/>
          <w:lang w:val="en-US" w:eastAsia="zh-CN" w:bidi="ar"/>
        </w:rPr>
        <w:t>年，</w:t>
      </w:r>
      <w:r>
        <w:rPr>
          <w:rFonts w:ascii="仿宋_GB2312" w:eastAsia="仿宋_GB2312" w:hAnsi="仿宋_GB2312" w:cs="仿宋_GB2312" w:hint="eastAsia"/>
          <w:b w:val="0"/>
          <w:bCs w:val="0"/>
          <w:kern w:val="0"/>
          <w:sz w:val="32"/>
          <w:szCs w:val="32"/>
          <w:lang w:val="en-US" w:eastAsia="zh-CN" w:bidi="ar"/>
        </w:rPr>
        <w:t>检查文化和旅游市场经营主体</w:t>
      </w:r>
      <w:r>
        <w:rPr>
          <w:rFonts w:ascii="Times New Roman" w:eastAsia="仿宋_GB2312" w:hAnsi="Times New Roman" w:cs="Times New Roman" w:hint="eastAsia"/>
          <w:b w:val="0"/>
          <w:bCs/>
          <w:kern w:val="0"/>
          <w:sz w:val="32"/>
          <w:szCs w:val="32"/>
          <w:lang w:val="en-US" w:eastAsia="zh-CN" w:bidi="ar"/>
        </w:rPr>
        <w:t>1526</w:t>
      </w:r>
      <w:r>
        <w:rPr>
          <w:rFonts w:ascii="仿宋_GB2312" w:eastAsia="仿宋_GB2312" w:hAnsi="仿宋_GB2312" w:cs="仿宋_GB2312" w:hint="eastAsia"/>
          <w:b w:val="0"/>
          <w:bCs w:val="0"/>
          <w:kern w:val="0"/>
          <w:sz w:val="32"/>
          <w:szCs w:val="32"/>
          <w:lang w:val="en-US" w:eastAsia="zh-CN" w:bidi="ar"/>
        </w:rPr>
        <w:t>余家次，出动执法人员</w:t>
      </w:r>
      <w:r>
        <w:rPr>
          <w:rFonts w:ascii="Times New Roman" w:eastAsia="仿宋_GB2312" w:hAnsi="Times New Roman" w:cs="Times New Roman" w:hint="eastAsia"/>
          <w:b w:val="0"/>
          <w:bCs w:val="0"/>
          <w:kern w:val="0"/>
          <w:sz w:val="32"/>
          <w:szCs w:val="32"/>
          <w:lang w:val="en-US" w:eastAsia="zh-CN" w:bidi="ar"/>
        </w:rPr>
        <w:t>3570</w:t>
      </w:r>
      <w:r>
        <w:rPr>
          <w:rFonts w:ascii="仿宋_GB2312" w:eastAsia="仿宋_GB2312" w:hAnsi="仿宋_GB2312" w:cs="仿宋_GB2312" w:hint="eastAsia"/>
          <w:b w:val="0"/>
          <w:bCs w:val="0"/>
          <w:kern w:val="0"/>
          <w:sz w:val="32"/>
          <w:szCs w:val="32"/>
          <w:lang w:val="en-US" w:eastAsia="zh-CN" w:bidi="ar"/>
        </w:rPr>
        <w:t>余人次。办理行政处罚案件</w:t>
      </w:r>
      <w:r>
        <w:rPr>
          <w:rFonts w:ascii="Times New Roman" w:eastAsia="仿宋_GB2312" w:hAnsi="Times New Roman" w:cs="Times New Roman" w:hint="eastAsia"/>
          <w:b w:val="0"/>
          <w:bCs w:val="0"/>
          <w:kern w:val="0"/>
          <w:sz w:val="32"/>
          <w:szCs w:val="32"/>
          <w:lang w:val="en-US" w:eastAsia="zh-CN" w:bidi="ar"/>
        </w:rPr>
        <w:t>13</w:t>
      </w:r>
      <w:r>
        <w:rPr>
          <w:rFonts w:ascii="仿宋_GB2312" w:eastAsia="仿宋_GB2312" w:hAnsi="仿宋_GB2312" w:cs="仿宋_GB2312" w:hint="eastAsia"/>
          <w:b w:val="0"/>
          <w:bCs w:val="0"/>
          <w:kern w:val="0"/>
          <w:sz w:val="32"/>
          <w:szCs w:val="32"/>
          <w:lang w:val="en-US" w:eastAsia="zh-CN" w:bidi="ar"/>
        </w:rPr>
        <w:t>件、罚款</w:t>
      </w:r>
      <w:r>
        <w:rPr>
          <w:rFonts w:ascii="Times New Roman" w:eastAsia="仿宋_GB2312" w:hAnsi="Times New Roman" w:cs="Times New Roman" w:hint="eastAsia"/>
          <w:b w:val="0"/>
          <w:bCs w:val="0"/>
          <w:kern w:val="0"/>
          <w:sz w:val="32"/>
          <w:szCs w:val="32"/>
          <w:lang w:val="en-US" w:eastAsia="zh-CN" w:bidi="ar"/>
        </w:rPr>
        <w:t>2.75</w:t>
      </w:r>
      <w:r>
        <w:rPr>
          <w:rFonts w:ascii="仿宋_GB2312" w:eastAsia="仿宋_GB2312" w:hAnsi="仿宋_GB2312" w:cs="仿宋_GB2312" w:hint="eastAsia"/>
          <w:color w:val="auto"/>
          <w:sz w:val="32"/>
          <w:szCs w:val="32"/>
          <w:highlight w:val="none"/>
          <w:lang w:val="en-US" w:eastAsia="zh-CN"/>
        </w:rPr>
        <w:t>万元，办理行政许可审批</w:t>
      </w:r>
      <w:r>
        <w:rPr>
          <w:rFonts w:ascii="Times New Roman" w:eastAsia="仿宋_GB2312" w:hAnsi="Times New Roman" w:cs="Times New Roman" w:hint="eastAsia"/>
          <w:b w:val="0"/>
          <w:bCs w:val="0"/>
          <w:kern w:val="0"/>
          <w:sz w:val="32"/>
          <w:szCs w:val="32"/>
          <w:lang w:val="en-US" w:eastAsia="zh-CN" w:bidi="ar"/>
        </w:rPr>
        <w:t>3</w:t>
      </w:r>
      <w:r>
        <w:rPr>
          <w:rFonts w:ascii="仿宋_GB2312" w:eastAsia="仿宋_GB2312" w:hAnsi="仿宋_GB2312" w:cs="仿宋_GB2312" w:hint="eastAsia"/>
          <w:color w:val="auto"/>
          <w:sz w:val="32"/>
          <w:szCs w:val="32"/>
          <w:highlight w:val="none"/>
          <w:lang w:val="en-US" w:eastAsia="zh-CN"/>
        </w:rPr>
        <w:t>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eastAsia="仿宋_GB2312" w:hAnsi="仿宋_GB2312" w:cs="仿宋_GB2312" w:hint="eastAsia"/>
          <w:b w:val="0"/>
          <w:bCs w:val="0"/>
          <w:kern w:val="0"/>
          <w:sz w:val="32"/>
          <w:szCs w:val="32"/>
          <w:lang w:val="en-US" w:eastAsia="zh-CN" w:bidi="ar"/>
        </w:rPr>
      </w:pPr>
      <w:r>
        <w:rPr>
          <w:rFonts w:ascii="楷体_GB2312" w:eastAsia="楷体_GB2312" w:hAnsi="楷体_GB2312" w:cs="楷体_GB2312" w:hint="eastAsia"/>
          <w:kern w:val="0"/>
          <w:sz w:val="32"/>
          <w:szCs w:val="32"/>
          <w:lang w:bidi="ar"/>
        </w:rPr>
        <w:t>（二）优化决策流程，保障依法履职。</w:t>
      </w:r>
      <w:r>
        <w:rPr>
          <w:rFonts w:ascii="仿宋_GB2312" w:eastAsia="仿宋_GB2312" w:hAnsi="仿宋_GB2312" w:cs="仿宋_GB2312" w:hint="eastAsia"/>
          <w:kern w:val="0"/>
          <w:sz w:val="32"/>
          <w:szCs w:val="32"/>
          <w:lang w:bidi="ar"/>
        </w:rPr>
        <w:t>全面规范</w:t>
      </w:r>
      <w:r>
        <w:rPr>
          <w:rFonts w:ascii="仿宋_GB2312" w:eastAsia="仿宋_GB2312" w:hAnsi="仿宋_GB2312" w:cs="仿宋_GB2312" w:hint="eastAsia"/>
          <w:kern w:val="0"/>
          <w:sz w:val="32"/>
          <w:szCs w:val="32"/>
          <w:lang w:eastAsia="zh-CN" w:bidi="ar"/>
        </w:rPr>
        <w:t>行政权力</w:t>
      </w:r>
      <w:r>
        <w:rPr>
          <w:rFonts w:ascii="仿宋_GB2312" w:eastAsia="仿宋_GB2312" w:hAnsi="仿宋_GB2312" w:cs="仿宋_GB2312" w:hint="eastAsia"/>
          <w:kern w:val="0"/>
          <w:sz w:val="32"/>
          <w:szCs w:val="32"/>
          <w:lang w:bidi="ar"/>
        </w:rPr>
        <w:t>运行</w:t>
      </w:r>
      <w:r>
        <w:rPr>
          <w:rFonts w:ascii="仿宋_GB2312" w:eastAsia="仿宋_GB2312" w:hAnsi="仿宋_GB2312" w:cs="仿宋_GB2312" w:hint="eastAsia"/>
          <w:kern w:val="0"/>
          <w:sz w:val="32"/>
          <w:szCs w:val="32"/>
          <w:lang w:eastAsia="zh-CN" w:bidi="ar"/>
        </w:rPr>
        <w:t>，</w:t>
      </w:r>
      <w:r>
        <w:rPr>
          <w:rFonts w:ascii="仿宋_GB2312" w:eastAsia="仿宋_GB2312" w:hAnsi="仿宋_GB2312" w:cs="仿宋_GB2312" w:hint="eastAsia"/>
          <w:kern w:val="0"/>
          <w:sz w:val="32"/>
          <w:szCs w:val="32"/>
          <w:lang w:bidi="ar"/>
        </w:rPr>
        <w:t>严格执行重大行政决策程序规定，严格履行工作程序。加大政务公开力度，及时做好重大政策、权威信息发布，自觉接受人大法律监督和政协民主监督</w:t>
      </w:r>
      <w:r>
        <w:rPr>
          <w:rFonts w:ascii="仿宋_GB2312" w:eastAsia="仿宋_GB2312" w:hAnsi="仿宋_GB2312" w:cs="仿宋_GB2312" w:hint="eastAsia"/>
          <w:kern w:val="0"/>
          <w:sz w:val="32"/>
          <w:szCs w:val="32"/>
          <w:lang w:eastAsia="zh-CN" w:bidi="ar"/>
        </w:rPr>
        <w:t>。</w:t>
      </w:r>
      <w:r>
        <w:rPr>
          <w:rFonts w:ascii="仿宋_GB2312" w:eastAsia="仿宋_GB2312" w:hAnsi="仿宋_GB2312" w:cs="仿宋_GB2312" w:hint="eastAsia"/>
          <w:b w:val="0"/>
          <w:bCs w:val="0"/>
          <w:kern w:val="0"/>
          <w:sz w:val="32"/>
          <w:szCs w:val="32"/>
          <w:lang w:val="en-US" w:eastAsia="zh-CN" w:bidi="ar"/>
        </w:rPr>
        <w:t>认真落实政府法律顾问制度、公职律师制度；提高专家论证质量，充分发挥风险评估功能，确保所有重大行政决策都严格履行合法性审查和集体讨论决定程序。</w:t>
      </w:r>
      <w:r>
        <w:rPr>
          <w:rFonts w:ascii="Times New Roman" w:eastAsia="仿宋_GB2312" w:hAnsi="Times New Roman" w:cs="Times New Roman" w:hint="default"/>
          <w:b w:val="0"/>
          <w:bCs w:val="0"/>
          <w:kern w:val="0"/>
          <w:sz w:val="32"/>
          <w:szCs w:val="32"/>
          <w:lang w:val="en-US" w:eastAsia="zh-CN" w:bidi="ar"/>
        </w:rPr>
        <w:t>202</w:t>
      </w:r>
      <w:r>
        <w:rPr>
          <w:rFonts w:ascii="Times New Roman" w:eastAsia="仿宋_GB2312" w:hAnsi="Times New Roman" w:cs="Times New Roman" w:hint="eastAsia"/>
          <w:b w:val="0"/>
          <w:bCs w:val="0"/>
          <w:kern w:val="0"/>
          <w:sz w:val="32"/>
          <w:szCs w:val="32"/>
          <w:lang w:val="en-US" w:eastAsia="zh-CN" w:bidi="ar"/>
        </w:rPr>
        <w:t>4</w:t>
      </w:r>
      <w:r>
        <w:rPr>
          <w:rFonts w:ascii="仿宋_GB2312" w:eastAsia="仿宋_GB2312" w:hAnsi="仿宋_GB2312" w:cs="仿宋_GB2312" w:hint="eastAsia"/>
          <w:b w:val="0"/>
          <w:bCs w:val="0"/>
          <w:kern w:val="0"/>
          <w:sz w:val="32"/>
          <w:szCs w:val="32"/>
          <w:lang w:val="en-US" w:eastAsia="zh-CN" w:bidi="ar"/>
        </w:rPr>
        <w:t>年我局法律顾问处理法律服务事项</w:t>
      </w:r>
      <w:r>
        <w:rPr>
          <w:rFonts w:ascii="Times New Roman" w:eastAsia="仿宋_GB2312" w:hAnsi="Times New Roman" w:cs="Times New Roman" w:hint="eastAsia"/>
          <w:b w:val="0"/>
          <w:bCs w:val="0"/>
          <w:kern w:val="0"/>
          <w:sz w:val="32"/>
          <w:szCs w:val="32"/>
          <w:lang w:val="en-US" w:eastAsia="zh-CN" w:bidi="ar"/>
        </w:rPr>
        <w:t>16</w:t>
      </w:r>
      <w:r>
        <w:rPr>
          <w:rFonts w:ascii="仿宋_GB2312" w:eastAsia="仿宋_GB2312" w:hAnsi="仿宋_GB2312" w:cs="仿宋_GB2312" w:hint="eastAsia"/>
          <w:b w:val="0"/>
          <w:bCs w:val="0"/>
          <w:kern w:val="0"/>
          <w:sz w:val="32"/>
          <w:szCs w:val="32"/>
          <w:lang w:val="en-US" w:eastAsia="zh-CN" w:bidi="ar"/>
        </w:rPr>
        <w:t>件，接受法律咨询</w:t>
      </w:r>
      <w:r>
        <w:rPr>
          <w:rFonts w:ascii="Times New Roman" w:eastAsia="仿宋_GB2312" w:hAnsi="Times New Roman" w:cs="Times New Roman" w:hint="eastAsia"/>
          <w:b w:val="0"/>
          <w:bCs w:val="0"/>
          <w:kern w:val="0"/>
          <w:sz w:val="32"/>
          <w:szCs w:val="32"/>
          <w:lang w:val="en-US" w:eastAsia="zh-CN" w:bidi="ar"/>
        </w:rPr>
        <w:t>50余</w:t>
      </w:r>
      <w:r>
        <w:rPr>
          <w:rFonts w:ascii="仿宋_GB2312" w:eastAsia="仿宋_GB2312" w:hAnsi="仿宋_GB2312" w:cs="仿宋_GB2312" w:hint="eastAsia"/>
          <w:b w:val="0"/>
          <w:bCs w:val="0"/>
          <w:kern w:val="0"/>
          <w:sz w:val="32"/>
          <w:szCs w:val="32"/>
          <w:lang w:val="en-US" w:eastAsia="zh-CN" w:bidi="ar"/>
        </w:rPr>
        <w:t>次，起草、审核合同文书</w:t>
      </w:r>
      <w:r>
        <w:rPr>
          <w:rFonts w:ascii="Times New Roman" w:eastAsia="仿宋_GB2312" w:hAnsi="Times New Roman" w:cs="Times New Roman" w:hint="eastAsia"/>
          <w:b w:val="0"/>
          <w:bCs w:val="0"/>
          <w:kern w:val="0"/>
          <w:sz w:val="32"/>
          <w:szCs w:val="32"/>
          <w:lang w:val="en-US" w:eastAsia="zh-CN" w:bidi="ar"/>
        </w:rPr>
        <w:t>10</w:t>
      </w:r>
      <w:r>
        <w:rPr>
          <w:rFonts w:ascii="仿宋_GB2312" w:eastAsia="仿宋_GB2312" w:hAnsi="仿宋_GB2312" w:cs="仿宋_GB2312" w:hint="eastAsia"/>
          <w:b w:val="0"/>
          <w:bCs w:val="0"/>
          <w:kern w:val="0"/>
          <w:sz w:val="32"/>
          <w:szCs w:val="32"/>
          <w:lang w:val="en-US" w:eastAsia="zh-CN" w:bidi="ar"/>
        </w:rPr>
        <w:t>件，参与重大项目谈判</w:t>
      </w:r>
      <w:r>
        <w:rPr>
          <w:rFonts w:ascii="Times New Roman" w:eastAsia="仿宋_GB2312" w:hAnsi="Times New Roman" w:cs="Times New Roman" w:hint="eastAsia"/>
          <w:b w:val="0"/>
          <w:bCs w:val="0"/>
          <w:kern w:val="0"/>
          <w:sz w:val="32"/>
          <w:szCs w:val="32"/>
          <w:lang w:val="en-US" w:eastAsia="zh-CN" w:bidi="ar"/>
        </w:rPr>
        <w:t>3</w:t>
      </w:r>
      <w:r>
        <w:rPr>
          <w:rFonts w:ascii="仿宋_GB2312" w:eastAsia="仿宋_GB2312" w:hAnsi="仿宋_GB2312" w:cs="仿宋_GB2312" w:hint="eastAsia"/>
          <w:b w:val="0"/>
          <w:bCs w:val="0"/>
          <w:kern w:val="0"/>
          <w:sz w:val="32"/>
          <w:szCs w:val="32"/>
          <w:lang w:val="en-US" w:eastAsia="zh-CN" w:bidi="ar"/>
        </w:rPr>
        <w:t>次，为困难群众提供法律帮扶或申请法律援助</w:t>
      </w:r>
      <w:r>
        <w:rPr>
          <w:rFonts w:ascii="Times New Roman" w:eastAsia="仿宋_GB2312" w:hAnsi="Times New Roman" w:cs="Times New Roman" w:hint="eastAsia"/>
          <w:b w:val="0"/>
          <w:bCs w:val="0"/>
          <w:kern w:val="0"/>
          <w:sz w:val="32"/>
          <w:szCs w:val="32"/>
          <w:lang w:val="en-US" w:eastAsia="zh-CN" w:bidi="ar"/>
        </w:rPr>
        <w:t>2</w:t>
      </w:r>
      <w:r>
        <w:rPr>
          <w:rFonts w:ascii="仿宋_GB2312" w:eastAsia="仿宋_GB2312" w:hAnsi="仿宋_GB2312" w:cs="仿宋_GB2312" w:hint="eastAsia"/>
          <w:b w:val="0"/>
          <w:bCs w:val="0"/>
          <w:kern w:val="0"/>
          <w:sz w:val="32"/>
          <w:szCs w:val="32"/>
          <w:lang w:val="en-US" w:eastAsia="zh-CN" w:bidi="ar"/>
        </w:rPr>
        <w:t>件。</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right="0" w:firstLine="640" w:rightChars="0" w:firstLineChars="200"/>
        <w:jc w:val="both"/>
        <w:textAlignment w:val="auto"/>
        <w:rPr>
          <w:rFonts w:ascii="仿宋_GB2312" w:eastAsia="仿宋_GB2312" w:hAnsi="仿宋_GB2312" w:cs="仿宋_GB2312" w:hint="eastAsia"/>
          <w:kern w:val="0"/>
          <w:sz w:val="32"/>
          <w:szCs w:val="32"/>
          <w:lang w:bidi="ar"/>
        </w:rPr>
      </w:pPr>
      <w:r>
        <w:rPr>
          <w:rFonts w:ascii="仿宋_GB2312" w:eastAsia="仿宋_GB2312" w:hAnsi="仿宋_GB2312" w:cs="仿宋_GB2312" w:hint="eastAsia"/>
          <w:sz w:val="32"/>
          <w:szCs w:val="32"/>
          <w:lang w:val="en-US" w:eastAsia="zh-CN" w:bidi="ar"/>
        </w:rPr>
        <w:tab/>
      </w:r>
      <w:r>
        <w:rPr>
          <w:rFonts w:ascii="楷体_GB2312" w:eastAsia="楷体_GB2312" w:hAnsi="楷体_GB2312" w:cs="楷体_GB2312" w:hint="eastAsia"/>
          <w:b w:val="0"/>
          <w:bCs w:val="0"/>
          <w:sz w:val="32"/>
          <w:szCs w:val="32"/>
          <w:lang w:val="en-US" w:eastAsia="zh-CN"/>
        </w:rPr>
        <w:t>（三）坚持严格规范，优化营商环境</w:t>
      </w:r>
      <w:r>
        <w:rPr>
          <w:rFonts w:ascii="楷体_GB2312" w:eastAsia="楷体_GB2312" w:hAnsi="楷体_GB2312" w:cs="楷体_GB2312" w:hint="eastAsia"/>
          <w:b w:val="0"/>
          <w:bCs w:val="0"/>
          <w:sz w:val="32"/>
          <w:szCs w:val="32"/>
          <w:lang w:eastAsia="zh-CN"/>
        </w:rPr>
        <w:t>。</w:t>
      </w:r>
      <w:r>
        <w:rPr>
          <w:rFonts w:ascii="仿宋_GB2312" w:eastAsia="仿宋_GB2312" w:hAnsi="仿宋_GB2312" w:cs="仿宋_GB2312" w:hint="eastAsia"/>
          <w:b w:val="0"/>
          <w:bCs w:val="0"/>
          <w:sz w:val="32"/>
          <w:szCs w:val="32"/>
          <w:lang w:val="en-US" w:eastAsia="zh-CN"/>
        </w:rPr>
        <w:t>组织</w:t>
      </w:r>
      <w:r>
        <w:rPr>
          <w:rFonts w:ascii="仿宋_GB2312" w:eastAsia="仿宋_GB2312" w:hAnsi="仿宋_GB2312" w:cs="仿宋_GB2312" w:hint="eastAsia"/>
          <w:color w:val="auto"/>
          <w:sz w:val="32"/>
          <w:szCs w:val="32"/>
          <w:lang w:val="en-US" w:eastAsia="zh-CN"/>
        </w:rPr>
        <w:t>开展了“扫黄打非”专项执法检查工作、整治农村演出活动专项执法行动、院线电影版权保护专项工作、校园周边文化市场专项整治、暑期未成年人保护专项整治行动、暑期非学科类校外培训机构以及社会艺术考级专项执法检查行动、旅游领域食品安全专项治理、娱乐场所禁毒宣传教育专项工作。</w:t>
      </w:r>
      <w:r>
        <w:rPr>
          <w:rFonts w:ascii="仿宋_GB2312" w:eastAsia="仿宋_GB2312" w:hAnsi="仿宋_GB2312" w:cs="仿宋_GB2312" w:hint="eastAsia"/>
          <w:b w:val="0"/>
          <w:bCs w:val="0"/>
          <w:kern w:val="0"/>
          <w:sz w:val="32"/>
          <w:szCs w:val="32"/>
          <w:lang w:val="en-US" w:eastAsia="zh-CN" w:bidi="ar"/>
        </w:rPr>
        <w:t>重点查处诱导青少年违法犯罪，宣扬淫秽色情、违背社会公德等禁止的内容。严查娱乐场所违规接纳未成年人、经营违规游戏游艺机型机种等问题、未经审批擅自开展经营活动。并对文化市场经营场所开展了安全生产、夜间降噪及日常监督检查行动。</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黑体" w:eastAsia="黑体" w:hAnsi="黑体" w:cs="黑体" w:hint="eastAsia"/>
          <w:sz w:val="32"/>
          <w:szCs w:val="32"/>
        </w:rPr>
      </w:pPr>
      <w:r>
        <w:rPr>
          <w:rFonts w:ascii="黑体" w:eastAsia="黑体" w:hAnsi="黑体" w:cs="黑体" w:hint="eastAsia"/>
          <w:sz w:val="32"/>
          <w:szCs w:val="32"/>
        </w:rPr>
        <w:t>三、下一步工作打算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hAnsi="仿宋_GB2312" w:cs="仿宋_GB2312" w:hint="eastAsia"/>
          <w:sz w:val="32"/>
          <w:szCs w:val="32"/>
        </w:rPr>
      </w:pPr>
      <w:r>
        <w:rPr>
          <w:rFonts w:ascii="楷体_GB2312" w:eastAsia="楷体_GB2312" w:hAnsi="楷体_GB2312" w:cs="楷体_GB2312" w:hint="eastAsia"/>
          <w:kern w:val="0"/>
          <w:sz w:val="32"/>
          <w:szCs w:val="32"/>
          <w:lang w:eastAsia="zh-CN" w:bidi="ar"/>
        </w:rPr>
        <w:t>（</w:t>
      </w:r>
      <w:r>
        <w:rPr>
          <w:rFonts w:ascii="楷体_GB2312" w:eastAsia="楷体_GB2312" w:hAnsi="楷体_GB2312" w:cs="楷体_GB2312" w:hint="eastAsia"/>
          <w:kern w:val="0"/>
          <w:sz w:val="32"/>
          <w:szCs w:val="32"/>
          <w:lang w:val="en-US" w:eastAsia="zh-CN" w:bidi="ar"/>
        </w:rPr>
        <w:t>一</w:t>
      </w:r>
      <w:r>
        <w:rPr>
          <w:rFonts w:ascii="楷体_GB2312" w:eastAsia="楷体_GB2312" w:hAnsi="楷体_GB2312" w:cs="楷体_GB2312" w:hint="eastAsia"/>
          <w:kern w:val="0"/>
          <w:sz w:val="32"/>
          <w:szCs w:val="32"/>
          <w:lang w:eastAsia="zh-CN" w:bidi="ar"/>
        </w:rPr>
        <w:t>）</w:t>
      </w:r>
      <w:r>
        <w:rPr>
          <w:rFonts w:ascii="楷体_GB2312" w:eastAsia="楷体_GB2312" w:hAnsi="楷体_GB2312" w:cs="楷体_GB2312" w:hint="eastAsia"/>
          <w:kern w:val="0"/>
          <w:sz w:val="32"/>
          <w:szCs w:val="32"/>
          <w:lang w:bidi="ar"/>
        </w:rPr>
        <w:t>强化政治引领。</w:t>
      </w:r>
      <w:r>
        <w:rPr>
          <w:rFonts w:ascii="仿宋_GB2312" w:eastAsia="仿宋_GB2312" w:hAnsi="仿宋_GB2312" w:cs="仿宋_GB2312" w:hint="eastAsia"/>
          <w:sz w:val="32"/>
          <w:szCs w:val="32"/>
        </w:rPr>
        <w:t xml:space="preserve">毫不动摇地落实“从严治党”要求，坚决贯彻执行上级组织的决策部署，让党的旗帜在文旅领域高高飘扬。持续推进党支部建设标准化，将党建工作与法治建设深度融合，不仅要让每一位干部职工成为业务骨干，更要成为懂法、守法、用法的典范，不断提升法治意识，为文旅事业发展筑牢思想根基。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hAnsi="仿宋_GB2312" w:cs="仿宋_GB2312" w:hint="eastAsia"/>
          <w:sz w:val="32"/>
          <w:szCs w:val="32"/>
        </w:rPr>
      </w:pPr>
      <w:r>
        <w:rPr>
          <w:rFonts w:ascii="楷体_GB2312" w:eastAsia="楷体_GB2312" w:hAnsi="楷体_GB2312" w:cs="楷体_GB2312" w:hint="eastAsia"/>
          <w:kern w:val="0"/>
          <w:sz w:val="32"/>
          <w:szCs w:val="32"/>
          <w:lang w:eastAsia="zh-CN" w:bidi="ar"/>
        </w:rPr>
        <w:t>（</w:t>
      </w:r>
      <w:r>
        <w:rPr>
          <w:rFonts w:ascii="楷体_GB2312" w:eastAsia="楷体_GB2312" w:hAnsi="楷体_GB2312" w:cs="楷体_GB2312" w:hint="eastAsia"/>
          <w:kern w:val="0"/>
          <w:sz w:val="32"/>
          <w:szCs w:val="32"/>
          <w:lang w:val="en-US" w:eastAsia="zh-CN" w:bidi="ar"/>
        </w:rPr>
        <w:t>二</w:t>
      </w:r>
      <w:r>
        <w:rPr>
          <w:rFonts w:ascii="楷体_GB2312" w:eastAsia="楷体_GB2312" w:hAnsi="楷体_GB2312" w:cs="楷体_GB2312" w:hint="eastAsia"/>
          <w:kern w:val="0"/>
          <w:sz w:val="32"/>
          <w:szCs w:val="32"/>
          <w:lang w:eastAsia="zh-CN" w:bidi="ar"/>
        </w:rPr>
        <w:t>）</w:t>
      </w:r>
      <w:r>
        <w:rPr>
          <w:rFonts w:ascii="楷体_GB2312" w:eastAsia="楷体_GB2312" w:hAnsi="楷体_GB2312" w:cs="楷体_GB2312" w:hint="eastAsia"/>
          <w:kern w:val="0"/>
          <w:sz w:val="32"/>
          <w:szCs w:val="32"/>
          <w:lang w:bidi="ar"/>
        </w:rPr>
        <w:t>创新服务理念。</w:t>
      </w:r>
      <w:r>
        <w:rPr>
          <w:rFonts w:ascii="仿宋_GB2312" w:eastAsia="仿宋_GB2312" w:hAnsi="仿宋_GB2312" w:cs="仿宋_GB2312" w:hint="eastAsia"/>
          <w:sz w:val="32"/>
          <w:szCs w:val="32"/>
        </w:rPr>
        <w:t>围绕惠民政策落实、社会治理等重点工作，主动深入基层、深入群众，广泛征求意见。文旅事业的核心是服务群众，以解决文旅基层党建重难点问题为导向，不断探索新方法、新路径，让服务更贴心、更高效，切实提升群众的获得感和幸福感。同时注重文化传承与创新，挖掘本地特色文化资源，推动文旅产业融合发展，为地区经济增长注入新动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val="en-US" w:eastAsia="zh-CN"/>
        </w:rPr>
        <w:t>三</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kern w:val="0"/>
          <w:sz w:val="32"/>
          <w:szCs w:val="32"/>
          <w:lang w:bidi="ar"/>
        </w:rPr>
        <w:t>加强执法监督</w:t>
      </w:r>
      <w:r>
        <w:rPr>
          <w:rFonts w:ascii="楷体_GB2312" w:eastAsia="楷体_GB2312" w:hAnsi="楷体_GB2312" w:cs="楷体_GB2312" w:hint="eastAsia"/>
          <w:kern w:val="0"/>
          <w:sz w:val="32"/>
          <w:szCs w:val="32"/>
          <w:lang w:eastAsia="zh-CN" w:bidi="ar"/>
        </w:rPr>
        <w:t>。</w:t>
      </w:r>
      <w:r>
        <w:rPr>
          <w:rFonts w:ascii="仿宋_GB2312" w:eastAsia="仿宋_GB2312" w:hAnsi="仿宋_GB2312" w:cs="仿宋_GB2312" w:hint="eastAsia"/>
          <w:sz w:val="32"/>
          <w:szCs w:val="32"/>
        </w:rPr>
        <w:t>严格落实规范性文件统一登记、统一编号、统一公布制度，做好局机关规章制度的立、改、废工作。增强行政执法效能。认真落实《提升行政执法质量三年行动计划（</w:t>
      </w:r>
      <w:r>
        <w:rPr>
          <w:rFonts w:ascii="Times New Roman" w:eastAsia="仿宋_GB2312" w:hAnsi="Times New Roman" w:cs="Times New Roman" w:hint="default"/>
          <w:sz w:val="32"/>
          <w:szCs w:val="32"/>
        </w:rPr>
        <w:t>2024</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2025</w:t>
      </w:r>
      <w:r>
        <w:rPr>
          <w:rFonts w:ascii="仿宋_GB2312" w:eastAsia="仿宋_GB2312" w:hAnsi="仿宋_GB2312" w:cs="仿宋_GB2312" w:hint="eastAsia"/>
          <w:sz w:val="32"/>
          <w:szCs w:val="32"/>
        </w:rPr>
        <w:t>年）》，着力提升行政执法人员能力素质，推进严格规范公正文明执法。强化权力制约监督。进一步完善执法监督考评机制，加强对本部门本系统行政执法工作和重大行政执法案事件的统筹协调、日常监督和业务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p>
    <w:p>
      <w:pPr>
        <w:pStyle w:val="TOC3"/>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eastAsia="仿宋_GB2312" w:hint="default"/>
          <w:lang w:val="en-US" w:eastAsia="zh-CN"/>
        </w:rPr>
      </w:pPr>
    </w:p>
    <w:sectPr>
      <w:footerReference w:type="default" r:id="rId5"/>
      <w:pgSz w:w="11906" w:h="16838"/>
      <w:pgMar w:top="1701" w:right="1440" w:bottom="1701" w:left="1440" w:header="851" w:footer="1587"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32"/>
                              <w:szCs w:val="32"/>
                              <w:lang w:eastAsia="zh-CN"/>
                            </w:rPr>
                          </w:pPr>
                          <w:r>
                            <w:rPr>
                              <w:rFonts w:ascii="宋体" w:eastAsia="宋体" w:hAnsi="宋体" w:cs="宋体" w:hint="eastAsia"/>
                              <w:sz w:val="32"/>
                              <w:szCs w:val="32"/>
                              <w:lang w:eastAsia="zh-CN"/>
                            </w:rPr>
                            <w:t xml:space="preserve">— </w:t>
                          </w:r>
                          <w:r>
                            <w:rPr>
                              <w:rFonts w:ascii="宋体" w:eastAsia="宋体" w:hAnsi="宋体" w:cs="宋体" w:hint="eastAsia"/>
                              <w:sz w:val="32"/>
                              <w:szCs w:val="32"/>
                              <w:lang w:eastAsia="zh-CN"/>
                            </w:rPr>
                            <w:fldChar w:fldCharType="begin"/>
                          </w:r>
                          <w:r>
                            <w:rPr>
                              <w:rFonts w:ascii="宋体" w:eastAsia="宋体" w:hAnsi="宋体" w:cs="宋体" w:hint="eastAsia"/>
                              <w:sz w:val="32"/>
                              <w:szCs w:val="32"/>
                              <w:lang w:eastAsia="zh-CN"/>
                            </w:rPr>
                            <w:instrText xml:space="preserve"> PAGE  \* MERGEFORMAT </w:instrText>
                          </w:r>
                          <w:r>
                            <w:rPr>
                              <w:rFonts w:ascii="宋体" w:eastAsia="宋体" w:hAnsi="宋体" w:cs="宋体" w:hint="eastAsia"/>
                              <w:sz w:val="32"/>
                              <w:szCs w:val="32"/>
                              <w:lang w:eastAsia="zh-CN"/>
                            </w:rPr>
                            <w:fldChar w:fldCharType="separate"/>
                          </w:r>
                          <w:r>
                            <w:rPr>
                              <w:rFonts w:ascii="宋体" w:eastAsia="宋体" w:hAnsi="宋体" w:cs="宋体" w:hint="eastAsia"/>
                              <w:sz w:val="32"/>
                              <w:szCs w:val="32"/>
                              <w:lang w:eastAsia="zh-CN"/>
                            </w:rPr>
                            <w:t>- 1 -</w:t>
                          </w:r>
                          <w:r>
                            <w:rPr>
                              <w:rFonts w:ascii="宋体" w:eastAsia="宋体" w:hAnsi="宋体" w:cs="宋体" w:hint="eastAsia"/>
                              <w:sz w:val="32"/>
                              <w:szCs w:val="32"/>
                              <w:lang w:eastAsia="zh-CN"/>
                            </w:rPr>
                            <w:fldChar w:fldCharType="end"/>
                          </w:r>
                          <w:r>
                            <w:rPr>
                              <w:rFonts w:ascii="宋体" w:eastAsia="宋体" w:hAnsi="宋体" w:cs="宋体" w:hint="eastAsia"/>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ascii="宋体" w:eastAsia="宋体" w:hAnsi="宋体" w:cs="宋体" w:hint="eastAsia"/>
                        <w:sz w:val="32"/>
                        <w:szCs w:val="32"/>
                        <w:lang w:eastAsia="zh-CN"/>
                      </w:rPr>
                    </w:pPr>
                    <w:r>
                      <w:rPr>
                        <w:rFonts w:ascii="宋体" w:eastAsia="宋体" w:hAnsi="宋体" w:cs="宋体" w:hint="eastAsia"/>
                        <w:sz w:val="32"/>
                        <w:szCs w:val="32"/>
                        <w:lang w:eastAsia="zh-CN"/>
                      </w:rPr>
                      <w:t xml:space="preserve">— </w:t>
                    </w:r>
                    <w:r>
                      <w:rPr>
                        <w:rFonts w:ascii="宋体" w:eastAsia="宋体" w:hAnsi="宋体" w:cs="宋体" w:hint="eastAsia"/>
                        <w:sz w:val="32"/>
                        <w:szCs w:val="32"/>
                        <w:lang w:eastAsia="zh-CN"/>
                      </w:rPr>
                      <w:fldChar w:fldCharType="begin"/>
                    </w:r>
                    <w:r>
                      <w:rPr>
                        <w:rFonts w:ascii="宋体" w:eastAsia="宋体" w:hAnsi="宋体" w:cs="宋体" w:hint="eastAsia"/>
                        <w:sz w:val="32"/>
                        <w:szCs w:val="32"/>
                        <w:lang w:eastAsia="zh-CN"/>
                      </w:rPr>
                      <w:instrText xml:space="preserve"> PAGE  \* MERGEFORMAT </w:instrText>
                    </w:r>
                    <w:r>
                      <w:rPr>
                        <w:rFonts w:ascii="宋体" w:eastAsia="宋体" w:hAnsi="宋体" w:cs="宋体" w:hint="eastAsia"/>
                        <w:sz w:val="32"/>
                        <w:szCs w:val="32"/>
                        <w:lang w:eastAsia="zh-CN"/>
                      </w:rPr>
                      <w:fldChar w:fldCharType="separate"/>
                    </w:r>
                    <w:r>
                      <w:rPr>
                        <w:rFonts w:ascii="宋体" w:eastAsia="宋体" w:hAnsi="宋体" w:cs="宋体" w:hint="eastAsia"/>
                        <w:sz w:val="32"/>
                        <w:szCs w:val="32"/>
                        <w:lang w:eastAsia="zh-CN"/>
                      </w:rPr>
                      <w:t>- 1 -</w:t>
                    </w:r>
                    <w:r>
                      <w:rPr>
                        <w:rFonts w:ascii="宋体" w:eastAsia="宋体" w:hAnsi="宋体" w:cs="宋体" w:hint="eastAsia"/>
                        <w:sz w:val="32"/>
                        <w:szCs w:val="32"/>
                        <w:lang w:eastAsia="zh-CN"/>
                      </w:rPr>
                      <w:fldChar w:fldCharType="end"/>
                    </w:r>
                    <w:r>
                      <w:rPr>
                        <w:rFonts w:ascii="宋体" w:eastAsia="宋体" w:hAnsi="宋体" w:cs="宋体" w:hint="eastAsia"/>
                        <w:sz w:val="32"/>
                        <w:szCs w:val="32"/>
                        <w:lang w:eastAsia="zh-CN"/>
                      </w:rPr>
                      <w:t xml:space="preserve"> —</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6C552E"/>
    <w:multiLevelType w:val="singleLevel"/>
    <w:tmpl w:val="3E6C552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19"/>
    <w:rsid w:val="000D46E4"/>
    <w:rsid w:val="001F4419"/>
    <w:rsid w:val="00490898"/>
    <w:rsid w:val="00BD7327"/>
    <w:rsid w:val="00D41549"/>
    <w:rsid w:val="02293521"/>
    <w:rsid w:val="03186B2F"/>
    <w:rsid w:val="03782202"/>
    <w:rsid w:val="0737039F"/>
    <w:rsid w:val="07452046"/>
    <w:rsid w:val="07BB0557"/>
    <w:rsid w:val="08496442"/>
    <w:rsid w:val="0C6929C0"/>
    <w:rsid w:val="0CD219A2"/>
    <w:rsid w:val="0E5E6584"/>
    <w:rsid w:val="126B28EE"/>
    <w:rsid w:val="1626023F"/>
    <w:rsid w:val="170F1EF8"/>
    <w:rsid w:val="173A0268"/>
    <w:rsid w:val="174F2F9E"/>
    <w:rsid w:val="18F004C8"/>
    <w:rsid w:val="1C663349"/>
    <w:rsid w:val="1DAB0B3F"/>
    <w:rsid w:val="1E414F8A"/>
    <w:rsid w:val="1F4A592F"/>
    <w:rsid w:val="22387D86"/>
    <w:rsid w:val="224C49F8"/>
    <w:rsid w:val="244E2A2F"/>
    <w:rsid w:val="263F07C6"/>
    <w:rsid w:val="26C00F04"/>
    <w:rsid w:val="28D57858"/>
    <w:rsid w:val="296E498D"/>
    <w:rsid w:val="2A7B183D"/>
    <w:rsid w:val="2B681EB2"/>
    <w:rsid w:val="2C8D1F0B"/>
    <w:rsid w:val="2CD34855"/>
    <w:rsid w:val="2D3D145E"/>
    <w:rsid w:val="2E5B3900"/>
    <w:rsid w:val="304D5440"/>
    <w:rsid w:val="36311184"/>
    <w:rsid w:val="36871126"/>
    <w:rsid w:val="3C481C68"/>
    <w:rsid w:val="3D90252F"/>
    <w:rsid w:val="42940837"/>
    <w:rsid w:val="429D014B"/>
    <w:rsid w:val="42BA495C"/>
    <w:rsid w:val="4CE63E06"/>
    <w:rsid w:val="4E075C16"/>
    <w:rsid w:val="538C0425"/>
    <w:rsid w:val="54762593"/>
    <w:rsid w:val="59481D8E"/>
    <w:rsid w:val="5ADC5F4E"/>
    <w:rsid w:val="5AE472BF"/>
    <w:rsid w:val="5D6511EF"/>
    <w:rsid w:val="62924F5E"/>
    <w:rsid w:val="68D460F5"/>
    <w:rsid w:val="6978377C"/>
    <w:rsid w:val="70C71BF9"/>
    <w:rsid w:val="70D10DC5"/>
    <w:rsid w:val="711A48D0"/>
    <w:rsid w:val="73C16454"/>
    <w:rsid w:val="73E20B03"/>
    <w:rsid w:val="7569425B"/>
    <w:rsid w:val="75E96A40"/>
    <w:rsid w:val="778034B5"/>
    <w:rsid w:val="794F667B"/>
    <w:rsid w:val="7A216A38"/>
    <w:rsid w:val="7A937565"/>
    <w:rsid w:val="7CC27A5A"/>
    <w:rsid w:val="7D727B2A"/>
    <w:rsid w:val="7F0E6611"/>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OC3"/>
    <w:qFormat/>
    <w:pPr>
      <w:widowControl w:val="0"/>
      <w:jc w:val="both"/>
    </w:pPr>
    <w:rPr>
      <w:rFonts w:ascii="Calibri" w:eastAsia="宋体" w:hAnsi="Calibri" w:cs="Times New Roman"/>
      <w:kern w:val="2"/>
      <w:sz w:val="21"/>
      <w:szCs w:val="24"/>
      <w:lang w:val="en-US" w:eastAsia="zh-CN" w:bidi="ar-SA"/>
    </w:rPr>
  </w:style>
  <w:style w:type="paragraph" w:styleId="Heading1">
    <w:name w:val="heading 1"/>
    <w:basedOn w:val="Normal"/>
    <w:next w:val="Normal"/>
    <w:link w:val="1"/>
    <w:qFormat/>
    <w:pPr>
      <w:keepNext/>
      <w:keepLines/>
      <w:spacing w:before="340" w:after="330" w:line="578" w:lineRule="auto"/>
      <w:outlineLvl w:val="0"/>
    </w:pPr>
    <w:rPr>
      <w:b/>
      <w:bCs/>
      <w:kern w:val="44"/>
      <w:sz w:val="44"/>
      <w:szCs w:val="44"/>
    </w:rPr>
  </w:style>
  <w:style w:type="paragraph" w:styleId="Heading3">
    <w:name w:val="heading 3"/>
    <w:basedOn w:val="Normal"/>
    <w:next w:val="Normal"/>
    <w:uiPriority w:val="99"/>
    <w:qFormat/>
    <w:pPr>
      <w:widowControl/>
      <w:ind w:left="1000" w:hanging="400"/>
      <w:outlineLvl w:val="2"/>
    </w:pPr>
    <w:rPr>
      <w:szCs w:val="21"/>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OC3">
    <w:name w:val="toc 3"/>
    <w:basedOn w:val="Normal"/>
    <w:next w:val="Normal"/>
    <w:autoRedefine/>
    <w:uiPriority w:val="39"/>
    <w:unhideWhenUsed/>
    <w:qFormat/>
    <w:pPr>
      <w:spacing w:line="540" w:lineRule="exact"/>
      <w:jc w:val="left"/>
    </w:pPr>
    <w:rPr>
      <w:rFonts w:ascii="黑体" w:eastAsia="黑体" w:hAnsi="黑体"/>
      <w:sz w:val="32"/>
      <w:szCs w:val="32"/>
    </w:r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a"/>
    <w:autoRedefine/>
    <w:pP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kern w:val="0"/>
      <w:sz w:val="24"/>
    </w:rPr>
  </w:style>
  <w:style w:type="character" w:styleId="Strong">
    <w:name w:val="Strong"/>
    <w:basedOn w:val="DefaultParagraphFont"/>
    <w:uiPriority w:val="99"/>
    <w:qFormat/>
    <w:rPr>
      <w:rFonts w:cs="Times New Roman"/>
      <w:b/>
      <w:bCs/>
    </w:rPr>
  </w:style>
  <w:style w:type="character" w:customStyle="1" w:styleId="a">
    <w:name w:val="页眉 字符"/>
    <w:basedOn w:val="DefaultParagraphFont"/>
    <w:link w:val="Header"/>
    <w:qFormat/>
    <w:rPr>
      <w:rFonts w:ascii="Calibri" w:hAnsi="Calibri"/>
      <w:kern w:val="2"/>
      <w:sz w:val="18"/>
      <w:szCs w:val="18"/>
    </w:rPr>
  </w:style>
  <w:style w:type="paragraph" w:styleId="ListParagraph">
    <w:name w:val="List Paragraph"/>
    <w:basedOn w:val="Normal"/>
    <w:uiPriority w:val="99"/>
    <w:unhideWhenUsed/>
    <w:qFormat/>
    <w:pPr>
      <w:ind w:firstLine="420" w:firstLineChars="200"/>
    </w:pPr>
  </w:style>
  <w:style w:type="character" w:customStyle="1" w:styleId="1">
    <w:name w:val="标题 1 字符"/>
    <w:basedOn w:val="DefaultParagraphFont"/>
    <w:link w:val="Heading1"/>
    <w:qFormat/>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2004</Words>
  <Characters>2028</Characters>
  <Application>Microsoft Office Word</Application>
  <DocSecurity>0</DocSecurity>
  <Lines>13</Lines>
  <Paragraphs>3</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2</cp:revision>
  <cp:lastPrinted>2025-02-27T02:57:00Z</cp:lastPrinted>
  <dcterms:created xsi:type="dcterms:W3CDTF">2022-02-21T19:36:00Z</dcterms:created>
  <dcterms:modified xsi:type="dcterms:W3CDTF">2025-03-07T05:41:25Z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273EC1CB1B354AD4849B456464BF78D3_13</vt:lpwstr>
  </property>
  <property fmtid="{D5CDD505-2E9C-101B-9397-08002B2CF9AE}" pid="3" name="KSOProductBuildVer">
    <vt:lpwstr>2052-12.1.0.16729</vt:lpwstr>
  </property>
  <property fmtid="{D5CDD505-2E9C-101B-9397-08002B2CF9AE}" pid="4" name="KSOTemplateDocerSaveRecord">
    <vt:lpwstr>eyJoZGlkIjoiMjc5ZDViYzVjZTBhYTFmY2Q0OGIxNTA5NzAzNjBjOWUiLCJ1c2VySWQiOiI2OTU0MjQyNzQifQ==</vt:lpwstr>
  </property>
</Properties>
</file>