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年度述法报告</w:t>
      </w:r>
    </w:p>
    <w:p>
      <w:pPr>
        <w:keepNext w:val="0"/>
        <w:keepLines w:val="0"/>
        <w:pageBreakBefore w:val="0"/>
        <w:widowControl w:val="0"/>
        <w:tabs>
          <w:tab w:val="left" w:pos="7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车排子镇党委书记  王同峰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履职情况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（一）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学习贯彻习近平法治思想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，履行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推进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法治建设第一责任人职责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。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</w:rPr>
        <w:t>一是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坚持推进镇党委理论学习中心组学法常态化，把习近平法治思想纳入中心组学习重要内容，推进领导干部学法经常化、制度化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今年来，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主持召开党委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理论学习中心组专题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学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法12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讲法治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专题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课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场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eastAsia="zh-CN"/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听取法治建设汇报2次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Style w:val="5"/>
          <w:rFonts w:hint="default" w:ascii="Times New Roman" w:hAnsi="Times New Roman" w:eastAsia="仿宋_GB2312" w:cs="Times New Roman"/>
          <w:b w:val="0"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切实履行法治建设第一责任人职责，将法治建设纳入年度工作计划，对法治建设工作方案、各级巡查整改反馈问题亲自部署、亲自过问、亲自协调、亲自督办。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加强党内法规的学习，组织班子成员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、机关干部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学习党内法规，集体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观看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纪律警示片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次，提升了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全体党员干部遵纪守法</w:t>
      </w:r>
      <w:r>
        <w:rPr>
          <w:rStyle w:val="5"/>
          <w:rFonts w:hint="default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的意识，同时由镇纪委牵头进行党内法规制度落实的检查，从严管理党员干部队伍，从严执纪检查党内法规执行情况。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（二）扎实推进依法行政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全面建设法治政府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一是坚持民主决策，“三重一大”集体研究、民主决策，做到决议、决定规范合法。二是严格依法依规决策，落实党委法律顾问制度、公职律师制度，2024年聘请法律顾问1人，加强对党委文件、重大决策的合法合规性审查，参与重要行政决策论证，对具体行政行为提出法律意见。三是加强对司法所、综合行政执法办等部门的行政执法行为规范化管理，做到行政执法决定事实清楚，证据确凿充分，适用法律法规正确，处罚公正合理。四是持续抓好人民调解工作。推进大调解工作体系建设，不断完善打通镇与市、村两级调解工作部门沟通对接机制，实现政府职能部门和调解组织无缝衔接，确保人民调解工作的有效连接。依法处置好各类信访及矛盾纠纷案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落实党的全面领导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切实加强考核监督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一是严管“关键少数”。通过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镇级法治建设工作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专题会议，严格督促指导班子其他成员和村党支部书记带头尊法学法守法用法，把政府工作全面纳入法治化轨道。二是严格督查考核。将法治建设、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普法依法治理工作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纳入202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年度乡镇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各部门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村队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综合考核。三是严肃接受监督。自觉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接受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人民群众监督和舆论监督，认真听取人大代表、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党员代表、人民群众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的意见，切实改进政府各方面工作。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32"/>
          <w:lang w:eastAsia="zh-CN"/>
        </w:rPr>
        <w:t>）广泛宣传，营造全镇学法用法浓厚氛围。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建立并完善了普法宣传、平安建设宣传工作长效机制，并纳入了党委、政府的总体宣传规划。充分利用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民法典宣传月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、“12.4”宪法宣传日等重要节点，在镇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开展大型普法宣传活动20余次。累计发放宣传资料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2000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余份，悬挂横幅15条，张贴宣传标语500条。组织镇综治办、派出所、司法所深入学校开展法治宣传进校园专题活动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场，受教育人数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t>余人。充分发挥微信公众号、微信群等新媒体平台的作用，开展反电信诈骗、扫黑除恶、禁毒等法律法规的宣传。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加强法治文化建设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创新法治阵地覆盖面。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车排子镇党委积极探索创新法治阵地建设路径，致力于打造具有本地特色、贴近群众生活、富有实效的法治文化传播平台，在乡镇“四个一”法治阵地建设理念下，结合车排子镇地理环境条件，将正在制作的40张法治文化宣传板与路灯巧妙融入，用通俗易懂的文字展示宪法、民法典、道路交通安全法等法律知识，让群众在休闲散步中潜移默化地接受法治熏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创新调解方法</w:t>
      </w:r>
      <w:r>
        <w:rPr>
          <w:rFonts w:hint="default" w:ascii="Times New Roman" w:hAnsi="Times New Roman" w:eastAsia="楷体_GB2312" w:cs="Times New Roman"/>
          <w:b w:val="0"/>
          <w:bCs/>
          <w:color w:val="000000"/>
          <w:sz w:val="32"/>
          <w:lang w:eastAsia="zh-CN"/>
        </w:rPr>
        <w:t>，</w:t>
      </w:r>
      <w:r>
        <w:rPr>
          <w:rFonts w:hint="eastAsia" w:ascii="Times New Roman" w:hAnsi="Times New Roman" w:eastAsia="楷体_GB2312" w:cs="Times New Roman"/>
          <w:b w:val="0"/>
          <w:bCs/>
          <w:color w:val="000000"/>
          <w:sz w:val="32"/>
          <w:lang w:val="en-US" w:eastAsia="zh-CN"/>
        </w:rPr>
        <w:t>强化人民调解成效。一是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通过推行“网格+调解”模式，将全镇划分为31个网格，每个网格配备至少一名网格员，对本网格矛盾纠纷定期开展排查上报，并及时反馈村级调解委员会及镇综治中心、司法所，实现矛盾纠纷早发现、早介入、早化解。二是建立“调解+心理疏导”机制，针对一些家庭纠纷、邻里矛盾等引发的情绪激动、心理问题突出的当事人，通过镇、村两级共同对当事人进行心理疏导，缓解当事人对立情绪，为矛盾纠纷的解决创造有利条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二、下一步工作打算</w:t>
      </w:r>
    </w:p>
    <w:p>
      <w:pPr>
        <w:keepNext w:val="0"/>
        <w:keepLines w:val="0"/>
        <w:pageBreakBefore w:val="0"/>
        <w:widowControl w:val="0"/>
        <w:tabs>
          <w:tab w:val="left" w:pos="1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继续贯彻集体学法制度，努力提高领导干部运用法治思维和法律手段推进发展、维护稳定的能力；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加强法治宣传氛围的营造，在重要交通路段、公共场所、人员聚集地设置永久性法治宣传标识，增强法律元素，努力营造浓厚的法治宣传氛围，着力构建办事依法、遇事找法、解决问题用法、化解矛盾靠法的良好氛围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创新普法工作宣传形式，紧密联系工作实际，切实加强对法治建设的宣传报道，让法律走到群众身边，走进群众心里，切实提高辖区群众的学法守法意识。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建立健全审查流程，制定详细、规范的合同审查流程，明确各个环节的操作标准和时间节点。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加强人民调解、行政调解、司法调解的资源统筹、力量统筹、效果统筹，推动形成办事依法、遇事找法、解决问题用法、化解矛盾靠法的浓厚氛围，着力实现“小事不出村、大事不出镇、矛盾不上交”的目标。</w:t>
      </w: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00000000"/>
    <w:rsid w:val="08BE2208"/>
    <w:rsid w:val="0BE03F04"/>
    <w:rsid w:val="25A35DDE"/>
    <w:rsid w:val="33420BA7"/>
    <w:rsid w:val="34BE5359"/>
    <w:rsid w:val="3C094C3F"/>
    <w:rsid w:val="41995D1D"/>
    <w:rsid w:val="4379335D"/>
    <w:rsid w:val="5A356A12"/>
    <w:rsid w:val="5A704BDE"/>
    <w:rsid w:val="5FCE1D73"/>
    <w:rsid w:val="654212A2"/>
    <w:rsid w:val="69E714FC"/>
    <w:rsid w:val="6E5E6016"/>
    <w:rsid w:val="6EC84B05"/>
    <w:rsid w:val="70EC6C67"/>
    <w:rsid w:val="77D6311F"/>
    <w:rsid w:val="7CFD036C"/>
    <w:rsid w:val="7D2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一级标题"/>
    <w:basedOn w:val="1"/>
    <w:qFormat/>
    <w:uiPriority w:val="0"/>
    <w:pPr>
      <w:ind w:firstLine="640"/>
    </w:pPr>
    <w:rPr>
      <w:rFonts w:ascii="黑体" w:hAnsi="黑体" w:eastAsia="黑体"/>
    </w:rPr>
  </w:style>
  <w:style w:type="character" w:customStyle="1" w:styleId="7">
    <w:name w:val="二级标题 字符"/>
    <w:basedOn w:val="4"/>
    <w:link w:val="8"/>
    <w:qFormat/>
    <w:uiPriority w:val="0"/>
    <w:rPr>
      <w:rFonts w:ascii="楷体" w:hAnsi="楷体" w:eastAsia="楷体"/>
    </w:rPr>
  </w:style>
  <w:style w:type="paragraph" w:customStyle="1" w:styleId="8">
    <w:name w:val="二级标题"/>
    <w:basedOn w:val="1"/>
    <w:link w:val="7"/>
    <w:qFormat/>
    <w:uiPriority w:val="0"/>
    <w:pPr>
      <w:ind w:firstLine="640"/>
    </w:pPr>
    <w:rPr>
      <w:rFonts w:ascii="楷体" w:hAnsi="楷体" w:eastAsia="楷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2281</Words>
  <Characters>2314</Characters>
  <Lines>0</Lines>
  <Paragraphs>0</Paragraphs>
  <TotalTime>24</TotalTime>
  <ScaleCrop>false</ScaleCrop>
  <LinksUpToDate>false</LinksUpToDate>
  <CharactersWithSpaces>2316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2024-12-29T14:07:00Z</dcterms:created>
  <dc:creator>Administrator</dc:creator>
  <cp:lastModifiedBy>喜文</cp:lastModifiedBy>
  <cp:lastPrinted>2024-12-31T05:14:00Z</cp:lastPrinted>
  <dcterms:modified xsi:type="dcterms:W3CDTF">2025-03-11T09:14:36Z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eyJoZGlkIjoiZGU0ZTU1Yzk2MjhjMmQ3OTBhZDgzMWE5MmVkZDYyNDUiLCJ1c2VySWQiOiI2NjQ0Nzg0NDMifQ==</vt:lpwstr>
  </property>
  <property fmtid="{D5CDD505-2E9C-101B-9397-08002B2CF9AE}" pid="4" name="ICV">
    <vt:lpwstr>3FBA3A2957554EE8BE7055E2EE2BB795_12</vt:lpwstr>
  </property>
</Properties>
</file>