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bCs/>
          <w:sz w:val="56"/>
          <w:szCs w:val="96"/>
          <w:highlight w:val="none"/>
          <w:lang w:val="en-US" w:eastAsia="zh-CN"/>
        </w:rPr>
      </w:pPr>
      <w:r>
        <w:drawing>
          <wp:anchor distT="0" distB="0" distL="114300" distR="114300" simplePos="0" relativeHeight="251686912" behindDoc="1" locked="0" layoutInCell="1" allowOverlap="1">
            <wp:simplePos x="0" y="0"/>
            <wp:positionH relativeFrom="column">
              <wp:posOffset>-1160780</wp:posOffset>
            </wp:positionH>
            <wp:positionV relativeFrom="paragraph">
              <wp:posOffset>-923925</wp:posOffset>
            </wp:positionV>
            <wp:extent cx="7555865" cy="10691495"/>
            <wp:effectExtent l="0" t="0" r="3175" b="6985"/>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0"/>
                    <a:stretch>
                      <a:fillRect/>
                    </a:stretch>
                  </pic:blipFill>
                  <pic:spPr>
                    <a:xfrm>
                      <a:off x="0" y="0"/>
                      <a:ext cx="7555865" cy="10691495"/>
                    </a:xfrm>
                    <a:prstGeom prst="rect">
                      <a:avLst/>
                    </a:prstGeom>
                    <a:noFill/>
                    <a:ln>
                      <a:noFill/>
                    </a:ln>
                  </pic:spPr>
                </pic:pic>
              </a:graphicData>
            </a:graphic>
          </wp:anchor>
        </w:drawing>
      </w: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bCs/>
          <w:sz w:val="56"/>
          <w:szCs w:val="96"/>
          <w:highlight w:val="none"/>
          <w:lang w:val="en-US" w:eastAsia="zh-CN"/>
        </w:rPr>
      </w:pP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bCs/>
          <w:sz w:val="56"/>
          <w:szCs w:val="96"/>
          <w:highlight w:val="none"/>
          <w:lang w:val="en-US" w:eastAsia="zh-CN"/>
        </w:rPr>
      </w:pP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bCs/>
          <w:sz w:val="56"/>
          <w:szCs w:val="96"/>
          <w:highlight w:val="none"/>
          <w:lang w:val="en-US" w:eastAsia="zh-CN"/>
        </w:rPr>
      </w:pPr>
    </w:p>
    <w:p>
      <w:pPr>
        <w:pStyle w:val="2"/>
        <w:pageBreakBefore w:val="0"/>
        <w:kinsoku/>
        <w:wordWrap/>
        <w:overflowPunct/>
        <w:topLinePunct w:val="0"/>
        <w:bidi w:val="0"/>
        <w:spacing w:beforeAutospacing="0" w:after="0" w:afterAutospacing="0" w:line="240" w:lineRule="auto"/>
        <w:jc w:val="center"/>
        <w:rPr>
          <w:rFonts w:hint="eastAsia" w:ascii="微软雅黑" w:hAnsi="微软雅黑" w:eastAsia="微软雅黑" w:cs="微软雅黑"/>
          <w:b/>
          <w:bCs/>
          <w:sz w:val="56"/>
          <w:szCs w:val="96"/>
          <w:highlight w:val="none"/>
          <w:lang w:val="en-US" w:eastAsia="zh-CN"/>
        </w:rPr>
      </w:pPr>
      <w:r>
        <w:rPr>
          <w:rFonts w:hint="eastAsia" w:ascii="微软雅黑" w:hAnsi="微软雅黑" w:eastAsia="微软雅黑" w:cs="微软雅黑"/>
          <w:b/>
          <w:bCs/>
          <w:sz w:val="56"/>
          <w:szCs w:val="96"/>
          <w:highlight w:val="none"/>
          <w:lang w:val="en-US" w:eastAsia="zh-CN"/>
        </w:rPr>
        <w:t>塔城地区乌苏职业技术学校</w:t>
      </w:r>
    </w:p>
    <w:p>
      <w:pPr>
        <w:pStyle w:val="2"/>
        <w:pageBreakBefore w:val="0"/>
        <w:kinsoku/>
        <w:wordWrap/>
        <w:overflowPunct/>
        <w:topLinePunct w:val="0"/>
        <w:bidi w:val="0"/>
        <w:spacing w:beforeAutospacing="0" w:after="0" w:afterAutospacing="0" w:line="240" w:lineRule="auto"/>
        <w:jc w:val="center"/>
        <w:rPr>
          <w:rFonts w:hint="eastAsia" w:ascii="微软雅黑" w:hAnsi="微软雅黑" w:eastAsia="微软雅黑" w:cs="微软雅黑"/>
          <w:b/>
          <w:bCs/>
          <w:sz w:val="56"/>
          <w:szCs w:val="96"/>
          <w:highlight w:val="none"/>
          <w:lang w:val="en-US" w:eastAsia="zh-CN"/>
        </w:rPr>
      </w:pPr>
      <w:r>
        <w:rPr>
          <w:rFonts w:hint="eastAsia" w:ascii="微软雅黑" w:hAnsi="微软雅黑" w:eastAsia="微软雅黑" w:cs="微软雅黑"/>
          <w:b/>
          <w:bCs/>
          <w:sz w:val="56"/>
          <w:szCs w:val="96"/>
          <w:highlight w:val="none"/>
          <w:lang w:val="en-US" w:eastAsia="zh-CN"/>
        </w:rPr>
        <w:t>教育质量年度报告</w:t>
      </w:r>
    </w:p>
    <w:p>
      <w:pPr>
        <w:pageBreakBefore w:val="0"/>
        <w:kinsoku/>
        <w:wordWrap/>
        <w:overflowPunct/>
        <w:topLinePunct w:val="0"/>
        <w:autoSpaceDE/>
        <w:autoSpaceDN/>
        <w:bidi w:val="0"/>
        <w:adjustRightInd/>
        <w:snapToGrid/>
        <w:spacing w:beforeAutospacing="0" w:afterAutospacing="0" w:line="240" w:lineRule="auto"/>
        <w:ind w:leftChars="0"/>
        <w:jc w:val="center"/>
        <w:textAlignment w:val="auto"/>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lang w:eastAsia="zh-CN"/>
        </w:rPr>
        <w:t>（</w:t>
      </w:r>
      <w:r>
        <w:rPr>
          <w:rFonts w:hint="eastAsia" w:ascii="仿宋" w:hAnsi="仿宋" w:eastAsia="仿宋" w:cs="仿宋"/>
          <w:b/>
          <w:bCs/>
          <w:color w:val="auto"/>
          <w:sz w:val="48"/>
          <w:szCs w:val="48"/>
          <w:highlight w:val="none"/>
        </w:rPr>
        <w:t>202</w:t>
      </w:r>
      <w:r>
        <w:rPr>
          <w:rFonts w:hint="eastAsia" w:ascii="仿宋" w:hAnsi="仿宋" w:eastAsia="仿宋" w:cs="仿宋"/>
          <w:b/>
          <w:bCs/>
          <w:color w:val="auto"/>
          <w:sz w:val="48"/>
          <w:szCs w:val="48"/>
          <w:highlight w:val="none"/>
          <w:lang w:val="en-US" w:eastAsia="zh-CN"/>
        </w:rPr>
        <w:t>4</w:t>
      </w:r>
      <w:r>
        <w:rPr>
          <w:rFonts w:hint="eastAsia" w:ascii="仿宋" w:hAnsi="仿宋" w:eastAsia="仿宋" w:cs="仿宋"/>
          <w:b/>
          <w:bCs/>
          <w:color w:val="auto"/>
          <w:sz w:val="48"/>
          <w:szCs w:val="48"/>
          <w:highlight w:val="none"/>
        </w:rPr>
        <w:t>年度</w:t>
      </w:r>
      <w:r>
        <w:rPr>
          <w:rFonts w:hint="eastAsia" w:ascii="仿宋" w:hAnsi="仿宋" w:eastAsia="仿宋" w:cs="仿宋"/>
          <w:b/>
          <w:bCs/>
          <w:color w:val="auto"/>
          <w:sz w:val="48"/>
          <w:szCs w:val="48"/>
          <w:highlight w:val="none"/>
          <w:lang w:eastAsia="zh-CN"/>
        </w:rPr>
        <w:t>）</w:t>
      </w:r>
    </w:p>
    <w:p>
      <w:pPr>
        <w:pageBreakBefore w:val="0"/>
        <w:kinsoku/>
        <w:wordWrap/>
        <w:overflowPunct/>
        <w:topLinePunct w:val="0"/>
        <w:bidi w:val="0"/>
        <w:spacing w:beforeAutospacing="0" w:afterAutospacing="0" w:line="240" w:lineRule="auto"/>
        <w:rPr>
          <w:rFonts w:hint="eastAsia" w:ascii="仿宋" w:hAnsi="仿宋" w:eastAsia="仿宋" w:cs="仿宋"/>
          <w:sz w:val="30"/>
          <w:szCs w:val="30"/>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ageBreakBefore w:val="0"/>
        <w:kinsoku/>
        <w:wordWrap/>
        <w:overflowPunct/>
        <w:topLinePunct w:val="0"/>
        <w:bidi w:val="0"/>
        <w:spacing w:beforeAutospacing="0" w:after="0" w:afterAutospacing="0" w:line="560" w:lineRule="exact"/>
        <w:ind w:firstLine="440" w:firstLineChars="100"/>
        <w:jc w:val="center"/>
        <w:outlineLvl w:val="0"/>
        <w:rPr>
          <w:rFonts w:hint="eastAsia" w:ascii="微软雅黑" w:hAnsi="微软雅黑" w:eastAsia="微软雅黑" w:cs="微软雅黑"/>
          <w:sz w:val="36"/>
          <w:szCs w:val="44"/>
          <w:highlight w:val="none"/>
          <w:lang w:val="en-US" w:eastAsia="zh-CN"/>
        </w:rPr>
      </w:pPr>
      <w:bookmarkStart w:id="0" w:name="_Toc12501"/>
      <w:bookmarkStart w:id="1" w:name="_Toc16953"/>
      <w:bookmarkStart w:id="2" w:name="_Toc18726"/>
      <w:bookmarkStart w:id="3" w:name="_Toc11757"/>
      <w:bookmarkStart w:id="4" w:name="_Toc9710"/>
      <w:bookmarkStart w:id="5" w:name="_Toc5954"/>
      <w:bookmarkStart w:id="6" w:name="_Toc15141"/>
      <w:bookmarkStart w:id="7" w:name="_Toc17488"/>
      <w:r>
        <w:rPr>
          <w:rFonts w:hint="eastAsia" w:ascii="微软雅黑" w:hAnsi="微软雅黑" w:eastAsia="微软雅黑" w:cs="微软雅黑"/>
          <w:sz w:val="44"/>
          <w:szCs w:val="52"/>
          <w:highlight w:val="none"/>
          <w:lang w:val="en-US" w:eastAsia="zh-CN"/>
        </w:rPr>
        <w:t>年报公开说明</w:t>
      </w:r>
      <w:bookmarkEnd w:id="0"/>
      <w:bookmarkEnd w:id="1"/>
      <w:bookmarkEnd w:id="2"/>
      <w:bookmarkEnd w:id="3"/>
      <w:bookmarkEnd w:id="4"/>
      <w:bookmarkEnd w:id="5"/>
      <w:bookmarkEnd w:id="6"/>
      <w:bookmarkEnd w:id="7"/>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default" w:ascii="仿宋_GB2312" w:hAnsi="仿宋" w:eastAsia="仿宋_GB2312" w:cs="仿宋"/>
          <w:color w:val="auto"/>
          <w:sz w:val="32"/>
          <w:szCs w:val="32"/>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仿宋" w:eastAsia="仿宋_GB2312" w:cs="仿宋"/>
          <w:color w:val="auto"/>
          <w:sz w:val="32"/>
          <w:szCs w:val="32"/>
          <w:highlight w:val="none"/>
          <w:lang w:val="en-US" w:eastAsia="zh-CN"/>
        </w:rPr>
        <w:t>塔城地区乌苏职业技术学校职业教育质量报告（2024年度）公开形式为网络公开，公开网址：www.xjws.gov.cn</w:t>
      </w:r>
    </w:p>
    <w:p>
      <w:pPr>
        <w:pageBreakBefore w:val="0"/>
        <w:kinsoku/>
        <w:wordWrap/>
        <w:overflowPunct/>
        <w:topLinePunct w:val="0"/>
        <w:autoSpaceDE/>
        <w:autoSpaceDN/>
        <w:bidi w:val="0"/>
        <w:adjustRightInd/>
        <w:snapToGrid/>
        <w:spacing w:beforeAutospacing="0" w:afterAutospacing="0" w:line="560" w:lineRule="exact"/>
        <w:ind w:left="0" w:leftChars="0"/>
        <w:jc w:val="center"/>
        <w:textAlignment w:val="auto"/>
        <w:outlineLvl w:val="9"/>
        <w:rPr>
          <w:rFonts w:hint="eastAsia" w:ascii="黑体" w:hAnsi="黑体" w:eastAsia="黑体" w:cs="黑体"/>
          <w:b/>
          <w:bCs/>
          <w:color w:val="auto"/>
          <w:sz w:val="44"/>
          <w:szCs w:val="44"/>
          <w:highlight w:val="none"/>
          <w:lang w:val="en-US" w:eastAsia="zh-CN"/>
        </w:rPr>
      </w:pPr>
      <w:bookmarkStart w:id="8" w:name="_Toc23416"/>
      <w:bookmarkStart w:id="9" w:name="_Toc22854"/>
      <w:bookmarkStart w:id="10" w:name="_Toc12853"/>
      <w:bookmarkStart w:id="11" w:name="_Toc28849"/>
      <w:bookmarkStart w:id="12" w:name="_Toc18574"/>
      <w:bookmarkStart w:id="13" w:name="_Toc10040"/>
      <w:r>
        <w:rPr>
          <w:sz w:val="21"/>
        </w:rPr>
        <mc:AlternateContent>
          <mc:Choice Requires="wps">
            <w:drawing>
              <wp:anchor distT="0" distB="0" distL="114300" distR="114300" simplePos="0" relativeHeight="251695104" behindDoc="0" locked="0" layoutInCell="1" allowOverlap="1">
                <wp:simplePos x="0" y="0"/>
                <wp:positionH relativeFrom="column">
                  <wp:posOffset>3108325</wp:posOffset>
                </wp:positionH>
                <wp:positionV relativeFrom="paragraph">
                  <wp:posOffset>-2524760</wp:posOffset>
                </wp:positionV>
                <wp:extent cx="2353945" cy="775335"/>
                <wp:effectExtent l="0" t="0" r="8255" b="1905"/>
                <wp:wrapNone/>
                <wp:docPr id="1" name="文本框 1"/>
                <wp:cNvGraphicFramePr/>
                <a:graphic xmlns:a="http://schemas.openxmlformats.org/drawingml/2006/main">
                  <a:graphicData uri="http://schemas.microsoft.com/office/word/2010/wordprocessingShape">
                    <wps:wsp>
                      <wps:cNvSpPr txBox="1"/>
                      <wps:spPr>
                        <a:xfrm>
                          <a:off x="5107305" y="6784975"/>
                          <a:ext cx="2353945" cy="775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40"/>
                                <w:szCs w:val="48"/>
                                <w:lang w:val="en-US" w:eastAsia="zh-CN"/>
                              </w:rPr>
                            </w:pPr>
                            <w:r>
                              <w:rPr>
                                <w:rFonts w:hint="eastAsia"/>
                                <w:sz w:val="40"/>
                                <w:szCs w:val="48"/>
                                <w:lang w:val="en-US" w:eastAsia="zh-CN"/>
                              </w:rPr>
                              <w:t>2024年12月30日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98.8pt;height:61.05pt;width:185.35pt;z-index:251695104;mso-width-relative:page;mso-height-relative:page;" fillcolor="#FFFFFF [3201]" filled="t" stroked="f" coordsize="21600,21600" o:gfxdata="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vT+xNkAAAANAQAADwAAAAAAAAABACAAAAAiAAAAZHJzL2Rvd25yZXYueG1sUEsBAhQAFAAAAAgA&#10;h07iQKhCULtdAgAAmwQAAA4AAAAAAAAAAQAgAAAAKAEAAGRycy9lMm9Eb2MueG1sUEsFBgAAAAAG&#10;AAYAWQEAAPcFAAAAAA==&#10;">
                <v:fill on="t" focussize="0,0"/>
                <v:stroke on="f" weight="0.5pt"/>
                <v:imagedata o:title=""/>
                <o:lock v:ext="edit" aspectratio="f"/>
                <v:textbox>
                  <w:txbxContent>
                    <w:p>
                      <w:pPr>
                        <w:rPr>
                          <w:rFonts w:hint="default" w:eastAsiaTheme="minorEastAsia"/>
                          <w:sz w:val="40"/>
                          <w:szCs w:val="48"/>
                          <w:lang w:val="en-US" w:eastAsia="zh-CN"/>
                        </w:rPr>
                      </w:pPr>
                      <w:r>
                        <w:rPr>
                          <w:rFonts w:hint="eastAsia"/>
                          <w:sz w:val="40"/>
                          <w:szCs w:val="48"/>
                          <w:lang w:val="en-US" w:eastAsia="zh-CN"/>
                        </w:rPr>
                        <w:t>2024年12月30日</w:t>
                      </w:r>
                    </w:p>
                  </w:txbxContent>
                </v:textbox>
              </v:shape>
            </w:pict>
          </mc:Fallback>
        </mc:AlternateContent>
      </w:r>
      <w:r>
        <w:rPr>
          <w:rFonts w:hint="eastAsia" w:eastAsiaTheme="minorEastAsia"/>
          <w:lang w:eastAsia="zh-CN"/>
        </w:rPr>
        <w:drawing>
          <wp:anchor distT="0" distB="0" distL="114300" distR="114300" simplePos="0" relativeHeight="251677696" behindDoc="0" locked="0" layoutInCell="1" allowOverlap="1">
            <wp:simplePos x="0" y="0"/>
            <wp:positionH relativeFrom="column">
              <wp:posOffset>-1101090</wp:posOffset>
            </wp:positionH>
            <wp:positionV relativeFrom="paragraph">
              <wp:posOffset>-914400</wp:posOffset>
            </wp:positionV>
            <wp:extent cx="7517765" cy="10701020"/>
            <wp:effectExtent l="0" t="0" r="10795" b="12700"/>
            <wp:wrapSquare wrapText="bothSides"/>
            <wp:docPr id="53" name="图片 53" descr="3d803ca00e20e50b7de2099b2b2e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d803ca00e20e50b7de2099b2b2e0e6"/>
                    <pic:cNvPicPr>
                      <a:picLocks noChangeAspect="1"/>
                    </pic:cNvPicPr>
                  </pic:nvPicPr>
                  <pic:blipFill>
                    <a:blip r:embed="rId11"/>
                    <a:stretch>
                      <a:fillRect/>
                    </a:stretch>
                  </pic:blipFill>
                  <pic:spPr>
                    <a:xfrm>
                      <a:off x="1143000" y="0"/>
                      <a:ext cx="7517765" cy="10701020"/>
                    </a:xfrm>
                    <a:prstGeom prst="rect">
                      <a:avLst/>
                    </a:prstGeom>
                  </pic:spPr>
                </pic:pic>
              </a:graphicData>
            </a:graphic>
          </wp:anchor>
        </w:drawing>
      </w:r>
    </w:p>
    <w:p>
      <w:pPr>
        <w:pageBreakBefore w:val="0"/>
        <w:kinsoku/>
        <w:wordWrap/>
        <w:overflowPunct/>
        <w:topLinePunct w:val="0"/>
        <w:autoSpaceDE/>
        <w:autoSpaceDN/>
        <w:bidi w:val="0"/>
        <w:adjustRightInd/>
        <w:snapToGrid/>
        <w:spacing w:beforeAutospacing="0" w:afterAutospacing="0" w:line="560" w:lineRule="exact"/>
        <w:ind w:left="0" w:leftChars="0"/>
        <w:jc w:val="center"/>
        <w:textAlignment w:val="auto"/>
        <w:outlineLvl w:val="0"/>
        <w:rPr>
          <w:rFonts w:hint="eastAsia" w:ascii="黑体" w:hAnsi="黑体" w:eastAsia="黑体" w:cs="黑体"/>
          <w:b/>
          <w:bCs/>
          <w:color w:val="auto"/>
          <w:sz w:val="44"/>
          <w:szCs w:val="44"/>
          <w:highlight w:val="none"/>
          <w:lang w:val="en-US" w:eastAsia="zh-CN"/>
        </w:rPr>
      </w:pPr>
      <w:bookmarkStart w:id="14" w:name="_Toc12562"/>
      <w:bookmarkStart w:id="15" w:name="_Toc9742"/>
      <w:r>
        <w:rPr>
          <w:rFonts w:hint="eastAsia" w:ascii="黑体" w:hAnsi="黑体" w:eastAsia="黑体" w:cs="黑体"/>
          <w:b/>
          <w:bCs/>
          <w:color w:val="auto"/>
          <w:sz w:val="44"/>
          <w:szCs w:val="44"/>
          <w:highlight w:val="none"/>
          <w:lang w:val="en-US" w:eastAsia="zh-CN"/>
        </w:rPr>
        <w:t>前  言</w:t>
      </w:r>
      <w:bookmarkEnd w:id="8"/>
      <w:bookmarkEnd w:id="9"/>
      <w:bookmarkEnd w:id="10"/>
      <w:bookmarkEnd w:id="11"/>
      <w:bookmarkEnd w:id="12"/>
      <w:bookmarkEnd w:id="13"/>
      <w:bookmarkEnd w:id="14"/>
      <w:bookmarkEnd w:id="15"/>
    </w:p>
    <w:p>
      <w:pPr>
        <w:pStyle w:val="2"/>
        <w:pageBreakBefore w:val="0"/>
        <w:kinsoku/>
        <w:wordWrap/>
        <w:overflowPunct/>
        <w:topLinePunct w:val="0"/>
        <w:autoSpaceDE/>
        <w:autoSpaceDN/>
        <w:bidi w:val="0"/>
        <w:adjustRightInd/>
        <w:snapToGrid/>
        <w:spacing w:beforeAutospacing="0" w:after="0" w:afterAutospacing="0" w:line="560" w:lineRule="exact"/>
        <w:ind w:leftChars="0"/>
        <w:textAlignment w:val="auto"/>
        <w:rPr>
          <w:rFonts w:hint="default"/>
          <w:highlight w:val="none"/>
          <w:lang w:val="en-US" w:eastAsia="zh-CN"/>
        </w:rPr>
      </w:pP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仿宋" w:eastAsia="仿宋_GB2312" w:cs="仿宋"/>
          <w:color w:val="auto"/>
          <w:sz w:val="32"/>
          <w:szCs w:val="32"/>
          <w:highlight w:val="none"/>
          <w:lang w:val="en-US" w:eastAsia="zh-CN"/>
        </w:rPr>
      </w:pPr>
      <w:r>
        <w:rPr>
          <w:rFonts w:hint="eastAsia" w:ascii="仿宋_GB2312" w:hAnsi="仿宋" w:eastAsia="仿宋_GB2312" w:cs="仿宋"/>
          <w:color w:val="auto"/>
          <w:sz w:val="32"/>
          <w:szCs w:val="32"/>
          <w:highlight w:val="none"/>
          <w:lang w:val="en-US" w:eastAsia="zh-CN"/>
        </w:rPr>
        <w:t>2024年，塔城地区乌苏职业技术学校在乌苏市委、市政府的大力支持下，在塔城地区教育局的正确领导下，深入学习贯彻习近平新时代中国特色社会主义思想和党的教育方针政策</w:t>
      </w:r>
      <w:bookmarkStart w:id="260" w:name="_GoBack"/>
      <w:bookmarkEnd w:id="260"/>
      <w:r>
        <w:rPr>
          <w:rFonts w:hint="eastAsia" w:ascii="仿宋_GB2312" w:hAnsi="仿宋" w:eastAsia="仿宋_GB2312" w:cs="仿宋"/>
          <w:color w:val="auto"/>
          <w:sz w:val="32"/>
          <w:szCs w:val="32"/>
          <w:highlight w:val="none"/>
          <w:lang w:val="en-US" w:eastAsia="zh-CN"/>
        </w:rPr>
        <w:t>，坚持立德树人为根本任务，紧紧围绕《国家职业教育改革实施方案》《关于推动现代职业教育高质量发展的意见》和《关于深化现代职业教育体系建设改革的意见》狠抓学校内涵建设，深化教育教学改革，努力提高人才培养质量，各项工作取得了显著成绩。</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仿宋" w:eastAsia="仿宋_GB2312" w:cs="仿宋"/>
          <w:color w:val="auto"/>
          <w:sz w:val="32"/>
          <w:szCs w:val="32"/>
          <w:highlight w:val="none"/>
          <w:lang w:val="en-US" w:eastAsia="zh-CN"/>
        </w:rPr>
      </w:pPr>
      <w:r>
        <w:rPr>
          <w:rFonts w:hint="eastAsia" w:ascii="仿宋_GB2312" w:hAnsi="仿宋" w:eastAsia="仿宋_GB2312" w:cs="仿宋"/>
          <w:color w:val="auto"/>
          <w:sz w:val="32"/>
          <w:szCs w:val="32"/>
          <w:highlight w:val="none"/>
          <w:lang w:val="en-US" w:eastAsia="zh-CN"/>
        </w:rPr>
        <w:t>根据新疆维吾尔自治区教育厅《关于做好自治区职业教育质量报告（2024年度）编制、发布和报送工作的通知》的要求，结合《中华人民共和国职业教育法》和《自治区关于深化现代职业教育体系建设改革的实施意见》的要求，塔城地区乌苏职业技术学校对2024学年度各项教育工作进行了梳理、归纳、总结和综合分析与客观评价。</w:t>
      </w:r>
    </w:p>
    <w:p>
      <w:pPr>
        <w:pStyle w:val="2"/>
        <w:pageBreakBefore w:val="0"/>
        <w:kinsoku/>
        <w:wordWrap/>
        <w:overflowPunct/>
        <w:topLinePunct w:val="0"/>
        <w:bidi w:val="0"/>
        <w:spacing w:beforeAutospacing="0" w:after="0" w:afterAutospacing="0" w:line="560" w:lineRule="exact"/>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9223"/>
        <w15:color w:val="DBDBDB"/>
        <w:docPartObj>
          <w:docPartGallery w:val="Table of Contents"/>
          <w:docPartUnique/>
        </w:docPartObj>
      </w:sdtPr>
      <w:sdtEndPr>
        <w:rPr>
          <w:rFonts w:hint="eastAsia" w:eastAsia="楷体_GB2312" w:asciiTheme="majorHAnsi" w:hAnsiTheme="majorHAnsi" w:cstheme="majorBidi"/>
          <w:bCs/>
          <w:kern w:val="2"/>
          <w:sz w:val="32"/>
          <w:szCs w:val="48"/>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kern w:val="2"/>
              <w:sz w:val="44"/>
              <w:szCs w:val="52"/>
              <w:highlight w:val="none"/>
              <w:lang w:val="en-US" w:eastAsia="zh-CN" w:bidi="ar-SA"/>
            </w:rPr>
          </w:pPr>
          <w:r>
            <w:rPr>
              <w:rFonts w:hint="eastAsia" w:ascii="微软雅黑" w:hAnsi="微软雅黑" w:eastAsia="微软雅黑" w:cs="微软雅黑"/>
              <w:kern w:val="2"/>
              <w:sz w:val="44"/>
              <w:szCs w:val="52"/>
              <w:highlight w:val="none"/>
              <w:lang w:val="en-US" w:eastAsia="zh-CN" w:bidi="ar-SA"/>
            </w:rPr>
            <w:t>目 录</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TOC \o "1-2" \h \u </w:instrText>
          </w:r>
          <w:r>
            <w:rPr>
              <w:rFonts w:hint="eastAsia" w:eastAsia="楷体_GB2312" w:asciiTheme="majorHAnsi" w:hAnsiTheme="majorHAnsi" w:cstheme="majorBidi"/>
              <w:bCs/>
              <w:kern w:val="2"/>
              <w:sz w:val="32"/>
              <w:szCs w:val="48"/>
              <w:lang w:val="en-US" w:eastAsia="zh-CN" w:bidi="ar-SA"/>
            </w:rPr>
            <w:fldChar w:fldCharType="separate"/>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_Toc17953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1.基本情况</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_Toc17953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_Toc20782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1.1学校概况</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_Toc20782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_Toc2621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1.2学生情况</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_Toc2621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_Toc1512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1.3教师队伍</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_Toc1512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_Toc26684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1.4设施设备</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_Toc26684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_Toc18481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2.人才培养质量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_Toc18481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_Toc16048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2.1学生发展</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_Toc16048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_Toc22158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表二 毕业生去向分布</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_Toc22158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9</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_Toc8598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表三 学生就业领域</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_Toc8598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9</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_Toc14978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2.2职普融通</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_Toc14978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_Toc11232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2.3教学改革</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_Toc11232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16</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_Toc25810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2.4教师队伍</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_Toc25810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_Toc3721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3.服务贡献质量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_Toc3721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38</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_Toc24745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3.1服务行业企业。</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_Toc24745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38</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_Toc21933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3.2服务区域发展</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_Toc21933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39</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_Toc26857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3.3服务乡村振兴</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_Toc26857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_Toc31498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3.4具有本校特色的服务。</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_Toc31498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_Toc14616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4.文化传承质量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_Toc14616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_Toc22990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4.1弘扬中华优秀传统文化</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_Toc22990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_Toc32382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4.2非遗传承。</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_Toc32382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_Toc30119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4.3文化育人实践</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_Toc30119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46</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_Toc13171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5.国际合作质量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_Toc13171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48</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_Toc22374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5.1合作办学</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_Toc22374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48</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_Toc15862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5.2开发标准</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_Toc15862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_Toc5053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5.3助力“一带一路”建设</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_Toc5053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_Toc13301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6.产教融合质量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_Toc13301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_Toc29912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6.1校企协同育人</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_Toc29912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_Toc31480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6.2区域产教联合体、行业产教融合共同体建设</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_Toc31480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_Toc17898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6.3产教融合平台建设</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_Toc17898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_Toc26128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7.发展保障</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_Toc26128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_Toc30685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7.1国家政策落实</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_Toc30685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_Toc19501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7.2地方政策落实</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_Toc19501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_Toc20677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7.3学校治理</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_Toc20677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56</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_Toc8787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7.4质量保证体系建设</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_Toc8787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57</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_Toc9172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7.5经费投入</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_Toc9172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59</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_Toc16452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8.特色发展质量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_Toc16452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59</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_Toc15821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8.1对口支援</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_Toc15821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59</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_Toc27537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8.2兵地融合</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_Toc27537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60</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_Toc21081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9.挑战与展望</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_Toc21081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_Toc25658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9.1面临挑战</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_Toc25658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_Toc22688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9.2未来展望</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_Toc22688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62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end"/>
          </w:r>
        </w:p>
      </w:sdtContent>
    </w:sdt>
    <w:p>
      <w:pPr>
        <w:rPr>
          <w:rFonts w:hint="eastAsia"/>
          <w:lang w:val="en-US" w:eastAsia="zh-CN"/>
        </w:rPr>
      </w:pPr>
    </w:p>
    <w:p>
      <w:pPr>
        <w:pStyle w:val="11"/>
        <w:pageBreakBefore w:val="0"/>
        <w:tabs>
          <w:tab w:val="right" w:leader="dot" w:pos="9746"/>
        </w:tabs>
        <w:kinsoku/>
        <w:wordWrap/>
        <w:overflowPunct/>
        <w:topLinePunct w:val="0"/>
        <w:bidi w:val="0"/>
        <w:spacing w:beforeAutospacing="0" w:afterAutospacing="0" w:line="560" w:lineRule="exact"/>
        <w:rPr>
          <w:rFonts w:hint="eastAsia" w:ascii="Calibri Light" w:hAnsi="Calibri Light" w:eastAsia="楷体_GB2312" w:cs="Times New Roman"/>
          <w:bCs w:val="0"/>
          <w:kern w:val="2"/>
          <w:sz w:val="32"/>
          <w:szCs w:val="44"/>
          <w:highlight w:val="none"/>
          <w:lang w:val="en-US" w:eastAsia="zh-CN" w:bidi="ar-SA"/>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64503"/>
        <w15:color w:val="DBDBDB"/>
        <w:docPartObj>
          <w:docPartGallery w:val="Table of Contents"/>
          <w:docPartUnique/>
        </w:docPartObj>
      </w:sdtPr>
      <w:sdtEndPr>
        <w:rPr>
          <w:rFonts w:hint="eastAsia" w:eastAsia="楷体_GB2312" w:asciiTheme="majorHAnsi" w:hAnsiTheme="majorHAnsi" w:cstheme="majorBidi"/>
          <w:bCs/>
          <w:kern w:val="2"/>
          <w:sz w:val="32"/>
          <w:szCs w:val="48"/>
          <w:lang w:val="en-US" w:eastAsia="zh-CN" w:bidi="ar-SA"/>
        </w:rPr>
      </w:sdtEndPr>
      <w:sdtContent>
        <w:p>
          <w:pPr>
            <w:pageBreakBefore w:val="0"/>
            <w:kinsoku/>
            <w:wordWrap/>
            <w:overflowPunct/>
            <w:topLinePunct w:val="0"/>
            <w:bidi w:val="0"/>
            <w:spacing w:beforeAutospacing="0" w:afterAutospacing="0" w:line="560" w:lineRule="exact"/>
            <w:ind w:left="0" w:leftChars="0" w:right="0" w:rightChars="0" w:firstLine="0" w:firstLineChars="0"/>
            <w:jc w:val="center"/>
            <w:rPr>
              <w:rFonts w:hint="eastAsia" w:eastAsia="楷体_GB2312" w:asciiTheme="majorHAnsi" w:hAnsiTheme="majorHAnsi" w:cstheme="majorBidi"/>
              <w:bCs/>
              <w:kern w:val="2"/>
              <w:sz w:val="32"/>
              <w:szCs w:val="48"/>
              <w:lang w:val="en-US" w:eastAsia="zh-CN" w:bidi="ar-SA"/>
            </w:rPr>
          </w:pPr>
          <w:r>
            <w:rPr>
              <w:rFonts w:hint="eastAsia" w:ascii="微软雅黑" w:hAnsi="微软雅黑" w:eastAsia="微软雅黑" w:cs="微软雅黑"/>
              <w:kern w:val="2"/>
              <w:sz w:val="44"/>
              <w:szCs w:val="52"/>
              <w:highlight w:val="none"/>
              <w:lang w:val="en-US" w:eastAsia="zh-CN" w:bidi="ar-SA"/>
            </w:rPr>
            <w:t>表目录</w:t>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TOC \o "1-3" \h \u </w:instrText>
          </w:r>
          <w:r>
            <w:rPr>
              <w:rFonts w:hint="eastAsia" w:eastAsia="楷体_GB2312" w:asciiTheme="majorHAnsi" w:hAnsiTheme="majorHAnsi" w:cstheme="majorBidi"/>
              <w:bCs/>
              <w:kern w:val="2"/>
              <w:sz w:val="32"/>
              <w:szCs w:val="48"/>
              <w:lang w:val="en-US" w:eastAsia="zh-CN" w:bidi="ar-SA"/>
            </w:rPr>
            <w:fldChar w:fldCharType="separate"/>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_Toc26743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表一  设施设备占比情况</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_Toc23657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表二  毕业生去向分布</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9</w:t>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_Toc17157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表三  学生就业领域</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9</w:t>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_Toc138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表四  创新创业成果统计表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3</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_Toc19380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表五  职普融通学生升学统计表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_Toc19380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16</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_Toc9529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表六  校级名师名匠工作室</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9</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_Toc3332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表七  学生技师、高级工技能等级证书汇总表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_Toc3332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_Toc15436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表八  专业建设标志性成果统计表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_Toc15436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_Toc17306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表九  课程建设质量统计表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9</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_Toc26947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表十  2024年自治区双师型教师认定人员名单</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3</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_Toc3977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表十一 “双师型”教师分布统计表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4</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_Toc12172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表十二  2024年科研带头人、科研团队成员汇总表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6</w:t>
          </w:r>
        </w:p>
        <w:p>
          <w:pPr>
            <w:pStyle w:val="12"/>
            <w:tabs>
              <w:tab w:val="right" w:leader="dot" w:pos="9740"/>
            </w:tabs>
            <w:ind w:left="0" w:leftChars="0" w:firstLine="0" w:firstLineChars="0"/>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_Toc27843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附表1-6</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6</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3</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end"/>
          </w:r>
        </w:p>
      </w:sdtContent>
    </w:sdt>
    <w:p>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spacing w:beforeAutospacing="0" w:afterAutospacing="0" w:line="560" w:lineRule="exact"/>
        <w:jc w:val="both"/>
        <w:rPr>
          <w:rFonts w:hint="eastAsia" w:eastAsia="楷体_GB2312" w:asciiTheme="majorHAnsi" w:hAnsiTheme="majorHAnsi" w:cstheme="majorBidi"/>
          <w:bCs/>
          <w:kern w:val="2"/>
          <w:sz w:val="32"/>
          <w:szCs w:val="48"/>
          <w:lang w:val="en-US" w:eastAsia="zh-CN" w:bidi="ar-SA"/>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p>
    <w:p>
      <w:pPr>
        <w:pStyle w:val="11"/>
        <w:pageBreakBefore w:val="0"/>
        <w:tabs>
          <w:tab w:val="right" w:leader="dot" w:pos="9746"/>
        </w:tabs>
        <w:kinsoku/>
        <w:wordWrap/>
        <w:overflowPunct/>
        <w:topLinePunct w:val="0"/>
        <w:bidi w:val="0"/>
        <w:spacing w:beforeAutospacing="0" w:afterAutospacing="0" w:line="560" w:lineRule="exact"/>
        <w:jc w:val="center"/>
        <w:outlineLvl w:val="0"/>
        <w:rPr>
          <w:rFonts w:hint="eastAsia" w:eastAsia="楷体_GB2312" w:asciiTheme="majorHAnsi" w:hAnsiTheme="majorHAnsi" w:cstheme="majorBidi"/>
          <w:bCs/>
          <w:kern w:val="2"/>
          <w:sz w:val="32"/>
          <w:szCs w:val="48"/>
          <w:lang w:val="en-US" w:eastAsia="zh-CN" w:bidi="ar-SA"/>
        </w:rPr>
      </w:pPr>
      <w:bookmarkStart w:id="16" w:name="_Toc27128"/>
      <w:bookmarkStart w:id="17" w:name="_Toc29089"/>
      <w:r>
        <w:rPr>
          <w:rFonts w:hint="eastAsia" w:ascii="微软雅黑" w:hAnsi="微软雅黑" w:eastAsia="微软雅黑" w:cs="微软雅黑"/>
          <w:kern w:val="2"/>
          <w:sz w:val="44"/>
          <w:szCs w:val="52"/>
          <w:highlight w:val="none"/>
          <w:lang w:val="en-US" w:eastAsia="zh-CN" w:bidi="ar-SA"/>
        </w:rPr>
        <w:t>图目录</w:t>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TOC \o "1-2" \h \u </w:instrText>
      </w:r>
      <w:r>
        <w:rPr>
          <w:rFonts w:hint="eastAsia" w:eastAsia="楷体_GB2312" w:asciiTheme="majorHAnsi" w:hAnsiTheme="majorHAnsi" w:cstheme="majorBidi"/>
          <w:bCs/>
          <w:kern w:val="2"/>
          <w:sz w:val="32"/>
          <w:szCs w:val="48"/>
          <w:lang w:val="en-US" w:eastAsia="zh-CN" w:bidi="ar-SA"/>
        </w:rPr>
        <w:fldChar w:fldCharType="separate"/>
      </w:r>
      <w:bookmarkEnd w:id="16"/>
      <w:bookmarkEnd w:id="17"/>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_Toc7822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图一  在校学生图书馆阅读书籍</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_Toc29723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图二  学生与教师荣获自治区黄炎培创新创业奖合影</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_Toc29723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_Toc9976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图三  举办乌苏市机电一体化赛项</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_Toc9976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_Toc31876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图四  举办塔城地区无人机装调检修赛项</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_Toc31876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_Toc3482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图五 杨学斌汽修技能大师工作室</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7</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_Toc30756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图六 “1+X”学生取证</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_Toc30756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_Toc25418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图七 刘妍初老师荣获自治区教学能力大赛二等奖颁奖现场</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_Toc25418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28</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_Toc14179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图八 教师精品课录制</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_Toc14179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28</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_Toc13692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图九 地区级课题结题证书</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9</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_Toc16517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 大胆进行课程改革，模块化教学</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1</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_Toc16517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图十一 “塔城地区第三届职业技能竞赛暨‘辽塔杯’职业技能竞赛”专题交流座谈会</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3</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_Toc4360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_Toc29621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图十二 政校企座谈会上的校企合作实训基地授牌仪式</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0</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_Toc27085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图十三 开展第二课堂活动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2</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_Toc25786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图十四 弘扬传承中华优秀传统文化爱国主义实践活动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3</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_Toc21299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图十五 社会实践活动</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3</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_Toc25209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图十六 第二课堂学习新疆传统舞蹈萨玛舞</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6</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_Toc5544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图十七 学生在企业参观的现场图片</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_Toc5544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45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_Toc2576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图十八 与辽宁轨道交通职业学院签订合作协议</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9</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_Toc19568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图十九 与辽宁省交通高等专科学校签订合作协议</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0</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_Toc10707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图二十 与锦州师范高等专科学校签订合作协议</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0</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图二十一 兵地互相交流学习</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6</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1</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p>
    <w:p>
      <w:pPr>
        <w:pStyle w:val="11"/>
        <w:pageBreakBefore w:val="0"/>
        <w:tabs>
          <w:tab w:val="right" w:leader="dot" w:pos="9746"/>
        </w:tabs>
        <w:kinsoku/>
        <w:wordWrap/>
        <w:overflowPunct/>
        <w:topLinePunct w:val="0"/>
        <w:bidi w:val="0"/>
        <w:spacing w:beforeAutospacing="0" w:afterAutospacing="0" w:line="560" w:lineRule="exact"/>
        <w:rPr>
          <w:rFonts w:hint="eastAsia" w:ascii="黑体" w:hAnsi="黑体" w:eastAsia="黑体" w:cs="黑体"/>
          <w:bCs/>
          <w:color w:val="auto"/>
          <w:sz w:val="32"/>
          <w:szCs w:val="72"/>
          <w:highlight w:val="none"/>
          <w:lang w:val="en-US" w:eastAsia="zh-CN"/>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楷体_GB2312" w:asciiTheme="majorHAnsi" w:hAnsiTheme="majorHAnsi" w:cstheme="majorBidi"/>
          <w:bCs/>
          <w:kern w:val="2"/>
          <w:sz w:val="32"/>
          <w:szCs w:val="48"/>
          <w:lang w:val="en-US" w:eastAsia="zh-CN" w:bidi="ar-SA"/>
        </w:rPr>
        <w:fldChar w:fldCharType="end"/>
      </w:r>
    </w:p>
    <w:p>
      <w:pPr>
        <w:pStyle w:val="2"/>
        <w:pageBreakBefore w:val="0"/>
        <w:kinsoku/>
        <w:wordWrap/>
        <w:overflowPunct/>
        <w:topLinePunct w:val="0"/>
        <w:bidi w:val="0"/>
        <w:spacing w:beforeAutospacing="0" w:after="0" w:afterAutospacing="0" w:line="560" w:lineRule="exact"/>
        <w:ind w:firstLine="440" w:firstLineChars="100"/>
        <w:jc w:val="center"/>
        <w:outlineLvl w:val="0"/>
        <w:rPr>
          <w:rFonts w:hint="eastAsia" w:ascii="微软雅黑" w:hAnsi="微软雅黑" w:eastAsia="微软雅黑" w:cs="微软雅黑"/>
          <w:sz w:val="44"/>
          <w:szCs w:val="52"/>
          <w:highlight w:val="none"/>
          <w:lang w:val="en-US" w:eastAsia="zh-CN"/>
        </w:rPr>
      </w:pPr>
      <w:bookmarkStart w:id="18" w:name="_Toc10031"/>
      <w:bookmarkStart w:id="19" w:name="_Toc26550"/>
      <w:r>
        <w:rPr>
          <w:rFonts w:hint="eastAsia" w:ascii="微软雅黑" w:hAnsi="微软雅黑" w:eastAsia="微软雅黑" w:cs="微软雅黑"/>
          <w:sz w:val="44"/>
          <w:szCs w:val="52"/>
          <w:highlight w:val="none"/>
          <w:lang w:val="en-US" w:eastAsia="zh-CN"/>
        </w:rPr>
        <w:t>案例目录</w:t>
      </w:r>
      <w:bookmarkEnd w:id="18"/>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ascii="华文楷体" w:hAnsi="华文楷体" w:eastAsia="华文楷体" w:cs="华文楷体"/>
          <w:bCs/>
          <w:color w:val="auto"/>
          <w:sz w:val="32"/>
          <w:szCs w:val="72"/>
          <w:highlight w:val="none"/>
          <w:lang w:val="en-US" w:eastAsia="zh-CN"/>
        </w:rPr>
        <w:t xml:space="preserve">【案例一】 </w:t>
      </w:r>
      <w:r>
        <w:rPr>
          <w:rFonts w:hint="eastAsia" w:eastAsia="楷体_GB2312" w:asciiTheme="majorHAnsi" w:hAnsiTheme="majorHAnsi" w:cstheme="majorBidi"/>
          <w:bCs/>
          <w:kern w:val="2"/>
          <w:sz w:val="32"/>
          <w:szCs w:val="48"/>
          <w:lang w:val="en-US" w:eastAsia="zh-CN" w:bidi="ar-SA"/>
        </w:rPr>
        <w:t>校领导讲党课</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5</w:t>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_Toc169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【案例二】 疆耀可再生能源站</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1</w:t>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TOC \o "3-3" \f \h \u </w:instrText>
      </w:r>
      <w:r>
        <w:rPr>
          <w:rFonts w:hint="eastAsia" w:eastAsia="楷体_GB2312" w:asciiTheme="majorHAnsi" w:hAnsiTheme="majorHAnsi" w:cstheme="majorBidi"/>
          <w:bCs/>
          <w:kern w:val="2"/>
          <w:sz w:val="32"/>
          <w:szCs w:val="48"/>
          <w:lang w:val="en-US" w:eastAsia="zh-CN" w:bidi="ar-SA"/>
        </w:rPr>
        <w:fldChar w:fldCharType="separate"/>
      </w:r>
      <w:bookmarkEnd w:id="19"/>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_Toc12961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【案例三】 宜居养老----老来乐</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_Toc12961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_Toc12961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【案例四】 乡村振兴新疆特产电商交易</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_Toc12961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11</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_Toc4597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【案例五】 举办塔城地区第三届职业技能竞赛暨“辽塔杯”职业技能竞赛</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_Toc4597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15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_Toc22735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【案例六】“1+X”WPS办公应用中级证书课程融通</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_Toc22735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25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_Toc18325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【案例七】“超星学习通”信息化教育平台</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_Toc18325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_Toc18325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【案例八】 职业技能竞赛交流会</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PAGEREF _Toc18325 \h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32</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end"/>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_Toc17614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【案例九】“校企合作 产教融合 协同育人 合作共赢”座谈会</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0</w:t>
      </w:r>
    </w:p>
    <w:p>
      <w:pPr>
        <w:pStyle w:val="11"/>
        <w:pageBreakBefore w:val="0"/>
        <w:tabs>
          <w:tab w:val="right" w:leader="dot" w:pos="9746"/>
        </w:tabs>
        <w:kinsoku/>
        <w:wordWrap/>
        <w:overflowPunct/>
        <w:topLinePunct w:val="0"/>
        <w:bidi w:val="0"/>
        <w:spacing w:beforeAutospacing="0" w:afterAutospacing="0" w:line="560" w:lineRule="exact"/>
        <w:rPr>
          <w:rFonts w:hint="eastAsia"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_Toc28410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【案例十】 开启职业探索之旅</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7</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_Toc28410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【案例十一】校企合作</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4</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9</w:t>
      </w:r>
    </w:p>
    <w:p>
      <w:pPr>
        <w:pStyle w:val="11"/>
        <w:pageBreakBefore w:val="0"/>
        <w:tabs>
          <w:tab w:val="right" w:leader="dot" w:pos="9746"/>
        </w:tabs>
        <w:kinsoku/>
        <w:wordWrap/>
        <w:overflowPunct/>
        <w:topLinePunct w:val="0"/>
        <w:bidi w:val="0"/>
        <w:spacing w:beforeAutospacing="0" w:afterAutospacing="0" w:line="560" w:lineRule="exact"/>
        <w:rPr>
          <w:rFonts w:hint="default" w:eastAsia="楷体_GB2312" w:asciiTheme="majorHAnsi" w:hAnsiTheme="majorHAnsi" w:cstheme="majorBidi"/>
          <w:bCs/>
          <w:kern w:val="2"/>
          <w:sz w:val="32"/>
          <w:szCs w:val="48"/>
          <w:lang w:val="en-US" w:eastAsia="zh-CN" w:bidi="ar-SA"/>
        </w:rPr>
      </w:pP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fldChar w:fldCharType="begin"/>
      </w:r>
      <w:r>
        <w:rPr>
          <w:rFonts w:hint="eastAsia" w:eastAsia="楷体_GB2312" w:asciiTheme="majorHAnsi" w:hAnsiTheme="majorHAnsi" w:cstheme="majorBidi"/>
          <w:bCs/>
          <w:kern w:val="2"/>
          <w:sz w:val="32"/>
          <w:szCs w:val="48"/>
          <w:lang w:val="en-US" w:eastAsia="zh-CN" w:bidi="ar-SA"/>
        </w:rPr>
        <w:instrText xml:space="preserve"> HYPERLINK \l _Toc28410 </w:instrText>
      </w:r>
      <w:r>
        <w:rPr>
          <w:rFonts w:hint="eastAsia" w:eastAsia="楷体_GB2312" w:asciiTheme="majorHAnsi" w:hAnsiTheme="majorHAnsi" w:cstheme="majorBidi"/>
          <w:bCs/>
          <w:kern w:val="2"/>
          <w:sz w:val="32"/>
          <w:szCs w:val="48"/>
          <w:lang w:val="en-US" w:eastAsia="zh-CN" w:bidi="ar-SA"/>
        </w:rPr>
        <w:fldChar w:fldCharType="separate"/>
      </w:r>
      <w:r>
        <w:rPr>
          <w:rFonts w:hint="eastAsia" w:eastAsia="楷体_GB2312" w:asciiTheme="majorHAnsi" w:hAnsiTheme="majorHAnsi" w:cstheme="majorBidi"/>
          <w:bCs/>
          <w:kern w:val="2"/>
          <w:sz w:val="32"/>
          <w:szCs w:val="48"/>
          <w:lang w:val="en-US" w:eastAsia="zh-CN" w:bidi="ar-SA"/>
        </w:rPr>
        <w:t>【案例十二】开展科研，助力“一带一路”建设</w:t>
      </w:r>
      <w:r>
        <w:rPr>
          <w:rFonts w:hint="eastAsia" w:eastAsia="楷体_GB2312" w:asciiTheme="majorHAnsi" w:hAnsiTheme="majorHAnsi" w:cstheme="majorBidi"/>
          <w:bCs/>
          <w:kern w:val="2"/>
          <w:sz w:val="32"/>
          <w:szCs w:val="48"/>
          <w:lang w:val="en-US" w:eastAsia="zh-CN" w:bidi="ar-SA"/>
        </w:rPr>
        <w:tab/>
      </w:r>
      <w:r>
        <w:rPr>
          <w:rFonts w:hint="eastAsia" w:eastAsia="楷体_GB2312" w:asciiTheme="majorHAnsi" w:hAnsiTheme="majorHAnsi" w:cstheme="majorBidi"/>
          <w:bCs/>
          <w:kern w:val="2"/>
          <w:sz w:val="32"/>
          <w:szCs w:val="48"/>
          <w:lang w:val="en-US" w:eastAsia="zh-CN" w:bidi="ar-SA"/>
        </w:rPr>
        <w:t>5</w:t>
      </w:r>
      <w:r>
        <w:rPr>
          <w:rFonts w:hint="eastAsia" w:eastAsia="楷体_GB2312" w:asciiTheme="majorHAnsi" w:hAnsiTheme="majorHAnsi" w:cstheme="majorBidi"/>
          <w:bCs/>
          <w:kern w:val="2"/>
          <w:sz w:val="32"/>
          <w:szCs w:val="48"/>
          <w:lang w:val="en-US" w:eastAsia="zh-CN" w:bidi="ar-SA"/>
        </w:rPr>
        <w:fldChar w:fldCharType="end"/>
      </w:r>
      <w:r>
        <w:rPr>
          <w:rFonts w:hint="eastAsia" w:eastAsia="楷体_GB2312" w:asciiTheme="majorHAnsi" w:hAnsiTheme="majorHAnsi" w:cstheme="majorBidi"/>
          <w:bCs/>
          <w:kern w:val="2"/>
          <w:sz w:val="32"/>
          <w:szCs w:val="48"/>
          <w:lang w:val="en-US" w:eastAsia="zh-CN" w:bidi="ar-SA"/>
        </w:rPr>
        <w:t>1</w:t>
      </w:r>
    </w:p>
    <w:p>
      <w:pPr>
        <w:pStyle w:val="11"/>
        <w:pageBreakBefore w:val="0"/>
        <w:tabs>
          <w:tab w:val="right" w:leader="dot" w:pos="9746"/>
        </w:tabs>
        <w:kinsoku/>
        <w:wordWrap/>
        <w:overflowPunct/>
        <w:topLinePunct w:val="0"/>
        <w:bidi w:val="0"/>
        <w:spacing w:beforeAutospacing="0" w:afterAutospacing="0" w:line="560" w:lineRule="exact"/>
        <w:rPr>
          <w:rFonts w:hint="eastAsia" w:ascii="黑体" w:hAnsi="黑体" w:eastAsia="黑体" w:cs="黑体"/>
          <w:bCs/>
          <w:color w:val="auto"/>
          <w:sz w:val="32"/>
          <w:szCs w:val="7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bookmarkStart w:id="20" w:name="_Toc8935_WPSOffice_Level1"/>
      <w:bookmarkStart w:id="21" w:name="_Toc10954_WPSOffice_Level1"/>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left="0" w:leftChars="0" w:firstLine="0" w:firstLineChars="0"/>
        <w:jc w:val="both"/>
        <w:textAlignment w:val="auto"/>
        <w:rPr>
          <w:rFonts w:hint="eastAsia" w:ascii="微软雅黑" w:hAnsi="微软雅黑" w:eastAsia="微软雅黑" w:cs="微软雅黑"/>
          <w:sz w:val="44"/>
          <w:szCs w:val="5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sectPr>
          <w:footerReference r:id="rId6" w:type="default"/>
          <w:pgSz w:w="11906" w:h="16838"/>
          <w:pgMar w:top="1440" w:right="1083" w:bottom="1440" w:left="108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r>
        <w:rPr>
          <w:rFonts w:hint="eastAsia" w:ascii="微软雅黑" w:hAnsi="微软雅黑" w:eastAsia="微软雅黑" w:cs="微软雅黑"/>
          <w:sz w:val="44"/>
          <w:szCs w:val="52"/>
          <w:highlight w:val="none"/>
          <w:lang w:val="en-US" w:eastAsia="zh-CN"/>
        </w:rPr>
        <w:t>塔城地区乌苏职业技术学校</w:t>
      </w:r>
      <w:bookmarkEnd w:id="20"/>
      <w:bookmarkStart w:id="22" w:name="_Toc23982_WPSOffice_Level1"/>
      <w:r>
        <w:rPr>
          <w:rFonts w:hint="eastAsia" w:ascii="微软雅黑" w:hAnsi="微软雅黑" w:eastAsia="微软雅黑" w:cs="微软雅黑"/>
          <w:sz w:val="44"/>
          <w:szCs w:val="52"/>
          <w:highlight w:val="none"/>
          <w:lang w:val="en-US" w:eastAsia="zh-CN"/>
        </w:rPr>
        <w:t>教育质量</w:t>
      </w:r>
      <w:bookmarkEnd w:id="21"/>
      <w:bookmarkStart w:id="23" w:name="_Toc30848_WPSOffice_Level1"/>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jc w:val="center"/>
        <w:textAlignment w:val="auto"/>
        <w:rPr>
          <w:rFonts w:hint="eastAsia" w:ascii="微软雅黑" w:hAnsi="微软雅黑" w:eastAsia="微软雅黑" w:cs="微软雅黑"/>
          <w:sz w:val="44"/>
          <w:szCs w:val="52"/>
          <w:highlight w:val="none"/>
          <w:lang w:val="en-US" w:eastAsia="zh-CN"/>
        </w:rPr>
      </w:pPr>
      <w:r>
        <w:rPr>
          <w:rFonts w:hint="eastAsia" w:ascii="微软雅黑" w:hAnsi="微软雅黑" w:eastAsia="微软雅黑" w:cs="微软雅黑"/>
          <w:sz w:val="44"/>
          <w:szCs w:val="52"/>
          <w:highlight w:val="none"/>
          <w:lang w:val="en-US" w:eastAsia="zh-CN"/>
        </w:rPr>
        <w:t>年度报告（2024年）</w:t>
      </w:r>
      <w:bookmarkEnd w:id="22"/>
      <w:bookmarkEnd w:id="23"/>
    </w:p>
    <w:p>
      <w:pPr>
        <w:pStyle w:val="4"/>
        <w:pageBreakBefore w:val="0"/>
        <w:kinsoku/>
        <w:wordWrap/>
        <w:overflowPunct/>
        <w:topLinePunct w:val="0"/>
        <w:bidi w:val="0"/>
        <w:spacing w:beforeAutospacing="0" w:afterAutospacing="0" w:line="560" w:lineRule="exact"/>
        <w:ind w:firstLine="640"/>
        <w:rPr>
          <w:rFonts w:hint="eastAsia"/>
        </w:rPr>
      </w:pPr>
      <w:bookmarkStart w:id="24" w:name="_Toc6504"/>
      <w:bookmarkStart w:id="25" w:name="_Toc7392"/>
      <w:bookmarkStart w:id="26" w:name="_Toc3086"/>
      <w:bookmarkStart w:id="27" w:name="_Toc17953"/>
      <w:r>
        <w:rPr>
          <w:rFonts w:hint="eastAsia"/>
        </w:rPr>
        <w:t>1.基本情况</w:t>
      </w:r>
      <w:bookmarkEnd w:id="24"/>
      <w:bookmarkEnd w:id="25"/>
      <w:bookmarkEnd w:id="26"/>
      <w:bookmarkEnd w:id="27"/>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color w:val="FF0000"/>
          <w:kern w:val="2"/>
          <w:sz w:val="32"/>
          <w:szCs w:val="32"/>
          <w:lang w:val="en-US" w:eastAsia="zh-CN" w:bidi="ar-SA"/>
        </w:rPr>
      </w:pPr>
      <w:bookmarkStart w:id="28" w:name="_Toc1149"/>
      <w:bookmarkStart w:id="29" w:name="_Toc13800"/>
      <w:bookmarkStart w:id="30" w:name="_Toc20782"/>
      <w:r>
        <w:rPr>
          <w:rFonts w:hint="eastAsia" w:eastAsia="楷体_GB2312" w:asciiTheme="majorHAnsi" w:hAnsiTheme="majorHAnsi" w:cstheme="majorBidi"/>
          <w:b/>
          <w:bCs/>
          <w:kern w:val="2"/>
          <w:sz w:val="32"/>
          <w:szCs w:val="32"/>
          <w:lang w:val="en-US" w:eastAsia="zh-CN" w:bidi="ar-SA"/>
        </w:rPr>
        <w:t>1.1学校概况</w:t>
      </w:r>
      <w:bookmarkEnd w:id="28"/>
      <w:bookmarkEnd w:id="29"/>
      <w:bookmarkEnd w:id="30"/>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2012年7月塔城地区乌苏职业技术学校挂牌成立，是新疆维吾尔自治区教育厅批准成立的一所公办中等职业技术学校。学校位于乌苏市淮河西路1218号，总占地面积145275.85平方米，校舍建筑面积48439平方米</w:t>
      </w:r>
      <w:r>
        <w:rPr>
          <w:rFonts w:hint="eastAsia" w:ascii="仿宋_GB2312" w:hAnsi="仿宋" w:eastAsia="仿宋_GB2312" w:cs="仿宋"/>
          <w:color w:val="auto"/>
          <w:sz w:val="32"/>
          <w:szCs w:val="32"/>
          <w:highlight w:val="none"/>
          <w:lang w:eastAsia="zh-CN"/>
        </w:rPr>
        <w:t>，</w:t>
      </w:r>
      <w:r>
        <w:rPr>
          <w:rFonts w:hint="eastAsia" w:ascii="仿宋_GB2312" w:hAnsi="仿宋" w:eastAsia="仿宋_GB2312" w:cs="仿宋"/>
          <w:color w:val="auto"/>
          <w:sz w:val="32"/>
          <w:szCs w:val="32"/>
          <w:highlight w:val="none"/>
        </w:rPr>
        <w:t>现有教职工</w:t>
      </w:r>
      <w:r>
        <w:rPr>
          <w:rFonts w:hint="eastAsia" w:ascii="仿宋_GB2312" w:hAnsi="仿宋" w:eastAsia="仿宋_GB2312" w:cs="仿宋"/>
          <w:color w:val="auto"/>
          <w:sz w:val="32"/>
          <w:szCs w:val="32"/>
          <w:highlight w:val="none"/>
          <w:lang w:val="en-US" w:eastAsia="zh-CN"/>
        </w:rPr>
        <w:t>69</w:t>
      </w:r>
      <w:r>
        <w:rPr>
          <w:rFonts w:hint="eastAsia" w:ascii="仿宋_GB2312" w:hAnsi="仿宋" w:eastAsia="仿宋_GB2312" w:cs="仿宋"/>
          <w:color w:val="auto"/>
          <w:sz w:val="32"/>
          <w:szCs w:val="32"/>
          <w:highlight w:val="none"/>
        </w:rPr>
        <w:t>名</w:t>
      </w:r>
      <w:r>
        <w:rPr>
          <w:rFonts w:hint="eastAsia" w:ascii="仿宋_GB2312" w:hAnsi="仿宋" w:eastAsia="仿宋_GB2312" w:cs="仿宋"/>
          <w:color w:val="auto"/>
          <w:sz w:val="32"/>
          <w:szCs w:val="32"/>
          <w:highlight w:val="none"/>
          <w:lang w:eastAsia="zh-CN"/>
        </w:rPr>
        <w:t>。</w:t>
      </w:r>
      <w:r>
        <w:rPr>
          <w:rFonts w:hint="eastAsia" w:ascii="仿宋_GB2312" w:hAnsi="仿宋" w:eastAsia="仿宋_GB2312" w:cs="仿宋"/>
          <w:color w:val="auto"/>
          <w:sz w:val="32"/>
          <w:szCs w:val="32"/>
          <w:highlight w:val="none"/>
        </w:rPr>
        <w:t>学校实训基地设施完善，教学仪器设备</w:t>
      </w:r>
      <w:r>
        <w:rPr>
          <w:rFonts w:hint="eastAsia" w:ascii="仿宋_GB2312" w:hAnsi="仿宋" w:eastAsia="仿宋_GB2312" w:cs="仿宋"/>
          <w:color w:val="auto"/>
          <w:sz w:val="32"/>
          <w:szCs w:val="32"/>
          <w:highlight w:val="none"/>
          <w:lang w:eastAsia="zh-CN"/>
        </w:rPr>
        <w:t>价</w:t>
      </w:r>
      <w:r>
        <w:rPr>
          <w:rFonts w:hint="eastAsia" w:ascii="仿宋_GB2312" w:hAnsi="仿宋" w:eastAsia="仿宋_GB2312" w:cs="仿宋"/>
          <w:color w:val="auto"/>
          <w:sz w:val="32"/>
          <w:szCs w:val="32"/>
          <w:highlight w:val="none"/>
          <w:lang w:val="en-US" w:eastAsia="zh-CN"/>
        </w:rPr>
        <w:t>格</w:t>
      </w:r>
      <w:r>
        <w:rPr>
          <w:rFonts w:hint="eastAsia" w:ascii="仿宋_GB2312" w:hAnsi="仿宋" w:eastAsia="仿宋_GB2312" w:cs="仿宋"/>
          <w:color w:val="auto"/>
          <w:sz w:val="32"/>
          <w:szCs w:val="32"/>
          <w:highlight w:val="none"/>
        </w:rPr>
        <w:t>为</w:t>
      </w:r>
      <w:r>
        <w:rPr>
          <w:rFonts w:hint="eastAsia" w:ascii="仿宋_GB2312" w:hAnsi="仿宋" w:eastAsia="仿宋_GB2312" w:cs="仿宋"/>
          <w:color w:val="auto"/>
          <w:sz w:val="32"/>
          <w:szCs w:val="32"/>
          <w:highlight w:val="none"/>
          <w:lang w:val="en-US" w:eastAsia="zh-CN"/>
        </w:rPr>
        <w:t>2749万</w:t>
      </w:r>
      <w:r>
        <w:rPr>
          <w:rFonts w:hint="eastAsia" w:ascii="仿宋_GB2312" w:hAnsi="仿宋" w:eastAsia="仿宋_GB2312" w:cs="仿宋"/>
          <w:color w:val="auto"/>
          <w:sz w:val="32"/>
          <w:szCs w:val="32"/>
          <w:highlight w:val="none"/>
        </w:rPr>
        <w:t>元，专业涉及加工制造、交通运输、电子与信息、旅游服务</w:t>
      </w:r>
      <w:r>
        <w:rPr>
          <w:rFonts w:hint="eastAsia" w:ascii="仿宋_GB2312" w:hAnsi="仿宋" w:eastAsia="仿宋_GB2312" w:cs="仿宋"/>
          <w:color w:val="auto"/>
          <w:sz w:val="32"/>
          <w:szCs w:val="32"/>
          <w:highlight w:val="none"/>
          <w:lang w:val="en-US" w:eastAsia="zh-CN"/>
        </w:rPr>
        <w:t>四</w:t>
      </w:r>
      <w:r>
        <w:rPr>
          <w:rFonts w:hint="eastAsia" w:ascii="仿宋_GB2312" w:hAnsi="仿宋" w:eastAsia="仿宋_GB2312" w:cs="仿宋"/>
          <w:color w:val="auto"/>
          <w:sz w:val="32"/>
          <w:szCs w:val="32"/>
          <w:highlight w:val="none"/>
        </w:rPr>
        <w:t>大类1</w:t>
      </w:r>
      <w:r>
        <w:rPr>
          <w:rFonts w:hint="eastAsia" w:ascii="仿宋_GB2312" w:hAnsi="仿宋" w:eastAsia="仿宋_GB2312" w:cs="仿宋"/>
          <w:color w:val="auto"/>
          <w:sz w:val="32"/>
          <w:szCs w:val="32"/>
          <w:highlight w:val="none"/>
          <w:lang w:val="en-US" w:eastAsia="zh-CN"/>
        </w:rPr>
        <w:t>1</w:t>
      </w:r>
      <w:r>
        <w:rPr>
          <w:rFonts w:hint="eastAsia" w:ascii="仿宋_GB2312" w:hAnsi="仿宋" w:eastAsia="仿宋_GB2312" w:cs="仿宋"/>
          <w:color w:val="auto"/>
          <w:sz w:val="32"/>
          <w:szCs w:val="32"/>
          <w:highlight w:val="none"/>
        </w:rPr>
        <w:t>个专业。学校积极开展“校企合作、产教融合、工学结合”的人才培养模式，与</w:t>
      </w:r>
      <w:r>
        <w:rPr>
          <w:rFonts w:hint="eastAsia" w:ascii="仿宋_GB2312" w:hAnsi="仿宋" w:eastAsia="仿宋_GB2312" w:cs="仿宋"/>
          <w:color w:val="auto"/>
          <w:sz w:val="32"/>
          <w:szCs w:val="32"/>
          <w:highlight w:val="none"/>
          <w:lang w:val="en-US" w:eastAsia="zh-CN"/>
        </w:rPr>
        <w:t>50</w:t>
      </w:r>
      <w:r>
        <w:rPr>
          <w:rFonts w:hint="eastAsia" w:ascii="仿宋_GB2312" w:hAnsi="仿宋" w:eastAsia="仿宋_GB2312" w:cs="仿宋"/>
          <w:color w:val="auto"/>
          <w:sz w:val="32"/>
          <w:szCs w:val="32"/>
          <w:highlight w:val="none"/>
        </w:rPr>
        <w:t>余家疆内外企业建立了合作关系。学校以“开拓求实奋进成才”为校训，以“和谐自强精技乐业”为校风，以“厚德博学严谨创新”为教风，以“礼健智诚德技</w:t>
      </w:r>
      <w:r>
        <w:rPr>
          <w:rFonts w:hint="eastAsia" w:ascii="仿宋_GB2312" w:hAnsi="仿宋" w:eastAsia="仿宋_GB2312" w:cs="仿宋"/>
          <w:color w:val="auto"/>
          <w:sz w:val="32"/>
          <w:szCs w:val="32"/>
          <w:highlight w:val="none"/>
          <w:lang w:val="en-US" w:eastAsia="zh-CN"/>
        </w:rPr>
        <w:t>并</w:t>
      </w:r>
      <w:r>
        <w:rPr>
          <w:rFonts w:hint="eastAsia" w:ascii="仿宋_GB2312" w:hAnsi="仿宋" w:eastAsia="仿宋_GB2312" w:cs="仿宋"/>
          <w:color w:val="auto"/>
          <w:sz w:val="32"/>
          <w:szCs w:val="32"/>
          <w:highlight w:val="none"/>
        </w:rPr>
        <w:t>修”为学风。</w:t>
      </w:r>
      <w:r>
        <w:rPr>
          <w:rFonts w:hint="eastAsia" w:ascii="仿宋_GB2312" w:hAnsi="仿宋" w:eastAsia="仿宋_GB2312" w:cs="仿宋"/>
          <w:color w:val="auto"/>
          <w:sz w:val="32"/>
          <w:szCs w:val="32"/>
          <w:highlight w:val="none"/>
          <w:lang w:val="en-US" w:eastAsia="zh-CN"/>
        </w:rPr>
        <w:t>学校</w:t>
      </w:r>
      <w:r>
        <w:rPr>
          <w:rFonts w:hint="eastAsia" w:ascii="仿宋_GB2312" w:hAnsi="仿宋" w:eastAsia="仿宋_GB2312" w:cs="仿宋"/>
          <w:color w:val="auto"/>
          <w:sz w:val="32"/>
          <w:szCs w:val="32"/>
          <w:highlight w:val="none"/>
        </w:rPr>
        <w:t>遵守国家宪法、法律法规及政策，遵守社会道德风尚，遵守《中华人民共和国教育法》规定的国家教育方针，贯彻落实《中华人民共和国职业教育法》和塔城地委有关教育的政策，以服务为宗旨，以</w:t>
      </w:r>
      <w:r>
        <w:rPr>
          <w:rFonts w:hint="eastAsia" w:ascii="仿宋_GB2312" w:hAnsi="仿宋" w:eastAsia="仿宋_GB2312" w:cs="仿宋"/>
          <w:color w:val="auto"/>
          <w:sz w:val="32"/>
          <w:szCs w:val="32"/>
          <w:highlight w:val="none"/>
          <w:lang w:val="en-US" w:eastAsia="zh-CN"/>
        </w:rPr>
        <w:t>升学、</w:t>
      </w:r>
      <w:r>
        <w:rPr>
          <w:rFonts w:hint="eastAsia" w:ascii="仿宋_GB2312" w:hAnsi="仿宋" w:eastAsia="仿宋_GB2312" w:cs="仿宋"/>
          <w:color w:val="auto"/>
          <w:sz w:val="32"/>
          <w:szCs w:val="32"/>
          <w:highlight w:val="none"/>
        </w:rPr>
        <w:t>就业为导向，以能力为本位，以产学研结合为基本途径，培养经济社会发展需要的技能人才和高素质劳动者。</w:t>
      </w:r>
      <w:r>
        <w:rPr>
          <w:rFonts w:hint="eastAsia" w:ascii="仿宋_GB2312" w:hAnsi="仿宋" w:eastAsia="仿宋_GB2312" w:cs="仿宋"/>
          <w:color w:val="auto"/>
          <w:sz w:val="32"/>
          <w:szCs w:val="32"/>
          <w:highlight w:val="none"/>
          <w:lang w:val="en-US" w:eastAsia="zh-CN"/>
        </w:rPr>
        <w:t>学校</w:t>
      </w:r>
      <w:r>
        <w:rPr>
          <w:rFonts w:hint="eastAsia" w:ascii="仿宋_GB2312" w:hAnsi="仿宋" w:eastAsia="仿宋_GB2312" w:cs="仿宋"/>
          <w:color w:val="auto"/>
          <w:sz w:val="32"/>
          <w:szCs w:val="32"/>
          <w:highlight w:val="none"/>
        </w:rPr>
        <w:t>先后组织</w:t>
      </w:r>
      <w:r>
        <w:rPr>
          <w:rFonts w:hint="eastAsia" w:ascii="仿宋_GB2312" w:hAnsi="仿宋" w:eastAsia="仿宋_GB2312" w:cs="仿宋"/>
          <w:color w:val="auto"/>
          <w:sz w:val="32"/>
          <w:szCs w:val="32"/>
          <w:highlight w:val="none"/>
          <w:lang w:val="en-US" w:eastAsia="zh-CN"/>
        </w:rPr>
        <w:t>338</w:t>
      </w:r>
      <w:r>
        <w:rPr>
          <w:rFonts w:hint="eastAsia" w:ascii="仿宋_GB2312" w:hAnsi="仿宋" w:eastAsia="仿宋_GB2312" w:cs="仿宋"/>
          <w:color w:val="auto"/>
          <w:sz w:val="32"/>
          <w:szCs w:val="32"/>
          <w:highlight w:val="none"/>
        </w:rPr>
        <w:t>名师生参加自治区职业技能大赛，3名学生代表自治区参加全国职业技能大赛，累计1</w:t>
      </w:r>
      <w:r>
        <w:rPr>
          <w:rFonts w:hint="eastAsia" w:ascii="仿宋_GB2312" w:hAnsi="仿宋" w:eastAsia="仿宋_GB2312" w:cs="仿宋"/>
          <w:color w:val="auto"/>
          <w:sz w:val="32"/>
          <w:szCs w:val="32"/>
          <w:highlight w:val="none"/>
          <w:lang w:val="en-US" w:eastAsia="zh-CN"/>
        </w:rPr>
        <w:t>24</w:t>
      </w:r>
      <w:r>
        <w:rPr>
          <w:rFonts w:hint="eastAsia" w:ascii="仿宋_GB2312" w:hAnsi="仿宋" w:eastAsia="仿宋_GB2312" w:cs="仿宋"/>
          <w:color w:val="auto"/>
          <w:sz w:val="32"/>
          <w:szCs w:val="32"/>
          <w:highlight w:val="none"/>
        </w:rPr>
        <w:t>名师生获得自治区级以上奖项。</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31" w:name="_Toc2621"/>
      <w:bookmarkStart w:id="32" w:name="_Toc19290"/>
      <w:bookmarkStart w:id="33" w:name="_Toc18320"/>
      <w:r>
        <w:rPr>
          <w:rFonts w:hint="eastAsia" w:eastAsia="楷体_GB2312" w:asciiTheme="majorHAnsi" w:hAnsiTheme="majorHAnsi" w:cstheme="majorBidi"/>
          <w:b/>
          <w:bCs/>
          <w:kern w:val="2"/>
          <w:sz w:val="32"/>
          <w:szCs w:val="32"/>
          <w:lang w:val="en-US" w:eastAsia="zh-CN" w:bidi="ar-SA"/>
        </w:rPr>
        <w:t>1.2学生情况</w:t>
      </w:r>
      <w:bookmarkEnd w:id="31"/>
      <w:bookmarkEnd w:id="32"/>
      <w:bookmarkEnd w:id="33"/>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default"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包括招生规模、全日制在校生数、应届毕业生数、已就业人数、毕业去向落实率及与上一年度相比的变化情况。</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截至2024年8月31日，全日制在校生1226人。2024年秋季共招生619人（其中中职1405、技工95人），2024届毕业生总数260人（其中中职217人，技工43人）。</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34" w:name="_Toc1237"/>
      <w:bookmarkStart w:id="35" w:name="_Toc15190"/>
      <w:bookmarkStart w:id="36" w:name="_Toc1512"/>
      <w:r>
        <w:rPr>
          <w:rFonts w:hint="eastAsia" w:eastAsia="楷体_GB2312" w:asciiTheme="majorHAnsi" w:hAnsiTheme="majorHAnsi" w:cstheme="majorBidi"/>
          <w:b/>
          <w:bCs/>
          <w:kern w:val="2"/>
          <w:sz w:val="32"/>
          <w:szCs w:val="32"/>
          <w:lang w:val="en-US" w:eastAsia="zh-CN" w:bidi="ar-SA"/>
        </w:rPr>
        <w:t>1.3教师队伍</w:t>
      </w:r>
      <w:bookmarkEnd w:id="34"/>
      <w:bookmarkEnd w:id="35"/>
      <w:bookmarkEnd w:id="36"/>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highlight w:val="none"/>
          <w:lang w:val="en-US" w:eastAsia="zh-CN"/>
        </w:rPr>
      </w:pPr>
      <w:r>
        <w:rPr>
          <w:rFonts w:hint="eastAsia" w:ascii="仿宋_GB2312" w:eastAsia="仿宋_GB2312" w:cs="Times New Roman"/>
          <w:color w:val="auto"/>
          <w:sz w:val="32"/>
          <w:szCs w:val="32"/>
          <w:highlight w:val="none"/>
          <w:lang w:val="en-US" w:eastAsia="zh-CN"/>
        </w:rPr>
        <w:t>学</w:t>
      </w:r>
      <w:r>
        <w:rPr>
          <w:rFonts w:hint="eastAsia" w:ascii="仿宋_GB2312" w:hAnsi="Calibri" w:eastAsia="仿宋_GB2312" w:cs="Times New Roman"/>
          <w:color w:val="auto"/>
          <w:sz w:val="32"/>
          <w:szCs w:val="32"/>
          <w:highlight w:val="none"/>
          <w:lang w:val="en-US" w:eastAsia="zh-CN"/>
        </w:rPr>
        <w:t>校核定编制60个，其中管理岗10个（县处级5个，内设科室管理岗5个），专技岗45个，工勤岗5个。学校现有在编在岗教职工</w:t>
      </w:r>
      <w:r>
        <w:rPr>
          <w:rFonts w:hint="eastAsia" w:ascii="仿宋_GB2312" w:eastAsia="仿宋_GB2312" w:cs="Times New Roman"/>
          <w:color w:val="auto"/>
          <w:sz w:val="32"/>
          <w:szCs w:val="32"/>
          <w:highlight w:val="none"/>
          <w:lang w:val="en-US" w:eastAsia="zh-CN"/>
        </w:rPr>
        <w:t>69</w:t>
      </w:r>
      <w:r>
        <w:rPr>
          <w:rFonts w:hint="eastAsia" w:ascii="仿宋_GB2312" w:hAnsi="Calibri" w:eastAsia="仿宋_GB2312" w:cs="Times New Roman"/>
          <w:color w:val="auto"/>
          <w:sz w:val="32"/>
          <w:szCs w:val="32"/>
          <w:highlight w:val="none"/>
          <w:lang w:val="en-US" w:eastAsia="zh-CN"/>
        </w:rPr>
        <w:t>人，外聘教师6人，其中专任教师61人，生师比20.09:1，校内专任教师中具有硕士及以上学位人员为</w:t>
      </w:r>
      <w:r>
        <w:rPr>
          <w:rFonts w:hint="eastAsia" w:ascii="仿宋_GB2312" w:eastAsia="仿宋_GB2312" w:cs="Times New Roman"/>
          <w:color w:val="auto"/>
          <w:sz w:val="32"/>
          <w:szCs w:val="32"/>
          <w:highlight w:val="none"/>
          <w:lang w:val="en-US" w:eastAsia="zh-CN"/>
        </w:rPr>
        <w:t>0人</w:t>
      </w:r>
      <w:r>
        <w:rPr>
          <w:rFonts w:hint="eastAsia" w:ascii="仿宋_GB2312" w:hAnsi="Calibri" w:eastAsia="仿宋_GB2312" w:cs="Times New Roman"/>
          <w:color w:val="auto"/>
          <w:sz w:val="32"/>
          <w:szCs w:val="32"/>
          <w:highlight w:val="none"/>
          <w:lang w:val="en-US" w:eastAsia="zh-CN"/>
        </w:rPr>
        <w:t>，高级职称教师1</w:t>
      </w:r>
      <w:r>
        <w:rPr>
          <w:rFonts w:hint="eastAsia" w:ascii="仿宋_GB2312" w:eastAsia="仿宋_GB2312" w:cs="Times New Roman"/>
          <w:color w:val="auto"/>
          <w:sz w:val="32"/>
          <w:szCs w:val="32"/>
          <w:highlight w:val="none"/>
          <w:lang w:val="en-US" w:eastAsia="zh-CN"/>
        </w:rPr>
        <w:t>3</w:t>
      </w:r>
      <w:r>
        <w:rPr>
          <w:rFonts w:hint="eastAsia" w:ascii="仿宋_GB2312" w:hAnsi="Calibri" w:eastAsia="仿宋_GB2312" w:cs="Times New Roman"/>
          <w:color w:val="auto"/>
          <w:sz w:val="32"/>
          <w:szCs w:val="32"/>
          <w:highlight w:val="none"/>
          <w:lang w:val="en-US" w:eastAsia="zh-CN"/>
        </w:rPr>
        <w:t>人，高级技师1人。</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37" w:name="_Toc9364"/>
      <w:bookmarkStart w:id="38" w:name="_Toc16189"/>
      <w:bookmarkStart w:id="39" w:name="_Toc26684"/>
      <w:r>
        <w:rPr>
          <w:rFonts w:hint="eastAsia" w:eastAsia="楷体_GB2312" w:asciiTheme="majorHAnsi" w:hAnsiTheme="majorHAnsi" w:cstheme="majorBidi"/>
          <w:b/>
          <w:bCs/>
          <w:kern w:val="2"/>
          <w:sz w:val="32"/>
          <w:szCs w:val="32"/>
          <w:lang w:val="en-US" w:eastAsia="zh-CN" w:bidi="ar-SA"/>
        </w:rPr>
        <w:t>1.4设施设备</w:t>
      </w:r>
      <w:bookmarkEnd w:id="37"/>
      <w:bookmarkEnd w:id="38"/>
      <w:bookmarkEnd w:id="39"/>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学校于2011年建成集实训、比赛、加工、技能鉴定于一体</w:t>
      </w:r>
      <w:r>
        <w:rPr>
          <w:rFonts w:hint="eastAsia" w:ascii="仿宋_GB2312" w:eastAsia="仿宋_GB2312" w:cs="Times New Roman"/>
          <w:color w:val="auto"/>
          <w:sz w:val="32"/>
          <w:szCs w:val="32"/>
          <w:highlight w:val="none"/>
          <w:lang w:val="en-US" w:eastAsia="zh-CN"/>
        </w:rPr>
        <w:t>的</w:t>
      </w:r>
      <w:r>
        <w:rPr>
          <w:rFonts w:hint="eastAsia" w:ascii="仿宋_GB2312" w:hAnsi="Calibri" w:eastAsia="仿宋_GB2312" w:cs="Times New Roman"/>
          <w:color w:val="auto"/>
          <w:sz w:val="32"/>
          <w:szCs w:val="32"/>
          <w:highlight w:val="none"/>
          <w:lang w:val="en-US" w:eastAsia="zh-CN"/>
        </w:rPr>
        <w:t>实训基地，有数控</w:t>
      </w:r>
      <w:r>
        <w:rPr>
          <w:rFonts w:hint="eastAsia" w:ascii="仿宋_GB2312" w:eastAsia="仿宋_GB2312" w:cs="Times New Roman"/>
          <w:color w:val="auto"/>
          <w:sz w:val="32"/>
          <w:szCs w:val="32"/>
          <w:highlight w:val="none"/>
          <w:lang w:val="en-US" w:eastAsia="zh-CN"/>
        </w:rPr>
        <w:t>加工技术</w:t>
      </w:r>
      <w:r>
        <w:rPr>
          <w:rFonts w:hint="eastAsia" w:ascii="仿宋_GB2312" w:hAnsi="Calibri" w:eastAsia="仿宋_GB2312" w:cs="Times New Roman"/>
          <w:color w:val="auto"/>
          <w:sz w:val="32"/>
          <w:szCs w:val="32"/>
          <w:highlight w:val="none"/>
          <w:lang w:val="en-US" w:eastAsia="zh-CN"/>
        </w:rPr>
        <w:t>、焊接</w:t>
      </w:r>
      <w:r>
        <w:rPr>
          <w:rFonts w:hint="eastAsia" w:ascii="仿宋_GB2312" w:eastAsia="仿宋_GB2312" w:cs="Times New Roman"/>
          <w:color w:val="auto"/>
          <w:sz w:val="32"/>
          <w:szCs w:val="32"/>
          <w:highlight w:val="none"/>
          <w:lang w:val="en-US" w:eastAsia="zh-CN"/>
        </w:rPr>
        <w:t>加工技术</w:t>
      </w:r>
      <w:r>
        <w:rPr>
          <w:rFonts w:hint="eastAsia" w:ascii="仿宋_GB2312" w:hAnsi="Calibri" w:eastAsia="仿宋_GB2312" w:cs="Times New Roman"/>
          <w:color w:val="auto"/>
          <w:sz w:val="32"/>
          <w:szCs w:val="32"/>
          <w:highlight w:val="none"/>
          <w:lang w:val="en-US" w:eastAsia="zh-CN"/>
        </w:rPr>
        <w:t>、</w:t>
      </w:r>
      <w:r>
        <w:rPr>
          <w:rFonts w:hint="eastAsia" w:ascii="仿宋_GB2312" w:eastAsia="仿宋_GB2312" w:cs="Times New Roman"/>
          <w:color w:val="auto"/>
          <w:sz w:val="32"/>
          <w:szCs w:val="32"/>
          <w:highlight w:val="none"/>
          <w:lang w:val="en-US" w:eastAsia="zh-CN"/>
        </w:rPr>
        <w:t>汽车应用与维修、新能源汽车运用与维修</w:t>
      </w:r>
      <w:r>
        <w:rPr>
          <w:rFonts w:hint="eastAsia" w:ascii="仿宋_GB2312" w:hAnsi="Calibri" w:eastAsia="仿宋_GB2312" w:cs="Times New Roman"/>
          <w:color w:val="auto"/>
          <w:sz w:val="32"/>
          <w:szCs w:val="32"/>
          <w:highlight w:val="none"/>
          <w:lang w:val="en-US" w:eastAsia="zh-CN"/>
        </w:rPr>
        <w:t>。电子电工实训室</w:t>
      </w:r>
      <w:r>
        <w:rPr>
          <w:rFonts w:hint="eastAsia" w:ascii="仿宋_GB2312" w:eastAsia="仿宋_GB2312" w:cs="Times New Roman"/>
          <w:color w:val="auto"/>
          <w:sz w:val="32"/>
          <w:szCs w:val="32"/>
          <w:highlight w:val="none"/>
          <w:lang w:val="en-US" w:eastAsia="zh-CN"/>
        </w:rPr>
        <w:t>10</w:t>
      </w:r>
      <w:r>
        <w:rPr>
          <w:rFonts w:hint="eastAsia" w:ascii="仿宋_GB2312" w:hAnsi="Calibri" w:eastAsia="仿宋_GB2312" w:cs="Times New Roman"/>
          <w:color w:val="auto"/>
          <w:sz w:val="32"/>
          <w:szCs w:val="32"/>
          <w:highlight w:val="none"/>
          <w:lang w:val="en-US" w:eastAsia="zh-CN"/>
        </w:rPr>
        <w:t>间，专业计算机教室12间</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汽车二级维护车间</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栋，汽车车身修复车间</w:t>
      </w:r>
      <w:r>
        <w:rPr>
          <w:rFonts w:hint="eastAsia" w:ascii="仿宋_GB2312" w:eastAsia="仿宋_GB2312" w:cs="Times New Roman"/>
          <w:color w:val="auto"/>
          <w:sz w:val="32"/>
          <w:szCs w:val="32"/>
          <w:highlight w:val="none"/>
          <w:lang w:val="en-US" w:eastAsia="zh-CN"/>
        </w:rPr>
        <w:t>2</w:t>
      </w:r>
      <w:r>
        <w:rPr>
          <w:rFonts w:hint="eastAsia" w:ascii="仿宋_GB2312" w:hAnsi="Calibri" w:eastAsia="仿宋_GB2312" w:cs="Times New Roman"/>
          <w:color w:val="auto"/>
          <w:sz w:val="32"/>
          <w:szCs w:val="32"/>
          <w:highlight w:val="none"/>
          <w:lang w:val="en-US" w:eastAsia="zh-CN"/>
        </w:rPr>
        <w:t>间</w:t>
      </w:r>
      <w:r>
        <w:rPr>
          <w:rFonts w:hint="eastAsia" w:ascii="仿宋_GB2312" w:eastAsia="仿宋_GB2312" w:cs="Times New Roman"/>
          <w:color w:val="auto"/>
          <w:sz w:val="32"/>
          <w:szCs w:val="32"/>
          <w:highlight w:val="none"/>
          <w:lang w:val="en-US" w:eastAsia="zh-CN"/>
        </w:rPr>
        <w:t>，新能源汽车运用与维修车间2间</w:t>
      </w:r>
      <w:r>
        <w:rPr>
          <w:rFonts w:hint="eastAsia" w:ascii="仿宋_GB2312" w:hAnsi="Calibri" w:eastAsia="仿宋_GB2312" w:cs="Times New Roman"/>
          <w:color w:val="auto"/>
          <w:sz w:val="32"/>
          <w:szCs w:val="32"/>
          <w:highlight w:val="none"/>
          <w:lang w:val="en-US" w:eastAsia="zh-CN"/>
        </w:rPr>
        <w:t>，现有实训设备总价值为3267万元，较上一年增加200万元。</w:t>
      </w:r>
      <w:r>
        <w:rPr>
          <w:rFonts w:hint="eastAsia" w:ascii="仿宋_GB2312" w:hAnsi="Calibri" w:eastAsia="仿宋_GB2312" w:cs="Times New Roman"/>
          <w:color w:val="auto"/>
          <w:sz w:val="32"/>
          <w:szCs w:val="32"/>
          <w:highlight w:val="none"/>
        </w:rPr>
        <w:t>新增教学科研仪器设备所占比例</w:t>
      </w:r>
      <w:r>
        <w:rPr>
          <w:rFonts w:hint="eastAsia" w:ascii="仿宋_GB2312" w:hAnsi="Calibri" w:eastAsia="仿宋_GB2312" w:cs="Times New Roman"/>
          <w:color w:val="auto"/>
          <w:sz w:val="32"/>
          <w:szCs w:val="32"/>
          <w:highlight w:val="none"/>
          <w:lang w:val="en-US" w:eastAsia="zh-CN"/>
        </w:rPr>
        <w:t>为6.12%。生均教学科研仪器设备值为6924.96元，实训基地可满足1400余名学生同时进行实训教学，生均实训实习工位1.3个，较上年增长0.1个工位。生均学校实训基地设施完善，</w:t>
      </w:r>
      <w:r>
        <w:rPr>
          <w:rFonts w:hint="eastAsia" w:ascii="仿宋_GB2312" w:hAnsi="Calibri" w:eastAsia="仿宋_GB2312" w:cs="Times New Roman"/>
          <w:color w:val="auto"/>
          <w:sz w:val="32"/>
          <w:szCs w:val="32"/>
          <w:highlight w:val="none"/>
        </w:rPr>
        <w:t>生均占地面积</w:t>
      </w:r>
      <w:r>
        <w:rPr>
          <w:rFonts w:hint="eastAsia" w:ascii="仿宋_GB2312" w:hAnsi="Calibri" w:eastAsia="仿宋_GB2312" w:cs="Times New Roman"/>
          <w:color w:val="auto"/>
          <w:sz w:val="32"/>
          <w:szCs w:val="32"/>
          <w:highlight w:val="none"/>
          <w:lang w:val="en-US" w:eastAsia="zh-CN"/>
        </w:rPr>
        <w:t>118.54平方米，</w:t>
      </w:r>
      <w:r>
        <w:rPr>
          <w:rFonts w:hint="eastAsia" w:ascii="仿宋_GB2312" w:hAnsi="Calibri" w:eastAsia="仿宋_GB2312" w:cs="Times New Roman"/>
          <w:color w:val="auto"/>
          <w:sz w:val="32"/>
          <w:szCs w:val="32"/>
          <w:highlight w:val="none"/>
        </w:rPr>
        <w:t>生均宿舍面积</w:t>
      </w:r>
      <w:r>
        <w:rPr>
          <w:rFonts w:hint="eastAsia" w:ascii="仿宋_GB2312" w:hAnsi="Calibri" w:eastAsia="仿宋_GB2312" w:cs="Times New Roman"/>
          <w:color w:val="auto"/>
          <w:sz w:val="32"/>
          <w:szCs w:val="32"/>
          <w:highlight w:val="none"/>
          <w:lang w:val="en-US" w:eastAsia="zh-CN"/>
        </w:rPr>
        <w:t>39.67平方米。图书12.3万册，生均占有图书100.73册，如图一。</w:t>
      </w: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ind w:left="0" w:leftChars="0" w:firstLine="0" w:firstLineChars="0"/>
        <w:jc w:val="center"/>
        <w:rPr>
          <w:rFonts w:hint="eastAsia" w:ascii="微软雅黑" w:hAnsi="微软雅黑" w:eastAsia="微软雅黑" w:cs="微软雅黑"/>
          <w:sz w:val="30"/>
          <w:szCs w:val="30"/>
          <w:lang w:val="en-US" w:eastAsia="zh-CN"/>
        </w:rPr>
      </w:pPr>
      <w:r>
        <w:rPr>
          <w:rFonts w:hint="eastAsia" w:ascii="微软雅黑" w:hAnsi="微软雅黑" w:eastAsia="微软雅黑" w:cs="微软雅黑"/>
          <w:color w:val="auto"/>
          <w:sz w:val="30"/>
          <w:szCs w:val="30"/>
          <w:highlight w:val="none"/>
          <w:lang w:val="en-US" w:eastAsia="zh-CN"/>
        </w:rPr>
        <w:drawing>
          <wp:anchor distT="0" distB="0" distL="114300" distR="114300" simplePos="0" relativeHeight="251680768" behindDoc="0" locked="0" layoutInCell="1" allowOverlap="1">
            <wp:simplePos x="0" y="0"/>
            <wp:positionH relativeFrom="column">
              <wp:posOffset>161290</wp:posOffset>
            </wp:positionH>
            <wp:positionV relativeFrom="paragraph">
              <wp:posOffset>101600</wp:posOffset>
            </wp:positionV>
            <wp:extent cx="5935345" cy="3886835"/>
            <wp:effectExtent l="0" t="0" r="8255" b="14605"/>
            <wp:wrapTopAndBottom/>
            <wp:docPr id="61" name="图片 61" descr="7eec6becb41b87d16f54d3685a97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eec6becb41b87d16f54d3685a97a2a"/>
                    <pic:cNvPicPr>
                      <a:picLocks noChangeAspect="1"/>
                    </pic:cNvPicPr>
                  </pic:nvPicPr>
                  <pic:blipFill>
                    <a:blip r:embed="rId12"/>
                    <a:stretch>
                      <a:fillRect/>
                    </a:stretch>
                  </pic:blipFill>
                  <pic:spPr>
                    <a:xfrm>
                      <a:off x="0" y="0"/>
                      <a:ext cx="5935345" cy="3886835"/>
                    </a:xfrm>
                    <a:prstGeom prst="rect">
                      <a:avLst/>
                    </a:prstGeom>
                  </pic:spPr>
                </pic:pic>
              </a:graphicData>
            </a:graphic>
          </wp:anchor>
        </w:drawing>
      </w:r>
      <w:bookmarkStart w:id="40" w:name="_Toc7822"/>
      <w:r>
        <w:rPr>
          <w:rFonts w:hint="eastAsia" w:ascii="微软雅黑" w:hAnsi="微软雅黑" w:eastAsia="微软雅黑" w:cs="微软雅黑"/>
          <w:sz w:val="30"/>
          <w:szCs w:val="30"/>
          <w:lang w:val="en-US" w:eastAsia="zh-CN"/>
        </w:rPr>
        <w:t>图一  学生在图书馆选择书籍</w:t>
      </w:r>
      <w:bookmarkEnd w:id="40"/>
    </w:p>
    <w:p>
      <w:pPr>
        <w:pageBreakBefore w:val="0"/>
        <w:kinsoku/>
        <w:wordWrap/>
        <w:overflowPunct/>
        <w:topLinePunct w:val="0"/>
        <w:bidi w:val="0"/>
        <w:spacing w:beforeAutospacing="0" w:afterAutospacing="0" w:line="560" w:lineRule="exact"/>
        <w:jc w:val="center"/>
        <w:rPr>
          <w:rFonts w:hint="default" w:ascii="微软雅黑" w:hAnsi="微软雅黑" w:eastAsia="微软雅黑" w:cs="微软雅黑"/>
          <w:sz w:val="30"/>
          <w:szCs w:val="30"/>
          <w:lang w:val="en-US" w:eastAsia="zh-CN"/>
        </w:rPr>
      </w:pPr>
      <w:r>
        <w:rPr>
          <w:rFonts w:hint="eastAsia" w:ascii="微软雅黑" w:hAnsi="微软雅黑" w:eastAsia="微软雅黑" w:cs="微软雅黑"/>
          <w:color w:val="auto"/>
          <w:sz w:val="30"/>
          <w:szCs w:val="30"/>
          <w:highlight w:val="none"/>
          <w:lang w:val="en-US" w:eastAsia="zh-CN"/>
        </w:rPr>
        <w:drawing>
          <wp:anchor distT="0" distB="0" distL="114300" distR="114300" simplePos="0" relativeHeight="251681792" behindDoc="0" locked="0" layoutInCell="1" allowOverlap="1">
            <wp:simplePos x="0" y="0"/>
            <wp:positionH relativeFrom="column">
              <wp:posOffset>187325</wp:posOffset>
            </wp:positionH>
            <wp:positionV relativeFrom="paragraph">
              <wp:posOffset>137160</wp:posOffset>
            </wp:positionV>
            <wp:extent cx="5887720" cy="2992755"/>
            <wp:effectExtent l="9525" t="9525" r="15875" b="15240"/>
            <wp:wrapTopAndBottom/>
            <wp:docPr id="63" name="图表 63"/>
            <wp:cNvGraphicFramePr/>
            <a:graphic xmlns:a="http://schemas.openxmlformats.org/drawingml/2006/main">
              <a:graphicData uri="http://schemas.openxmlformats.org/drawingml/2006/picture">
                <pic:pic xmlns:pic="http://schemas.openxmlformats.org/drawingml/2006/picture">
                  <pic:nvPicPr>
                    <pic:cNvPr id="63" name="图表 63"/>
                    <pic:cNvPicPr/>
                  </pic:nvPicPr>
                  <pic:blipFill>
                    <a:blip r:embed="rId13"/>
                    <a:stretch>
                      <a:fillRect/>
                    </a:stretch>
                  </pic:blipFill>
                  <pic:spPr>
                    <a:xfrm>
                      <a:off x="0" y="0"/>
                      <a:ext cx="5887720" cy="2992755"/>
                    </a:xfrm>
                    <a:prstGeom prst="rect">
                      <a:avLst/>
                    </a:prstGeom>
                    <a:ln>
                      <a:solidFill>
                        <a:srgbClr val="D9D9D9"/>
                      </a:solidFill>
                    </a:ln>
                  </pic:spPr>
                </pic:pic>
              </a:graphicData>
            </a:graphic>
          </wp:anchor>
        </w:drawing>
      </w:r>
      <w:bookmarkStart w:id="41" w:name="_Toc25966"/>
      <w:bookmarkStart w:id="42" w:name="_Toc26743"/>
      <w:r>
        <w:rPr>
          <w:rFonts w:hint="eastAsia" w:ascii="微软雅黑" w:hAnsi="微软雅黑" w:eastAsia="微软雅黑" w:cs="微软雅黑"/>
          <w:sz w:val="30"/>
          <w:szCs w:val="30"/>
          <w:lang w:val="en-US" w:eastAsia="zh-CN"/>
        </w:rPr>
        <w:t>表一 设施设备</w:t>
      </w:r>
      <w:bookmarkEnd w:id="41"/>
      <w:bookmarkEnd w:id="42"/>
      <w:r>
        <w:rPr>
          <w:rFonts w:hint="eastAsia" w:ascii="微软雅黑" w:hAnsi="微软雅黑" w:eastAsia="微软雅黑" w:cs="微软雅黑"/>
          <w:sz w:val="30"/>
          <w:szCs w:val="30"/>
          <w:lang w:val="en-US" w:eastAsia="zh-CN"/>
        </w:rPr>
        <w:t>占比情况</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数控机加车间总面积300</w:t>
      </w:r>
      <w:r>
        <w:rPr>
          <w:rFonts w:hint="eastAsia" w:ascii="仿宋_GB2312" w:eastAsia="仿宋_GB2312" w:cs="Times New Roman"/>
          <w:color w:val="auto"/>
          <w:sz w:val="32"/>
          <w:szCs w:val="32"/>
          <w:highlight w:val="none"/>
          <w:lang w:val="en-US" w:eastAsia="zh-CN"/>
        </w:rPr>
        <w:t>0</w:t>
      </w:r>
      <w:r>
        <w:rPr>
          <w:rFonts w:hint="eastAsia" w:ascii="仿宋_GB2312" w:hAnsi="Calibri" w:eastAsia="仿宋_GB2312" w:cs="Times New Roman"/>
          <w:color w:val="auto"/>
          <w:sz w:val="32"/>
          <w:szCs w:val="32"/>
          <w:highlight w:val="none"/>
          <w:lang w:val="en-US" w:eastAsia="zh-CN"/>
        </w:rPr>
        <w:t>平方米，总价值</w:t>
      </w:r>
      <w:r>
        <w:rPr>
          <w:rFonts w:hint="eastAsia" w:ascii="仿宋_GB2312" w:eastAsia="仿宋_GB2312" w:cs="Times New Roman"/>
          <w:color w:val="auto"/>
          <w:sz w:val="32"/>
          <w:szCs w:val="32"/>
          <w:highlight w:val="none"/>
          <w:lang w:val="en-US" w:eastAsia="zh-CN"/>
        </w:rPr>
        <w:t>649</w:t>
      </w:r>
      <w:r>
        <w:rPr>
          <w:rFonts w:hint="eastAsia" w:ascii="仿宋_GB2312" w:hAnsi="Calibri" w:eastAsia="仿宋_GB2312" w:cs="Times New Roman"/>
          <w:color w:val="auto"/>
          <w:sz w:val="32"/>
          <w:szCs w:val="32"/>
          <w:highlight w:val="none"/>
          <w:lang w:val="en-US" w:eastAsia="zh-CN"/>
        </w:rPr>
        <w:t>万元，有数控车床</w:t>
      </w:r>
      <w:r>
        <w:rPr>
          <w:rFonts w:hint="eastAsia" w:ascii="仿宋_GB2312" w:eastAsia="仿宋_GB2312" w:cs="Times New Roman"/>
          <w:color w:val="auto"/>
          <w:sz w:val="32"/>
          <w:szCs w:val="32"/>
          <w:highlight w:val="none"/>
          <w:lang w:val="en-US" w:eastAsia="zh-CN"/>
        </w:rPr>
        <w:t>11</w:t>
      </w:r>
      <w:r>
        <w:rPr>
          <w:rFonts w:hint="eastAsia" w:ascii="仿宋_GB2312" w:hAnsi="Calibri" w:eastAsia="仿宋_GB2312" w:cs="Times New Roman"/>
          <w:color w:val="auto"/>
          <w:sz w:val="32"/>
          <w:szCs w:val="32"/>
          <w:highlight w:val="none"/>
          <w:lang w:val="en-US" w:eastAsia="zh-CN"/>
        </w:rPr>
        <w:t>台、四轴加工中心一台、三轴加工中心两台</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数控线切割机一台</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磨床一台</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数控电火花一台</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涡轮空压机一台，有CA6140车床20台</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立式铣床（X5032）4台</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卧式铣床（X6032）</w:t>
      </w:r>
      <w:r>
        <w:rPr>
          <w:rFonts w:hint="eastAsia" w:ascii="仿宋_GB2312" w:eastAsia="仿宋_GB2312" w:cs="Times New Roman"/>
          <w:color w:val="auto"/>
          <w:sz w:val="32"/>
          <w:szCs w:val="32"/>
          <w:highlight w:val="none"/>
          <w:lang w:val="en-US" w:eastAsia="zh-CN"/>
        </w:rPr>
        <w:t>2</w:t>
      </w:r>
      <w:r>
        <w:rPr>
          <w:rFonts w:hint="eastAsia" w:ascii="仿宋_GB2312" w:hAnsi="Calibri" w:eastAsia="仿宋_GB2312" w:cs="Times New Roman"/>
          <w:color w:val="auto"/>
          <w:sz w:val="32"/>
          <w:szCs w:val="32"/>
          <w:highlight w:val="none"/>
          <w:lang w:val="en-US" w:eastAsia="zh-CN"/>
        </w:rPr>
        <w:t>台、刨床</w:t>
      </w:r>
      <w:r>
        <w:rPr>
          <w:rFonts w:hint="eastAsia" w:ascii="仿宋_GB2312" w:eastAsia="仿宋_GB2312" w:cs="Times New Roman"/>
          <w:color w:val="auto"/>
          <w:sz w:val="32"/>
          <w:szCs w:val="32"/>
          <w:highlight w:val="none"/>
          <w:lang w:val="en-US" w:eastAsia="zh-CN"/>
        </w:rPr>
        <w:t>4</w:t>
      </w:r>
      <w:r>
        <w:rPr>
          <w:rFonts w:hint="eastAsia" w:ascii="仿宋_GB2312" w:hAnsi="Calibri" w:eastAsia="仿宋_GB2312" w:cs="Times New Roman"/>
          <w:color w:val="auto"/>
          <w:sz w:val="32"/>
          <w:szCs w:val="32"/>
          <w:highlight w:val="none"/>
          <w:lang w:val="en-US" w:eastAsia="zh-CN"/>
        </w:rPr>
        <w:t>台、立式钻床</w:t>
      </w:r>
      <w:r>
        <w:rPr>
          <w:rFonts w:hint="eastAsia" w:ascii="仿宋_GB2312" w:eastAsia="仿宋_GB2312" w:cs="Times New Roman"/>
          <w:color w:val="auto"/>
          <w:sz w:val="32"/>
          <w:szCs w:val="32"/>
          <w:highlight w:val="none"/>
          <w:lang w:val="en-US" w:eastAsia="zh-CN"/>
        </w:rPr>
        <w:t>2</w:t>
      </w:r>
      <w:r>
        <w:rPr>
          <w:rFonts w:hint="eastAsia" w:ascii="仿宋_GB2312" w:hAnsi="Calibri" w:eastAsia="仿宋_GB2312" w:cs="Times New Roman"/>
          <w:color w:val="auto"/>
          <w:sz w:val="32"/>
          <w:szCs w:val="32"/>
          <w:highlight w:val="none"/>
          <w:lang w:val="en-US" w:eastAsia="zh-CN"/>
        </w:rPr>
        <w:t>台、摇臂钻床</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台、锯床</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台，工位51个，可以同时满足</w:t>
      </w:r>
      <w:r>
        <w:rPr>
          <w:rFonts w:hint="eastAsia" w:ascii="仿宋_GB2312" w:eastAsia="仿宋_GB2312" w:cs="Times New Roman"/>
          <w:color w:val="auto"/>
          <w:sz w:val="32"/>
          <w:szCs w:val="32"/>
          <w:highlight w:val="none"/>
          <w:lang w:val="en-US" w:eastAsia="zh-CN"/>
        </w:rPr>
        <w:t>300</w:t>
      </w:r>
      <w:r>
        <w:rPr>
          <w:rFonts w:hint="eastAsia" w:ascii="仿宋_GB2312" w:hAnsi="Calibri" w:eastAsia="仿宋_GB2312" w:cs="Times New Roman"/>
          <w:color w:val="auto"/>
          <w:sz w:val="32"/>
          <w:szCs w:val="32"/>
          <w:highlight w:val="none"/>
          <w:lang w:val="en-US" w:eastAsia="zh-CN"/>
        </w:rPr>
        <w:t>名学生实训。计算机房二间，共68台计算机，用来进行模拟仿真软件学习。</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lang w:val="en-US" w:eastAsia="zh-CN"/>
        </w:rPr>
        <w:t>焊接车间总面积2600平方米，总价值540万元，主要设备有二保焊机</w:t>
      </w:r>
      <w:r>
        <w:rPr>
          <w:rFonts w:hint="eastAsia" w:ascii="仿宋_GB2312" w:eastAsia="仿宋_GB2312" w:cs="Times New Roman"/>
          <w:color w:val="auto"/>
          <w:sz w:val="32"/>
          <w:szCs w:val="32"/>
          <w:highlight w:val="none"/>
          <w:lang w:val="en-US" w:eastAsia="zh-CN"/>
        </w:rPr>
        <w:t>50</w:t>
      </w:r>
      <w:r>
        <w:rPr>
          <w:rFonts w:hint="eastAsia" w:ascii="仿宋_GB2312" w:hAnsi="Calibri" w:eastAsia="仿宋_GB2312" w:cs="Times New Roman"/>
          <w:color w:val="auto"/>
          <w:sz w:val="32"/>
          <w:szCs w:val="32"/>
          <w:highlight w:val="none"/>
          <w:lang w:val="en-US" w:eastAsia="zh-CN"/>
        </w:rPr>
        <w:t>台，电弧焊机50台，等离子切割机</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台，10吨龙门行吊</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架，剪板折弯机</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台，焊接机器人一台，数控等离子切割机一台。整个焊接车间主要设备103台，可以同时满足200名学生实训。</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lang w:val="en-US" w:eastAsia="zh-CN"/>
        </w:rPr>
        <w:t>汽修车间总面积2000平方米，总价值</w:t>
      </w:r>
      <w:r>
        <w:rPr>
          <w:rFonts w:hint="eastAsia" w:ascii="仿宋_GB2312" w:eastAsia="仿宋_GB2312" w:cs="Times New Roman"/>
          <w:color w:val="auto"/>
          <w:sz w:val="32"/>
          <w:szCs w:val="32"/>
          <w:highlight w:val="none"/>
          <w:lang w:val="en-US" w:eastAsia="zh-CN"/>
        </w:rPr>
        <w:t>340</w:t>
      </w:r>
      <w:r>
        <w:rPr>
          <w:rFonts w:hint="eastAsia" w:ascii="仿宋_GB2312" w:hAnsi="Calibri" w:eastAsia="仿宋_GB2312" w:cs="Times New Roman"/>
          <w:color w:val="auto"/>
          <w:sz w:val="32"/>
          <w:szCs w:val="32"/>
          <w:highlight w:val="none"/>
          <w:lang w:val="en-US" w:eastAsia="zh-CN"/>
        </w:rPr>
        <w:t>万元，分别布置在四个实训区域和两个实训室。其中发动机区电控演示台架</w:t>
      </w:r>
      <w:r>
        <w:rPr>
          <w:rFonts w:hint="eastAsia" w:ascii="仿宋_GB2312" w:eastAsia="仿宋_GB2312" w:cs="Times New Roman"/>
          <w:color w:val="auto"/>
          <w:sz w:val="32"/>
          <w:szCs w:val="32"/>
          <w:highlight w:val="none"/>
          <w:lang w:val="en-US" w:eastAsia="zh-CN"/>
        </w:rPr>
        <w:t>10</w:t>
      </w:r>
      <w:r>
        <w:rPr>
          <w:rFonts w:hint="eastAsia" w:ascii="仿宋_GB2312" w:hAnsi="Calibri" w:eastAsia="仿宋_GB2312" w:cs="Times New Roman"/>
          <w:color w:val="auto"/>
          <w:sz w:val="32"/>
          <w:szCs w:val="32"/>
          <w:highlight w:val="none"/>
          <w:lang w:val="en-US" w:eastAsia="zh-CN"/>
        </w:rPr>
        <w:t>台；底盘区电控演示台架</w:t>
      </w:r>
      <w:r>
        <w:rPr>
          <w:rFonts w:hint="eastAsia" w:ascii="仿宋_GB2312" w:eastAsia="仿宋_GB2312" w:cs="Times New Roman"/>
          <w:color w:val="auto"/>
          <w:sz w:val="32"/>
          <w:szCs w:val="32"/>
          <w:highlight w:val="none"/>
          <w:lang w:val="en-US" w:eastAsia="zh-CN"/>
        </w:rPr>
        <w:t>10</w:t>
      </w:r>
      <w:r>
        <w:rPr>
          <w:rFonts w:hint="eastAsia" w:ascii="仿宋_GB2312" w:hAnsi="Calibri" w:eastAsia="仿宋_GB2312" w:cs="Times New Roman"/>
          <w:color w:val="auto"/>
          <w:sz w:val="32"/>
          <w:szCs w:val="32"/>
          <w:highlight w:val="none"/>
          <w:lang w:val="en-US" w:eastAsia="zh-CN"/>
        </w:rPr>
        <w:t>台，拆装翻转台架</w:t>
      </w:r>
      <w:r>
        <w:rPr>
          <w:rFonts w:hint="eastAsia" w:ascii="仿宋_GB2312" w:eastAsia="仿宋_GB2312" w:cs="Times New Roman"/>
          <w:color w:val="auto"/>
          <w:sz w:val="32"/>
          <w:szCs w:val="32"/>
          <w:highlight w:val="none"/>
          <w:lang w:val="en-US" w:eastAsia="zh-CN"/>
        </w:rPr>
        <w:t>12</w:t>
      </w:r>
      <w:r>
        <w:rPr>
          <w:rFonts w:hint="eastAsia" w:ascii="仿宋_GB2312" w:hAnsi="Calibri" w:eastAsia="仿宋_GB2312" w:cs="Times New Roman"/>
          <w:color w:val="auto"/>
          <w:sz w:val="32"/>
          <w:szCs w:val="32"/>
          <w:highlight w:val="none"/>
          <w:lang w:val="en-US" w:eastAsia="zh-CN"/>
        </w:rPr>
        <w:t>台，剖视台架</w:t>
      </w:r>
      <w:r>
        <w:rPr>
          <w:rFonts w:hint="eastAsia" w:ascii="仿宋_GB2312" w:eastAsia="仿宋_GB2312" w:cs="Times New Roman"/>
          <w:color w:val="auto"/>
          <w:sz w:val="32"/>
          <w:szCs w:val="32"/>
          <w:highlight w:val="none"/>
          <w:lang w:val="en-US" w:eastAsia="zh-CN"/>
        </w:rPr>
        <w:t>8</w:t>
      </w:r>
      <w:r>
        <w:rPr>
          <w:rFonts w:hint="eastAsia" w:ascii="仿宋_GB2312" w:hAnsi="Calibri" w:eastAsia="仿宋_GB2312" w:cs="Times New Roman"/>
          <w:color w:val="auto"/>
          <w:sz w:val="32"/>
          <w:szCs w:val="32"/>
          <w:highlight w:val="none"/>
          <w:lang w:val="en-US" w:eastAsia="zh-CN"/>
        </w:rPr>
        <w:t>台；电器区演示台架</w:t>
      </w:r>
      <w:r>
        <w:rPr>
          <w:rFonts w:hint="eastAsia" w:ascii="仿宋_GB2312" w:eastAsia="仿宋_GB2312" w:cs="Times New Roman"/>
          <w:color w:val="auto"/>
          <w:sz w:val="32"/>
          <w:szCs w:val="32"/>
          <w:highlight w:val="none"/>
          <w:lang w:val="en-US" w:eastAsia="zh-CN"/>
        </w:rPr>
        <w:t>40</w:t>
      </w:r>
      <w:r>
        <w:rPr>
          <w:rFonts w:hint="eastAsia" w:ascii="仿宋_GB2312" w:hAnsi="Calibri" w:eastAsia="仿宋_GB2312" w:cs="Times New Roman"/>
          <w:color w:val="auto"/>
          <w:sz w:val="32"/>
          <w:szCs w:val="32"/>
          <w:highlight w:val="none"/>
          <w:lang w:val="en-US" w:eastAsia="zh-CN"/>
        </w:rPr>
        <w:t>台；整车区剪式举升机</w:t>
      </w:r>
      <w:r>
        <w:rPr>
          <w:rFonts w:hint="eastAsia" w:ascii="仿宋_GB2312" w:eastAsia="仿宋_GB2312" w:cs="Times New Roman"/>
          <w:color w:val="auto"/>
          <w:sz w:val="32"/>
          <w:szCs w:val="32"/>
          <w:highlight w:val="none"/>
          <w:lang w:val="en-US" w:eastAsia="zh-CN"/>
        </w:rPr>
        <w:t>3</w:t>
      </w:r>
      <w:r>
        <w:rPr>
          <w:rFonts w:hint="eastAsia" w:ascii="仿宋_GB2312" w:hAnsi="Calibri" w:eastAsia="仿宋_GB2312" w:cs="Times New Roman"/>
          <w:color w:val="auto"/>
          <w:sz w:val="32"/>
          <w:szCs w:val="32"/>
          <w:highlight w:val="none"/>
          <w:lang w:val="en-US" w:eastAsia="zh-CN"/>
        </w:rPr>
        <w:t>架，动平衡机</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台，扒胎机</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台，四轮定位仪</w:t>
      </w:r>
      <w:r>
        <w:rPr>
          <w:rFonts w:hint="eastAsia" w:ascii="仿宋_GB2312" w:eastAsia="仿宋_GB2312" w:cs="Times New Roman"/>
          <w:color w:val="auto"/>
          <w:sz w:val="32"/>
          <w:szCs w:val="32"/>
          <w:highlight w:val="none"/>
          <w:lang w:val="en-US" w:eastAsia="zh-CN"/>
        </w:rPr>
        <w:t>1</w:t>
      </w:r>
      <w:r>
        <w:rPr>
          <w:rFonts w:hint="eastAsia" w:ascii="仿宋_GB2312" w:hAnsi="Calibri" w:eastAsia="仿宋_GB2312" w:cs="Times New Roman"/>
          <w:color w:val="auto"/>
          <w:sz w:val="32"/>
          <w:szCs w:val="32"/>
          <w:highlight w:val="none"/>
          <w:lang w:val="en-US" w:eastAsia="zh-CN"/>
        </w:rPr>
        <w:t>台；配套保养维护设备</w:t>
      </w:r>
      <w:r>
        <w:rPr>
          <w:rFonts w:hint="eastAsia" w:ascii="仿宋_GB2312" w:eastAsia="仿宋_GB2312" w:cs="Times New Roman"/>
          <w:color w:val="auto"/>
          <w:sz w:val="32"/>
          <w:szCs w:val="32"/>
          <w:highlight w:val="none"/>
          <w:lang w:val="en-US" w:eastAsia="zh-CN"/>
        </w:rPr>
        <w:t>12</w:t>
      </w:r>
      <w:r>
        <w:rPr>
          <w:rFonts w:hint="eastAsia" w:ascii="仿宋_GB2312" w:hAnsi="Calibri" w:eastAsia="仿宋_GB2312" w:cs="Times New Roman"/>
          <w:color w:val="auto"/>
          <w:sz w:val="32"/>
          <w:szCs w:val="32"/>
          <w:highlight w:val="none"/>
          <w:lang w:val="en-US" w:eastAsia="zh-CN"/>
        </w:rPr>
        <w:t>台。钣金实训室</w:t>
      </w:r>
      <w:r>
        <w:rPr>
          <w:rFonts w:hint="eastAsia" w:ascii="仿宋_GB2312" w:eastAsia="仿宋_GB2312" w:cs="Times New Roman"/>
          <w:color w:val="auto"/>
          <w:sz w:val="32"/>
          <w:szCs w:val="32"/>
          <w:highlight w:val="none"/>
          <w:lang w:val="en-US" w:eastAsia="zh-CN"/>
        </w:rPr>
        <w:t>2</w:t>
      </w:r>
      <w:r>
        <w:rPr>
          <w:rFonts w:hint="eastAsia" w:ascii="仿宋_GB2312" w:hAnsi="Calibri" w:eastAsia="仿宋_GB2312" w:cs="Times New Roman"/>
          <w:color w:val="auto"/>
          <w:sz w:val="32"/>
          <w:szCs w:val="32"/>
          <w:highlight w:val="none"/>
          <w:lang w:val="en-US" w:eastAsia="zh-CN"/>
        </w:rPr>
        <w:t>间，主要设备有万能钣金实训台</w:t>
      </w:r>
      <w:r>
        <w:rPr>
          <w:rFonts w:hint="eastAsia" w:ascii="仿宋_GB2312" w:eastAsia="仿宋_GB2312" w:cs="Times New Roman"/>
          <w:color w:val="auto"/>
          <w:sz w:val="32"/>
          <w:szCs w:val="32"/>
          <w:highlight w:val="none"/>
          <w:lang w:val="en-US" w:eastAsia="zh-CN"/>
        </w:rPr>
        <w:t>2</w:t>
      </w:r>
      <w:r>
        <w:rPr>
          <w:rFonts w:hint="eastAsia" w:ascii="仿宋_GB2312" w:hAnsi="Calibri" w:eastAsia="仿宋_GB2312" w:cs="Times New Roman"/>
          <w:color w:val="auto"/>
          <w:sz w:val="32"/>
          <w:szCs w:val="32"/>
          <w:highlight w:val="none"/>
          <w:lang w:val="en-US" w:eastAsia="zh-CN"/>
        </w:rPr>
        <w:t>架，二保焊机</w:t>
      </w:r>
      <w:r>
        <w:rPr>
          <w:rFonts w:hint="eastAsia" w:ascii="仿宋_GB2312" w:eastAsia="仿宋_GB2312" w:cs="Times New Roman"/>
          <w:color w:val="auto"/>
          <w:sz w:val="32"/>
          <w:szCs w:val="32"/>
          <w:highlight w:val="none"/>
          <w:lang w:val="en-US" w:eastAsia="zh-CN"/>
        </w:rPr>
        <w:t>3</w:t>
      </w:r>
      <w:r>
        <w:rPr>
          <w:rFonts w:hint="eastAsia" w:ascii="仿宋_GB2312" w:hAnsi="Calibri" w:eastAsia="仿宋_GB2312" w:cs="Times New Roman"/>
          <w:color w:val="auto"/>
          <w:sz w:val="32"/>
          <w:szCs w:val="32"/>
          <w:highlight w:val="none"/>
          <w:lang w:val="en-US" w:eastAsia="zh-CN"/>
        </w:rPr>
        <w:t>台，电阻电焊机</w:t>
      </w:r>
      <w:r>
        <w:rPr>
          <w:rFonts w:hint="eastAsia" w:ascii="仿宋_GB2312" w:eastAsia="仿宋_GB2312" w:cs="Times New Roman"/>
          <w:color w:val="auto"/>
          <w:sz w:val="32"/>
          <w:szCs w:val="32"/>
          <w:highlight w:val="none"/>
          <w:lang w:val="en-US" w:eastAsia="zh-CN"/>
        </w:rPr>
        <w:t>3</w:t>
      </w:r>
      <w:r>
        <w:rPr>
          <w:rFonts w:hint="eastAsia" w:ascii="仿宋_GB2312" w:hAnsi="Calibri" w:eastAsia="仿宋_GB2312" w:cs="Times New Roman"/>
          <w:color w:val="auto"/>
          <w:sz w:val="32"/>
          <w:szCs w:val="32"/>
          <w:highlight w:val="none"/>
          <w:lang w:val="en-US" w:eastAsia="zh-CN"/>
        </w:rPr>
        <w:t>台，整形修复机</w:t>
      </w:r>
      <w:r>
        <w:rPr>
          <w:rFonts w:hint="eastAsia" w:ascii="仿宋_GB2312" w:eastAsia="仿宋_GB2312" w:cs="Times New Roman"/>
          <w:color w:val="auto"/>
          <w:sz w:val="32"/>
          <w:szCs w:val="32"/>
          <w:highlight w:val="none"/>
          <w:lang w:val="en-US" w:eastAsia="zh-CN"/>
        </w:rPr>
        <w:t>3</w:t>
      </w:r>
      <w:r>
        <w:rPr>
          <w:rFonts w:hint="eastAsia" w:ascii="仿宋_GB2312" w:hAnsi="Calibri" w:eastAsia="仿宋_GB2312" w:cs="Times New Roman"/>
          <w:color w:val="auto"/>
          <w:sz w:val="32"/>
          <w:szCs w:val="32"/>
          <w:highlight w:val="none"/>
          <w:lang w:val="en-US" w:eastAsia="zh-CN"/>
        </w:rPr>
        <w:t>台。整个汽修车间共有主要设备</w:t>
      </w:r>
      <w:r>
        <w:rPr>
          <w:rFonts w:hint="eastAsia" w:ascii="仿宋_GB2312" w:eastAsia="仿宋_GB2312" w:cs="Times New Roman"/>
          <w:color w:val="auto"/>
          <w:sz w:val="32"/>
          <w:szCs w:val="32"/>
          <w:highlight w:val="none"/>
          <w:lang w:val="en-US" w:eastAsia="zh-CN"/>
        </w:rPr>
        <w:t>125</w:t>
      </w:r>
      <w:r>
        <w:rPr>
          <w:rFonts w:hint="eastAsia" w:ascii="仿宋_GB2312" w:hAnsi="Calibri" w:eastAsia="仿宋_GB2312" w:cs="Times New Roman"/>
          <w:color w:val="auto"/>
          <w:sz w:val="32"/>
          <w:szCs w:val="32"/>
          <w:highlight w:val="none"/>
          <w:lang w:val="en-US" w:eastAsia="zh-CN"/>
        </w:rPr>
        <w:t>台，可以同时满足</w:t>
      </w:r>
      <w:r>
        <w:rPr>
          <w:rFonts w:hint="eastAsia" w:ascii="仿宋_GB2312" w:eastAsia="仿宋_GB2312" w:cs="Times New Roman"/>
          <w:color w:val="auto"/>
          <w:sz w:val="32"/>
          <w:szCs w:val="32"/>
          <w:highlight w:val="none"/>
          <w:lang w:val="en-US" w:eastAsia="zh-CN"/>
        </w:rPr>
        <w:t>300</w:t>
      </w:r>
      <w:r>
        <w:rPr>
          <w:rFonts w:hint="eastAsia" w:ascii="仿宋_GB2312" w:hAnsi="Calibri" w:eastAsia="仿宋_GB2312" w:cs="Times New Roman"/>
          <w:color w:val="auto"/>
          <w:sz w:val="32"/>
          <w:szCs w:val="32"/>
          <w:highlight w:val="none"/>
          <w:lang w:val="en-US" w:eastAsia="zh-CN"/>
        </w:rPr>
        <w:t>名学生实训。</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计算机平面设计实训室12间，建筑面积共计1160.52平方米，内有电脑398台，学生电脑桌184张，教师电脑桌12张，学生方凳373个，交换机8台，总价值约369.534万元，可满足240名学生同时实训。</w:t>
      </w:r>
    </w:p>
    <w:p>
      <w:pPr>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2024年新建新能源汽车运用与维修实训车间2间，</w:t>
      </w:r>
      <w:r>
        <w:rPr>
          <w:rFonts w:hint="eastAsia" w:ascii="仿宋_GB2312" w:hAnsi="仿宋_GB2312" w:eastAsia="仿宋_GB2312" w:cs="仿宋_GB2312"/>
          <w:color w:val="auto"/>
          <w:sz w:val="32"/>
          <w:szCs w:val="32"/>
          <w:highlight w:val="none"/>
          <w:lang w:val="en-US" w:eastAsia="zh-CN"/>
        </w:rPr>
        <w:t>其中，新能源整车故障排除训练区1个，动力电池训练区1个、驱动电机训练区1个。现有新能源专业教师5名，6名企业兼职教师，能同时满足240人规模的实训。</w:t>
      </w:r>
      <w:r>
        <w:rPr>
          <w:rFonts w:hint="eastAsia" w:ascii="仿宋_GB2312" w:hAnsi="Calibri" w:eastAsia="仿宋_GB2312" w:cs="Times New Roman"/>
          <w:color w:val="auto"/>
          <w:sz w:val="32"/>
          <w:szCs w:val="32"/>
          <w:highlight w:val="none"/>
          <w:lang w:val="en-US" w:eastAsia="zh-CN"/>
        </w:rPr>
        <w:t>总面积达400平方米。较上一年增加了400平方米，见表一。</w:t>
      </w:r>
    </w:p>
    <w:p>
      <w:pPr>
        <w:pStyle w:val="4"/>
        <w:pageBreakBefore w:val="0"/>
        <w:kinsoku/>
        <w:wordWrap/>
        <w:overflowPunct/>
        <w:topLinePunct w:val="0"/>
        <w:bidi w:val="0"/>
        <w:spacing w:beforeAutospacing="0" w:afterAutospacing="0" w:line="560" w:lineRule="exact"/>
        <w:ind w:firstLine="640"/>
        <w:rPr>
          <w:rFonts w:hint="eastAsia"/>
        </w:rPr>
      </w:pPr>
      <w:bookmarkStart w:id="43" w:name="_Toc18481"/>
      <w:bookmarkStart w:id="44" w:name="_Toc28931"/>
      <w:bookmarkStart w:id="45" w:name="_Toc31131"/>
      <w:bookmarkStart w:id="46" w:name="_Toc23657"/>
      <w:r>
        <w:rPr>
          <w:rFonts w:hint="eastAsia"/>
        </w:rPr>
        <w:t>2.人才培养质量</w:t>
      </w:r>
      <w:bookmarkEnd w:id="43"/>
      <w:bookmarkEnd w:id="44"/>
      <w:bookmarkEnd w:id="45"/>
      <w:bookmarkEnd w:id="46"/>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47" w:name="_Toc16048"/>
      <w:bookmarkStart w:id="48" w:name="_Toc18038"/>
      <w:bookmarkStart w:id="49" w:name="_Toc16791"/>
      <w:r>
        <w:rPr>
          <w:rFonts w:hint="eastAsia" w:eastAsia="楷体_GB2312" w:asciiTheme="majorHAnsi" w:hAnsiTheme="majorHAnsi" w:cstheme="majorBidi"/>
          <w:b/>
          <w:bCs/>
          <w:kern w:val="2"/>
          <w:sz w:val="32"/>
          <w:szCs w:val="32"/>
          <w:lang w:val="en-US" w:eastAsia="zh-CN" w:bidi="ar-SA"/>
        </w:rPr>
        <w:t>2.1学生发展</w:t>
      </w:r>
      <w:bookmarkEnd w:id="47"/>
      <w:bookmarkEnd w:id="48"/>
      <w:bookmarkEnd w:id="49"/>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50" w:name="_Toc26772"/>
      <w:bookmarkStart w:id="51" w:name="_Toc14373"/>
      <w:r>
        <w:rPr>
          <w:rFonts w:hint="eastAsia" w:eastAsia="楷体_GB2312" w:asciiTheme="majorHAnsi" w:hAnsiTheme="majorHAnsi" w:cstheme="majorBidi"/>
          <w:b/>
          <w:bCs/>
          <w:kern w:val="2"/>
          <w:sz w:val="32"/>
          <w:szCs w:val="32"/>
          <w:lang w:val="en-US" w:eastAsia="zh-CN" w:bidi="ar-SA"/>
        </w:rPr>
        <w:t>2.1.1党建引领</w:t>
      </w:r>
      <w:bookmarkEnd w:id="50"/>
      <w:bookmarkEnd w:id="51"/>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以政治建设为统领，全面抓好学校党建工作。落实“第一议题”制度，持续抓好党委理论学习中心组、党支部党员学习和教职工理论学习，深入学习习近平新时代中国特色社会主义思想、党的二十大和二十届二中、三中全会精神。积极落实《中国共产党支部工作条例（试行）》，严格按程序完成党支部换届，两名党委委员兼任党支部书记，以“五个好党支部”“四个合格党员”创建为抓手，指导党支部认真落实“三会一课”“党旗映天山”主题党日等活动。创建党员先锋岗6个，党员到社区报到开展志愿服务4场次；2024年度发展党员1名，培养入党积极分子5名；大力支持学校团委按照章程开展工作，让优秀学生加入团组织，2024年有125名学生递交了入团申请书，55名学生加入团组织。大力支持工会工作，组织发放职工福利。发挥教代会参与学校管理，召开教代会、工代会，对教职工年度绩效考核方案部分条款进行了修订。</w:t>
      </w:r>
      <w:r>
        <w:rPr>
          <w:rFonts w:hint="eastAsia" w:ascii="仿宋_GB2312" w:hAnsi="仿宋_GB2312" w:eastAsia="仿宋_GB2312" w:cs="仿宋_GB2312"/>
          <w:b w:val="0"/>
          <w:bCs w:val="0"/>
          <w:color w:val="auto"/>
          <w:kern w:val="2"/>
          <w:sz w:val="32"/>
          <w:szCs w:val="32"/>
          <w:lang w:val="en-US" w:eastAsia="zh-CN" w:bidi="ar-SA"/>
        </w:rPr>
        <w:t>落实干部人才队伍培养。积极谋划干部队伍建设，</w:t>
      </w:r>
      <w:r>
        <w:rPr>
          <w:rFonts w:hint="eastAsia" w:ascii="仿宋_GB2312" w:hAnsi="仿宋_GB2312" w:eastAsia="仿宋_GB2312" w:cs="仿宋_GB2312"/>
          <w:b w:val="0"/>
          <w:bCs w:val="0"/>
          <w:color w:val="auto"/>
          <w:sz w:val="32"/>
          <w:szCs w:val="32"/>
          <w:lang w:val="en-US" w:eastAsia="zh-CN"/>
        </w:rPr>
        <w:t>启动3名科级干部轮岗交流，</w:t>
      </w:r>
      <w:r>
        <w:rPr>
          <w:rFonts w:hint="eastAsia" w:ascii="仿宋_GB2312" w:hAnsi="仿宋_GB2312" w:eastAsia="仿宋_GB2312" w:cs="仿宋_GB2312"/>
          <w:b w:val="0"/>
          <w:bCs w:val="0"/>
          <w:color w:val="auto"/>
          <w:kern w:val="2"/>
          <w:sz w:val="32"/>
          <w:szCs w:val="32"/>
          <w:lang w:val="en-US" w:eastAsia="zh-CN" w:bidi="ar-SA"/>
        </w:rPr>
        <w:t>并严格按照《党政领导干部选拔任用工作条例》，做好5个科级岗位的动议、推荐、考察、任免工作</w:t>
      </w:r>
      <w:r>
        <w:rPr>
          <w:rFonts w:hint="eastAsia" w:ascii="仿宋_GB2312" w:hAnsi="仿宋_GB2312" w:eastAsia="仿宋_GB2312" w:cs="仿宋_GB2312"/>
          <w:b w:val="0"/>
          <w:bCs w:val="0"/>
          <w:color w:val="auto"/>
          <w:sz w:val="32"/>
          <w:szCs w:val="32"/>
          <w:lang w:val="en-US" w:eastAsia="zh-CN"/>
        </w:rPr>
        <w:t>。</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【案例一】校领导讲党课</w:t>
      </w:r>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党员的学习教育，一直是党建工作的重中之重。通过校领导带头实施讲“微型党课”教育，学校党委落实基层党支部书记是“微型党课”第一责任人。在“微型党课”教育中，校领导为流动党员、在职党员上视频党课进行教学。经常在党建微信群内的党课中，再现“党史事件”“先锋人物”“国家领导人现场讲话”等场景。</w:t>
      </w:r>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学校党委副书记、校长杨萍同志在《知史爱党 知疆爱疆》的党课中，以习近平总书记在新疆视察时的视频讲话内容以及学校当前铸牢中华民族共同体意识工作的实际，就如何提升师生的爱党爱疆的政治觉悟进行了深入浅出的分析与讲解。学校党委委员、副校长、教学党支部书记何清飞同志在《党的二十届三中全会》党课中，运用习近平总书记的讲话的原视频，原汁原味地带领全体教师学习了党的二十届三中全会精神。</w:t>
      </w:r>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微型党课”的开放性决定了听党课的主体不仅仅是党员，更多的教师也会参与其中。在实施“微型党课”教育中，党员们的学习渴望，对党支部工作提出了更高的要求，必须以“微型党课”来填补党员教育的空白，通过组织党员教师送党课到学生宿舍、到食堂、到实训车间，来实现党组织与师生之间的无缝隙对话和无障碍沟通。</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52" w:name="_Toc22220"/>
      <w:bookmarkStart w:id="53" w:name="_Toc2971"/>
      <w:r>
        <w:rPr>
          <w:rFonts w:hint="eastAsia" w:eastAsia="楷体_GB2312" w:asciiTheme="majorHAnsi" w:hAnsiTheme="majorHAnsi" w:cstheme="majorBidi"/>
          <w:b/>
          <w:bCs/>
          <w:kern w:val="2"/>
          <w:sz w:val="32"/>
          <w:szCs w:val="32"/>
          <w:lang w:val="en-US" w:eastAsia="zh-CN" w:bidi="ar-SA"/>
        </w:rPr>
        <w:t>2.1.2立德树人</w:t>
      </w:r>
      <w:bookmarkEnd w:id="52"/>
      <w:bookmarkEnd w:id="53"/>
    </w:p>
    <w:p>
      <w:pPr>
        <w:pageBreakBefore w:val="0"/>
        <w:tabs>
          <w:tab w:val="left" w:pos="763"/>
        </w:tabs>
        <w:kinsoku/>
        <w:wordWrap/>
        <w:overflowPunct/>
        <w:topLinePunct w:val="0"/>
        <w:bidi w:val="0"/>
        <w:spacing w:beforeAutospacing="0" w:afterAutospacing="0" w:line="560" w:lineRule="exact"/>
        <w:ind w:firstLine="642"/>
        <w:jc w:val="left"/>
        <w:rPr>
          <w:rFonts w:hint="default" w:ascii="仿宋_GB2312" w:hAnsi="Calibri" w:eastAsia="仿宋_GB2312" w:cs="Times New Roman"/>
          <w:sz w:val="32"/>
          <w:szCs w:val="32"/>
          <w:lang w:val="en-US" w:eastAsia="zh-CN"/>
        </w:rPr>
      </w:pPr>
      <w:r>
        <w:rPr>
          <w:rFonts w:hint="default" w:ascii="仿宋_GB2312" w:hAnsi="Calibri" w:eastAsia="仿宋_GB2312" w:cs="Times New Roman"/>
          <w:sz w:val="32"/>
          <w:szCs w:val="32"/>
          <w:lang w:val="en-US" w:eastAsia="zh-CN"/>
        </w:rPr>
        <w:t>坚持德育为先：学校要将德育贯穿于教育教学的全过程，注重培养学生的道德品质和人格素养。教师要成为德育的引领者，通过言传身教，引导学生树立正确的价值观。强化学科教育中的思想教育：在传授学科知识的同时，注重对学生的思想教育，启发学生的思维，培养创新精神和实践能力。结合学科特点，挖掘思政元素，使思政教育与学科教学有机融合。加强体育锻炼和课外活动：注重学生的身体健康和心理健康，通过体育锻炼和课外活动，增强学生的自信心和团队精神。组织各种形式的课外活动，如社团竞赛等，让学生有机会展示自己的特长和才华。建立有效的教育评价体系：建立科学、公正、客观的评价体系，注重学生的全面发展。评价不仅考虑学生的成绩，还要考虑学生的综合素质和能力。</w:t>
      </w:r>
    </w:p>
    <w:p>
      <w:pPr>
        <w:pageBreakBefore w:val="0"/>
        <w:tabs>
          <w:tab w:val="left" w:pos="763"/>
        </w:tabs>
        <w:kinsoku/>
        <w:wordWrap/>
        <w:overflowPunct/>
        <w:topLinePunct w:val="0"/>
        <w:bidi w:val="0"/>
        <w:spacing w:beforeAutospacing="0" w:afterAutospacing="0" w:line="560" w:lineRule="exact"/>
        <w:jc w:val="left"/>
        <w:rPr>
          <w:rFonts w:hint="default" w:ascii="仿宋_GB2312" w:hAnsi="Calibri" w:eastAsia="仿宋_GB2312" w:cs="Times New Roman"/>
          <w:sz w:val="32"/>
          <w:szCs w:val="32"/>
          <w:lang w:val="en-US" w:eastAsia="zh-CN"/>
        </w:rPr>
      </w:pPr>
      <w:r>
        <w:rPr>
          <w:rFonts w:hint="eastAsia" w:eastAsia="楷体_GB2312" w:asciiTheme="majorHAnsi" w:hAnsiTheme="majorHAnsi" w:cstheme="majorBidi"/>
          <w:b/>
          <w:bCs/>
          <w:kern w:val="2"/>
          <w:sz w:val="32"/>
          <w:szCs w:val="32"/>
          <w:lang w:val="en-US" w:eastAsia="zh-CN" w:bidi="ar-SA"/>
        </w:rPr>
        <w:t xml:space="preserve">    </w:t>
      </w:r>
      <w:r>
        <w:rPr>
          <w:rFonts w:hint="default" w:ascii="仿宋_GB2312" w:hAnsi="Calibri" w:eastAsia="仿宋_GB2312" w:cs="Times New Roman"/>
          <w:sz w:val="32"/>
          <w:szCs w:val="32"/>
          <w:lang w:val="en-US" w:eastAsia="zh-CN"/>
        </w:rPr>
        <w:t>突出政治建设：加强党的领导，推动学校以实际行动维护党中央权威和集中统一领导。定期开展政治学习和教育活动，提高师生的政治觉悟和思想认识。创新思政工作方式：利用新媒体平台开展思政工作，如建立微信公众号、微博等，及时发布思政信息，加强与学生的互动和交流。开展形式多样的思政活动，如主题班会、讲座、演讲等，激发学生的学习兴趣和参与度。注重实践育人：组织学生参加社会实践活动，如志愿服务、社会调查等，让学生在实践中增长见识、锻炼能力。依托实践教学基地，开展现场教学和情境教学，提高思政教育的针对性和实效性。</w:t>
      </w:r>
    </w:p>
    <w:p>
      <w:pPr>
        <w:pageBreakBefore w:val="0"/>
        <w:tabs>
          <w:tab w:val="left" w:pos="763"/>
        </w:tabs>
        <w:kinsoku/>
        <w:wordWrap/>
        <w:overflowPunct/>
        <w:topLinePunct w:val="0"/>
        <w:bidi w:val="0"/>
        <w:spacing w:beforeAutospacing="0" w:afterAutospacing="0" w:line="560" w:lineRule="exact"/>
        <w:ind w:firstLine="640" w:firstLineChars="200"/>
        <w:jc w:val="left"/>
        <w:rPr>
          <w:rFonts w:hint="default" w:eastAsia="楷体_GB2312" w:asciiTheme="majorHAnsi" w:hAnsiTheme="majorHAnsi" w:cstheme="majorBidi"/>
          <w:b/>
          <w:bCs/>
          <w:kern w:val="2"/>
          <w:sz w:val="32"/>
          <w:szCs w:val="32"/>
          <w:lang w:val="en-US" w:eastAsia="zh-CN" w:bidi="ar-SA"/>
        </w:rPr>
      </w:pPr>
      <w:r>
        <w:rPr>
          <w:rFonts w:hint="default" w:ascii="仿宋_GB2312" w:hAnsi="Calibri" w:eastAsia="仿宋_GB2312" w:cs="Times New Roman"/>
          <w:sz w:val="32"/>
          <w:szCs w:val="32"/>
          <w:lang w:val="en-US" w:eastAsia="zh-CN"/>
        </w:rPr>
        <w:t>课程设置完善：按照教育部规定，开设《思想道德修养与法律基础》《毛泽东思想和中国特色社会主义理论体系概论》等必修课程。 结合学校实际和学生需求，开设选修课程和专题课程，丰富思政课程内容。教材选用规范：选用教育部组织编写的部编教材，确保教材内容的科学性、权威性和时效性。鼓励教师结合教学实际和学科特点，自主编写教辅材料和案例库。</w:t>
      </w:r>
    </w:p>
    <w:p>
      <w:pPr>
        <w:pageBreakBefore w:val="0"/>
        <w:tabs>
          <w:tab w:val="left" w:pos="763"/>
        </w:tabs>
        <w:kinsoku/>
        <w:wordWrap/>
        <w:overflowPunct/>
        <w:topLinePunct w:val="0"/>
        <w:bidi w:val="0"/>
        <w:spacing w:beforeAutospacing="0" w:afterAutospacing="0" w:line="560" w:lineRule="exact"/>
        <w:ind w:firstLine="640" w:firstLineChars="200"/>
        <w:jc w:val="left"/>
        <w:rPr>
          <w:rFonts w:hint="default" w:ascii="仿宋_GB2312" w:hAnsi="Calibri" w:eastAsia="仿宋_GB2312" w:cs="Times New Roman"/>
          <w:sz w:val="32"/>
          <w:szCs w:val="32"/>
          <w:lang w:val="en-US" w:eastAsia="zh-CN"/>
        </w:rPr>
      </w:pPr>
      <w:r>
        <w:rPr>
          <w:rFonts w:hint="default" w:ascii="仿宋_GB2312" w:hAnsi="Calibri" w:eastAsia="仿宋_GB2312" w:cs="Times New Roman"/>
          <w:sz w:val="32"/>
          <w:szCs w:val="32"/>
          <w:lang w:val="en-US" w:eastAsia="zh-CN"/>
        </w:rPr>
        <w:t>教学改革创新：推广互动式、启发式、案例式等教学方法，打破传统单向教学方式，增强学生的主动参与性。利用多媒体教学手段，提高课堂教学的生动性和趣味性。加强实践教学环节，组织学生开展社会调研、志愿服务等实践活动，将理论知识与实践相结合。师资队伍建设：加大思政课教师队伍的培训力度，提高教师的专业素养和教学能力。鼓励教师参加学术交流和研究活动，拓宽视野，提升水平。 建立健全思政课教师激励机制，激发教师的工作热情和创造力。</w:t>
      </w:r>
    </w:p>
    <w:p>
      <w:pPr>
        <w:pageBreakBefore w:val="0"/>
        <w:tabs>
          <w:tab w:val="left" w:pos="763"/>
        </w:tabs>
        <w:kinsoku/>
        <w:wordWrap/>
        <w:overflowPunct/>
        <w:topLinePunct w:val="0"/>
        <w:bidi w:val="0"/>
        <w:spacing w:beforeAutospacing="0" w:afterAutospacing="0" w:line="560" w:lineRule="exact"/>
        <w:ind w:firstLine="640" w:firstLineChars="200"/>
        <w:jc w:val="left"/>
        <w:rPr>
          <w:rFonts w:hint="default"/>
          <w:lang w:val="en-US" w:eastAsia="zh-CN"/>
        </w:rPr>
      </w:pPr>
      <w:r>
        <w:rPr>
          <w:rFonts w:hint="default" w:ascii="仿宋_GB2312" w:hAnsi="Calibri" w:eastAsia="仿宋_GB2312" w:cs="Times New Roman"/>
          <w:sz w:val="32"/>
          <w:szCs w:val="32"/>
          <w:lang w:val="en-US" w:eastAsia="zh-CN"/>
        </w:rPr>
        <w:t>加强党的领导：学校党委要切实履行思政建设的主体责任，加强对思政工作的领导和指导。建立健全思政工作机构和工作制度，确保思政工作有序开展。营造良好氛围：加强校园文化建设，营造积极向上、和谐友善的校园文化氛围。积极开展思政宣传教育活动，提高师生的思政意识和觉悟。推动思政工作创新：不断探索思政工作的新思路、新方法和新途径，提高思政工作的针对性和实效性。加强与其他部门的协同合作，形成思政工作的合力。</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54" w:name="_Toc18386"/>
      <w:bookmarkStart w:id="55" w:name="_Toc4546"/>
      <w:r>
        <w:rPr>
          <w:rFonts w:hint="eastAsia" w:eastAsia="楷体_GB2312" w:asciiTheme="majorHAnsi" w:hAnsiTheme="majorHAnsi" w:cstheme="majorBidi"/>
          <w:b/>
          <w:bCs/>
          <w:kern w:val="2"/>
          <w:sz w:val="32"/>
          <w:szCs w:val="32"/>
          <w:lang w:val="en-US" w:eastAsia="zh-CN" w:bidi="ar-SA"/>
        </w:rPr>
        <w:t>2.1.3在校体验</w:t>
      </w:r>
      <w:bookmarkEnd w:id="54"/>
      <w:bookmarkEnd w:id="55"/>
    </w:p>
    <w:p>
      <w:pPr>
        <w:pStyle w:val="3"/>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left="0" w:right="0" w:firstLine="640" w:firstLineChars="200"/>
        <w:textAlignment w:val="auto"/>
        <w:rPr>
          <w:rFonts w:hint="default" w:ascii="仿宋" w:hAnsi="仿宋" w:eastAsia="仿宋"/>
          <w:sz w:val="32"/>
          <w:szCs w:val="32"/>
          <w:lang w:val="en-US" w:eastAsia="zh-CN"/>
        </w:rPr>
      </w:pPr>
      <w:r>
        <w:rPr>
          <w:rFonts w:hint="default" w:ascii="仿宋" w:hAnsi="仿宋" w:eastAsia="仿宋"/>
          <w:sz w:val="32"/>
          <w:szCs w:val="32"/>
          <w:lang w:val="en-US" w:eastAsia="zh-CN"/>
        </w:rPr>
        <w:t>202</w:t>
      </w:r>
      <w:r>
        <w:rPr>
          <w:rFonts w:hint="eastAsia" w:ascii="仿宋" w:hAnsi="仿宋" w:eastAsia="仿宋"/>
          <w:sz w:val="32"/>
          <w:szCs w:val="32"/>
          <w:lang w:val="en-US" w:eastAsia="zh-CN"/>
        </w:rPr>
        <w:t>4</w:t>
      </w:r>
      <w:r>
        <w:rPr>
          <w:rFonts w:hint="default" w:ascii="仿宋" w:hAnsi="仿宋" w:eastAsia="仿宋"/>
          <w:sz w:val="32"/>
          <w:szCs w:val="32"/>
          <w:lang w:val="en-US" w:eastAsia="zh-CN"/>
        </w:rPr>
        <w:t xml:space="preserve"> 年，学生理论学习满意度 97.</w:t>
      </w:r>
      <w:r>
        <w:rPr>
          <w:rFonts w:hint="eastAsia" w:ascii="仿宋" w:hAnsi="仿宋" w:eastAsia="仿宋"/>
          <w:sz w:val="32"/>
          <w:szCs w:val="32"/>
          <w:lang w:val="en-US" w:eastAsia="zh-CN"/>
        </w:rPr>
        <w:t>4</w:t>
      </w:r>
      <w:r>
        <w:rPr>
          <w:rFonts w:hint="default" w:ascii="仿宋" w:hAnsi="仿宋" w:eastAsia="仿宋"/>
          <w:sz w:val="32"/>
          <w:szCs w:val="32"/>
          <w:lang w:val="en-US" w:eastAsia="zh-CN"/>
        </w:rPr>
        <w:t>%，较 202</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 年的 9</w:t>
      </w:r>
      <w:r>
        <w:rPr>
          <w:rFonts w:hint="eastAsia" w:ascii="仿宋" w:hAnsi="仿宋" w:eastAsia="仿宋"/>
          <w:sz w:val="32"/>
          <w:szCs w:val="32"/>
          <w:lang w:val="en-US" w:eastAsia="zh-CN"/>
        </w:rPr>
        <w:t>7</w:t>
      </w:r>
      <w:r>
        <w:rPr>
          <w:rFonts w:hint="default" w:ascii="仿宋" w:hAnsi="仿宋" w:eastAsia="仿宋"/>
          <w:sz w:val="32"/>
          <w:szCs w:val="32"/>
          <w:lang w:val="en-US" w:eastAsia="zh-CN"/>
        </w:rPr>
        <w:t>.3%上升了</w:t>
      </w:r>
      <w:r>
        <w:rPr>
          <w:rFonts w:hint="eastAsia" w:ascii="仿宋" w:hAnsi="仿宋" w:eastAsia="仿宋"/>
          <w:sz w:val="32"/>
          <w:szCs w:val="32"/>
          <w:lang w:val="en-US" w:eastAsia="zh-CN"/>
        </w:rPr>
        <w:t>0.</w:t>
      </w:r>
      <w:r>
        <w:rPr>
          <w:rFonts w:hint="default" w:ascii="仿宋" w:hAnsi="仿宋" w:eastAsia="仿宋"/>
          <w:sz w:val="32"/>
          <w:szCs w:val="32"/>
          <w:lang w:val="en-US" w:eastAsia="zh-CN"/>
        </w:rPr>
        <w:t>1%；专业学习满意度 9</w:t>
      </w:r>
      <w:r>
        <w:rPr>
          <w:rFonts w:hint="eastAsia" w:ascii="仿宋" w:hAnsi="仿宋" w:eastAsia="仿宋"/>
          <w:sz w:val="32"/>
          <w:szCs w:val="32"/>
          <w:lang w:val="en-US" w:eastAsia="zh-CN"/>
        </w:rPr>
        <w:t>6</w:t>
      </w:r>
      <w:r>
        <w:rPr>
          <w:rFonts w:hint="default" w:ascii="仿宋" w:hAnsi="仿宋" w:eastAsia="仿宋"/>
          <w:sz w:val="32"/>
          <w:szCs w:val="32"/>
          <w:lang w:val="en-US" w:eastAsia="zh-CN"/>
        </w:rPr>
        <w:t>.0</w:t>
      </w:r>
      <w:r>
        <w:rPr>
          <w:rFonts w:hint="eastAsia" w:ascii="仿宋" w:hAnsi="仿宋" w:eastAsia="仿宋"/>
          <w:sz w:val="32"/>
          <w:szCs w:val="32"/>
          <w:lang w:val="en-US" w:eastAsia="zh-CN"/>
        </w:rPr>
        <w:t>2</w:t>
      </w:r>
      <w:r>
        <w:rPr>
          <w:rFonts w:hint="default" w:ascii="仿宋" w:hAnsi="仿宋" w:eastAsia="仿宋"/>
          <w:sz w:val="32"/>
          <w:szCs w:val="32"/>
          <w:lang w:val="en-US" w:eastAsia="zh-CN"/>
        </w:rPr>
        <w:t>%，较 202</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 年的 9</w:t>
      </w:r>
      <w:r>
        <w:rPr>
          <w:rFonts w:hint="eastAsia" w:ascii="仿宋" w:hAnsi="仿宋" w:eastAsia="仿宋"/>
          <w:sz w:val="32"/>
          <w:szCs w:val="32"/>
          <w:lang w:val="en-US" w:eastAsia="zh-CN"/>
        </w:rPr>
        <w:t>5</w:t>
      </w:r>
      <w:r>
        <w:rPr>
          <w:rFonts w:hint="default" w:ascii="仿宋" w:hAnsi="仿宋" w:eastAsia="仿宋"/>
          <w:sz w:val="32"/>
          <w:szCs w:val="32"/>
          <w:lang w:val="en-US" w:eastAsia="zh-CN"/>
        </w:rPr>
        <w:t>.0</w:t>
      </w:r>
      <w:r>
        <w:rPr>
          <w:rFonts w:hint="eastAsia" w:ascii="仿宋" w:hAnsi="仿宋" w:eastAsia="仿宋"/>
          <w:sz w:val="32"/>
          <w:szCs w:val="32"/>
          <w:lang w:val="en-US" w:eastAsia="zh-CN"/>
        </w:rPr>
        <w:t>9</w:t>
      </w:r>
      <w:r>
        <w:rPr>
          <w:rFonts w:hint="default" w:ascii="仿宋" w:hAnsi="仿宋" w:eastAsia="仿宋"/>
          <w:sz w:val="32"/>
          <w:szCs w:val="32"/>
          <w:lang w:val="en-US" w:eastAsia="zh-CN"/>
        </w:rPr>
        <w:t xml:space="preserve">%上升了 </w:t>
      </w:r>
      <w:r>
        <w:rPr>
          <w:rFonts w:hint="eastAsia" w:ascii="仿宋" w:hAnsi="仿宋" w:eastAsia="仿宋"/>
          <w:sz w:val="32"/>
          <w:szCs w:val="32"/>
          <w:lang w:val="en-US" w:eastAsia="zh-CN"/>
        </w:rPr>
        <w:t>0.93</w:t>
      </w:r>
      <w:r>
        <w:rPr>
          <w:rFonts w:hint="default" w:ascii="仿宋" w:hAnsi="仿宋" w:eastAsia="仿宋"/>
          <w:sz w:val="32"/>
          <w:szCs w:val="32"/>
          <w:lang w:val="en-US" w:eastAsia="zh-CN"/>
        </w:rPr>
        <w:t>%；实习实训满意度 98</w:t>
      </w:r>
      <w:r>
        <w:rPr>
          <w:rFonts w:hint="eastAsia" w:ascii="仿宋" w:hAnsi="仿宋" w:eastAsia="仿宋"/>
          <w:sz w:val="32"/>
          <w:szCs w:val="32"/>
          <w:lang w:val="en-US" w:eastAsia="zh-CN"/>
        </w:rPr>
        <w:t>.2</w:t>
      </w:r>
      <w:r>
        <w:rPr>
          <w:rFonts w:hint="default" w:ascii="仿宋" w:hAnsi="仿宋" w:eastAsia="仿宋"/>
          <w:sz w:val="32"/>
          <w:szCs w:val="32"/>
          <w:lang w:val="en-US" w:eastAsia="zh-CN"/>
        </w:rPr>
        <w:t>%，较 202</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 年的 </w:t>
      </w:r>
      <w:r>
        <w:rPr>
          <w:rFonts w:hint="eastAsia" w:ascii="仿宋" w:hAnsi="仿宋" w:eastAsia="仿宋"/>
          <w:sz w:val="32"/>
          <w:szCs w:val="32"/>
          <w:lang w:val="en-US" w:eastAsia="zh-CN"/>
        </w:rPr>
        <w:t>98</w:t>
      </w:r>
      <w:r>
        <w:rPr>
          <w:rFonts w:hint="default" w:ascii="仿宋" w:hAnsi="仿宋" w:eastAsia="仿宋"/>
          <w:sz w:val="32"/>
          <w:szCs w:val="32"/>
          <w:lang w:val="en-US" w:eastAsia="zh-CN"/>
        </w:rPr>
        <w:t>%上升了</w:t>
      </w:r>
      <w:r>
        <w:rPr>
          <w:rFonts w:hint="eastAsia" w:ascii="仿宋" w:hAnsi="仿宋" w:eastAsia="仿宋"/>
          <w:sz w:val="32"/>
          <w:szCs w:val="32"/>
          <w:lang w:val="en-US" w:eastAsia="zh-CN"/>
        </w:rPr>
        <w:t>0.</w:t>
      </w:r>
      <w:r>
        <w:rPr>
          <w:rFonts w:hint="default" w:ascii="仿宋" w:hAnsi="仿宋" w:eastAsia="仿宋"/>
          <w:sz w:val="32"/>
          <w:szCs w:val="32"/>
          <w:lang w:val="en-US" w:eastAsia="zh-CN"/>
        </w:rPr>
        <w:t xml:space="preserve"> 2%；校园文化与社团活动满意度96</w:t>
      </w:r>
      <w:r>
        <w:rPr>
          <w:rFonts w:hint="eastAsia" w:ascii="仿宋" w:hAnsi="仿宋" w:eastAsia="仿宋"/>
          <w:sz w:val="32"/>
          <w:szCs w:val="32"/>
          <w:lang w:val="en-US" w:eastAsia="zh-CN"/>
        </w:rPr>
        <w:t>.1</w:t>
      </w:r>
      <w:r>
        <w:rPr>
          <w:rFonts w:hint="default" w:ascii="仿宋" w:hAnsi="仿宋" w:eastAsia="仿宋"/>
          <w:sz w:val="32"/>
          <w:szCs w:val="32"/>
          <w:lang w:val="en-US" w:eastAsia="zh-CN"/>
        </w:rPr>
        <w:t>%，较202</w:t>
      </w:r>
      <w:r>
        <w:rPr>
          <w:rFonts w:hint="eastAsia" w:ascii="仿宋" w:hAnsi="仿宋" w:eastAsia="仿宋"/>
          <w:sz w:val="32"/>
          <w:szCs w:val="32"/>
          <w:lang w:val="en-US" w:eastAsia="zh-CN"/>
        </w:rPr>
        <w:t>3</w:t>
      </w:r>
      <w:r>
        <w:rPr>
          <w:rFonts w:hint="default" w:ascii="仿宋" w:hAnsi="仿宋" w:eastAsia="仿宋"/>
          <w:sz w:val="32"/>
          <w:szCs w:val="32"/>
          <w:lang w:val="en-US" w:eastAsia="zh-CN"/>
        </w:rPr>
        <w:t>年的9</w:t>
      </w:r>
      <w:r>
        <w:rPr>
          <w:rFonts w:hint="eastAsia" w:ascii="仿宋" w:hAnsi="仿宋" w:eastAsia="仿宋"/>
          <w:sz w:val="32"/>
          <w:szCs w:val="32"/>
          <w:lang w:val="en-US" w:eastAsia="zh-CN"/>
        </w:rPr>
        <w:t>6</w:t>
      </w:r>
      <w:r>
        <w:rPr>
          <w:rFonts w:hint="default" w:ascii="仿宋" w:hAnsi="仿宋" w:eastAsia="仿宋"/>
          <w:sz w:val="32"/>
          <w:szCs w:val="32"/>
          <w:lang w:val="en-US" w:eastAsia="zh-CN"/>
        </w:rPr>
        <w:t>%上升了</w:t>
      </w:r>
      <w:r>
        <w:rPr>
          <w:rFonts w:hint="eastAsia" w:ascii="仿宋" w:hAnsi="仿宋" w:eastAsia="仿宋"/>
          <w:sz w:val="32"/>
          <w:szCs w:val="32"/>
          <w:lang w:val="en-US" w:eastAsia="zh-CN"/>
        </w:rPr>
        <w:t>0.</w:t>
      </w:r>
      <w:r>
        <w:rPr>
          <w:rFonts w:hint="default" w:ascii="仿宋" w:hAnsi="仿宋" w:eastAsia="仿宋"/>
          <w:sz w:val="32"/>
          <w:szCs w:val="32"/>
          <w:lang w:val="en-US" w:eastAsia="zh-CN"/>
        </w:rPr>
        <w:t>1%；学生参与社会实践满意度93.</w:t>
      </w:r>
      <w:r>
        <w:rPr>
          <w:rFonts w:hint="eastAsia" w:ascii="仿宋" w:hAnsi="仿宋" w:eastAsia="仿宋"/>
          <w:sz w:val="32"/>
          <w:szCs w:val="32"/>
          <w:lang w:val="en-US" w:eastAsia="zh-CN"/>
        </w:rPr>
        <w:t>06</w:t>
      </w:r>
      <w:r>
        <w:rPr>
          <w:rFonts w:hint="default" w:ascii="仿宋" w:hAnsi="仿宋" w:eastAsia="仿宋"/>
          <w:sz w:val="32"/>
          <w:szCs w:val="32"/>
          <w:lang w:val="en-US" w:eastAsia="zh-CN"/>
        </w:rPr>
        <w:t>%，较 202</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 年的 9</w:t>
      </w:r>
      <w:r>
        <w:rPr>
          <w:rFonts w:hint="eastAsia" w:ascii="仿宋" w:hAnsi="仿宋" w:eastAsia="仿宋"/>
          <w:sz w:val="32"/>
          <w:szCs w:val="32"/>
          <w:lang w:val="en-US" w:eastAsia="zh-CN"/>
        </w:rPr>
        <w:t>3</w:t>
      </w:r>
      <w:r>
        <w:rPr>
          <w:rFonts w:hint="default" w:ascii="仿宋" w:hAnsi="仿宋" w:eastAsia="仿宋"/>
          <w:sz w:val="32"/>
          <w:szCs w:val="32"/>
          <w:lang w:val="en-US" w:eastAsia="zh-CN"/>
        </w:rPr>
        <w:t>.0</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%上升了 </w:t>
      </w:r>
      <w:r>
        <w:rPr>
          <w:rFonts w:hint="eastAsia" w:ascii="仿宋" w:hAnsi="仿宋" w:eastAsia="仿宋"/>
          <w:sz w:val="32"/>
          <w:szCs w:val="32"/>
          <w:lang w:val="en-US" w:eastAsia="zh-CN"/>
        </w:rPr>
        <w:t>0.</w:t>
      </w:r>
      <w:r>
        <w:rPr>
          <w:rFonts w:hint="default" w:ascii="仿宋" w:hAnsi="仿宋" w:eastAsia="仿宋"/>
          <w:sz w:val="32"/>
          <w:szCs w:val="32"/>
          <w:lang w:val="en-US" w:eastAsia="zh-CN"/>
        </w:rPr>
        <w:t>0</w:t>
      </w:r>
      <w:r>
        <w:rPr>
          <w:rFonts w:hint="eastAsia" w:ascii="仿宋" w:hAnsi="仿宋" w:eastAsia="仿宋"/>
          <w:sz w:val="32"/>
          <w:szCs w:val="32"/>
          <w:lang w:val="en-US" w:eastAsia="zh-CN"/>
        </w:rPr>
        <w:t>3</w:t>
      </w:r>
      <w:r>
        <w:rPr>
          <w:rFonts w:hint="default" w:ascii="仿宋" w:hAnsi="仿宋" w:eastAsia="仿宋"/>
          <w:sz w:val="32"/>
          <w:szCs w:val="32"/>
          <w:lang w:val="en-US" w:eastAsia="zh-CN"/>
        </w:rPr>
        <w:t>%；校园安全满意度 96.</w:t>
      </w:r>
      <w:r>
        <w:rPr>
          <w:rFonts w:hint="eastAsia" w:ascii="仿宋" w:hAnsi="仿宋" w:eastAsia="仿宋"/>
          <w:sz w:val="32"/>
          <w:szCs w:val="32"/>
          <w:lang w:val="en-US" w:eastAsia="zh-CN"/>
        </w:rPr>
        <w:t>6</w:t>
      </w:r>
      <w:r>
        <w:rPr>
          <w:rFonts w:hint="default" w:ascii="仿宋" w:hAnsi="仿宋" w:eastAsia="仿宋"/>
          <w:sz w:val="32"/>
          <w:szCs w:val="32"/>
          <w:lang w:val="en-US" w:eastAsia="zh-CN"/>
        </w:rPr>
        <w:t>%，较 202</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 年的 </w:t>
      </w:r>
      <w:r>
        <w:rPr>
          <w:rFonts w:hint="eastAsia" w:ascii="仿宋" w:hAnsi="仿宋" w:eastAsia="仿宋"/>
          <w:sz w:val="32"/>
          <w:szCs w:val="32"/>
          <w:lang w:val="en-US" w:eastAsia="zh-CN"/>
        </w:rPr>
        <w:t>96</w:t>
      </w:r>
      <w:r>
        <w:rPr>
          <w:rFonts w:hint="default" w:ascii="仿宋" w:hAnsi="仿宋" w:eastAsia="仿宋"/>
          <w:sz w:val="32"/>
          <w:szCs w:val="32"/>
          <w:lang w:val="en-US" w:eastAsia="zh-CN"/>
        </w:rPr>
        <w:t>.</w:t>
      </w:r>
      <w:r>
        <w:rPr>
          <w:rFonts w:hint="eastAsia" w:ascii="仿宋" w:hAnsi="仿宋" w:eastAsia="仿宋"/>
          <w:sz w:val="32"/>
          <w:szCs w:val="32"/>
          <w:lang w:val="en-US" w:eastAsia="zh-CN"/>
        </w:rPr>
        <w:t>4</w:t>
      </w:r>
      <w:r>
        <w:rPr>
          <w:rFonts w:hint="default" w:ascii="仿宋" w:hAnsi="仿宋" w:eastAsia="仿宋"/>
          <w:sz w:val="32"/>
          <w:szCs w:val="32"/>
          <w:lang w:val="en-US" w:eastAsia="zh-CN"/>
        </w:rPr>
        <w:t xml:space="preserve">%上升了 </w:t>
      </w:r>
      <w:r>
        <w:rPr>
          <w:rFonts w:hint="eastAsia" w:ascii="仿宋" w:hAnsi="仿宋" w:eastAsia="仿宋"/>
          <w:sz w:val="32"/>
          <w:szCs w:val="32"/>
          <w:lang w:val="en-US" w:eastAsia="zh-CN"/>
        </w:rPr>
        <w:t>0</w:t>
      </w:r>
      <w:r>
        <w:rPr>
          <w:rFonts w:hint="default" w:ascii="仿宋" w:hAnsi="仿宋" w:eastAsia="仿宋"/>
          <w:sz w:val="32"/>
          <w:szCs w:val="32"/>
          <w:lang w:val="en-US" w:eastAsia="zh-CN"/>
        </w:rPr>
        <w:t>.2%；学校招生就业办公室对毕业生进行了追踪调查，发放毕业生就业情况满意度调查问卷，毕业生对学校就业情况满意度98.0</w:t>
      </w:r>
      <w:r>
        <w:rPr>
          <w:rFonts w:hint="eastAsia" w:ascii="仿宋" w:hAnsi="仿宋" w:eastAsia="仿宋"/>
          <w:sz w:val="32"/>
          <w:szCs w:val="32"/>
          <w:lang w:val="en-US" w:eastAsia="zh-CN"/>
        </w:rPr>
        <w:t>4</w:t>
      </w:r>
      <w:r>
        <w:rPr>
          <w:rFonts w:hint="default" w:ascii="仿宋" w:hAnsi="仿宋" w:eastAsia="仿宋"/>
          <w:sz w:val="32"/>
          <w:szCs w:val="32"/>
          <w:lang w:val="en-US" w:eastAsia="zh-CN"/>
        </w:rPr>
        <w:t>%，较 202</w:t>
      </w:r>
      <w:r>
        <w:rPr>
          <w:rFonts w:hint="eastAsia" w:ascii="仿宋" w:hAnsi="仿宋" w:eastAsia="仿宋"/>
          <w:sz w:val="32"/>
          <w:szCs w:val="32"/>
          <w:lang w:val="en-US" w:eastAsia="zh-CN"/>
        </w:rPr>
        <w:t>3</w:t>
      </w:r>
      <w:r>
        <w:rPr>
          <w:rFonts w:hint="default" w:ascii="仿宋" w:hAnsi="仿宋" w:eastAsia="仿宋"/>
          <w:sz w:val="32"/>
          <w:szCs w:val="32"/>
          <w:lang w:val="en-US" w:eastAsia="zh-CN"/>
        </w:rPr>
        <w:t xml:space="preserve"> 年的 9</w:t>
      </w:r>
      <w:r>
        <w:rPr>
          <w:rFonts w:hint="eastAsia" w:ascii="仿宋" w:hAnsi="仿宋" w:eastAsia="仿宋"/>
          <w:sz w:val="32"/>
          <w:szCs w:val="32"/>
          <w:lang w:val="en-US" w:eastAsia="zh-CN"/>
        </w:rPr>
        <w:t>8.01</w:t>
      </w:r>
      <w:r>
        <w:rPr>
          <w:rFonts w:hint="default" w:ascii="仿宋" w:hAnsi="仿宋" w:eastAsia="仿宋"/>
          <w:sz w:val="32"/>
          <w:szCs w:val="32"/>
          <w:lang w:val="en-US" w:eastAsia="zh-CN"/>
        </w:rPr>
        <w:t xml:space="preserve">%上升了 </w:t>
      </w:r>
      <w:r>
        <w:rPr>
          <w:rFonts w:hint="eastAsia" w:ascii="仿宋" w:hAnsi="仿宋" w:eastAsia="仿宋"/>
          <w:sz w:val="32"/>
          <w:szCs w:val="32"/>
          <w:lang w:val="en-US" w:eastAsia="zh-CN"/>
        </w:rPr>
        <w:t>0</w:t>
      </w:r>
      <w:r>
        <w:rPr>
          <w:rFonts w:hint="default" w:ascii="仿宋" w:hAnsi="仿宋" w:eastAsia="仿宋"/>
          <w:sz w:val="32"/>
          <w:szCs w:val="32"/>
          <w:lang w:val="en-US" w:eastAsia="zh-CN"/>
        </w:rPr>
        <w:t>.0</w:t>
      </w:r>
      <w:r>
        <w:rPr>
          <w:rFonts w:hint="eastAsia" w:ascii="仿宋" w:hAnsi="仿宋" w:eastAsia="仿宋"/>
          <w:sz w:val="32"/>
          <w:szCs w:val="32"/>
          <w:lang w:val="en-US" w:eastAsia="zh-CN"/>
        </w:rPr>
        <w:t>3</w:t>
      </w:r>
      <w:r>
        <w:rPr>
          <w:rFonts w:hint="default" w:ascii="仿宋" w:hAnsi="仿宋" w:eastAsia="仿宋"/>
          <w:sz w:val="32"/>
          <w:szCs w:val="32"/>
          <w:lang w:val="en-US" w:eastAsia="zh-CN"/>
        </w:rPr>
        <w:t>%。</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56" w:name="_Toc29461"/>
      <w:bookmarkStart w:id="57" w:name="_Toc7931"/>
      <w:r>
        <w:rPr>
          <w:rFonts w:hint="eastAsia" w:eastAsia="楷体_GB2312" w:asciiTheme="majorHAnsi" w:hAnsiTheme="majorHAnsi" w:cstheme="majorBidi"/>
          <w:b/>
          <w:bCs/>
          <w:kern w:val="2"/>
          <w:sz w:val="32"/>
          <w:szCs w:val="32"/>
          <w:lang w:val="en-US" w:eastAsia="zh-CN" w:bidi="ar-SA"/>
        </w:rPr>
        <w:t>2.1.4就业质量</w:t>
      </w:r>
      <w:bookmarkEnd w:id="56"/>
      <w:bookmarkEnd w:id="57"/>
    </w:p>
    <w:p>
      <w:pPr>
        <w:pStyle w:val="3"/>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left="5" w:right="2" w:firstLine="646" w:firstLineChars="202"/>
        <w:textAlignment w:val="auto"/>
        <w:rPr>
          <w:rFonts w:hint="eastAsia" w:eastAsia="仿宋"/>
          <w:lang w:eastAsia="zh-CN"/>
        </w:rPr>
      </w:pPr>
      <w:r>
        <w:rPr>
          <w:rFonts w:hint="eastAsia" w:ascii="仿宋" w:hAnsi="仿宋" w:eastAsia="仿宋"/>
          <w:sz w:val="32"/>
          <w:szCs w:val="32"/>
        </w:rPr>
        <w:t>今年</w:t>
      </w:r>
      <w:r>
        <w:rPr>
          <w:rFonts w:hint="eastAsia" w:ascii="仿宋" w:hAnsi="仿宋" w:eastAsia="仿宋"/>
          <w:sz w:val="32"/>
          <w:szCs w:val="32"/>
          <w:lang w:eastAsia="zh-CN"/>
        </w:rPr>
        <w:t>塔城地区乌苏职业技术学校</w:t>
      </w:r>
      <w:r>
        <w:rPr>
          <w:rFonts w:hint="eastAsia" w:ascii="仿宋" w:hAnsi="仿宋" w:eastAsia="仿宋"/>
          <w:sz w:val="32"/>
          <w:szCs w:val="32"/>
        </w:rPr>
        <w:t>毕业生总数217人，其中110人直接就业，3人生病在家未就业</w:t>
      </w:r>
      <w:r>
        <w:rPr>
          <w:rFonts w:hint="eastAsia"/>
          <w:sz w:val="32"/>
          <w:szCs w:val="32"/>
          <w:lang w:eastAsia="zh-CN"/>
        </w:rPr>
        <w:t>；</w:t>
      </w:r>
      <w:r>
        <w:rPr>
          <w:rFonts w:hint="eastAsia" w:ascii="仿宋" w:hAnsi="仿宋" w:eastAsia="仿宋"/>
          <w:sz w:val="32"/>
          <w:szCs w:val="32"/>
        </w:rPr>
        <w:t>104人升学，0人参军，0人创业</w:t>
      </w:r>
      <w:r>
        <w:rPr>
          <w:rFonts w:hint="eastAsia"/>
          <w:sz w:val="32"/>
          <w:szCs w:val="32"/>
          <w:lang w:eastAsia="zh-CN"/>
        </w:rPr>
        <w:t>；</w:t>
      </w:r>
      <w:r>
        <w:rPr>
          <w:rFonts w:hint="eastAsia" w:ascii="仿宋" w:hAnsi="仿宋" w:eastAsia="仿宋"/>
          <w:sz w:val="32"/>
          <w:szCs w:val="32"/>
        </w:rPr>
        <w:t>3人因病在家休息，就业率达98.6%。</w:t>
      </w:r>
    </w:p>
    <w:p>
      <w:pPr>
        <w:pStyle w:val="3"/>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6" w:firstLineChars="202"/>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2024年毕业生当中110人直接就业，3人生病在家未就业，其中89名毕业生签订就业协议和合同就业、21名毕业生选择灵活就业；104名毕业生升入大专院校，其中通过直升专升学的人数为47人，通过三校生高考的人数为60人，见表二。</w:t>
      </w:r>
    </w:p>
    <w:p>
      <w:pPr>
        <w:pStyle w:val="3"/>
        <w:pageBreakBefore w:val="0"/>
        <w:kinsoku/>
        <w:wordWrap/>
        <w:overflowPunct/>
        <w:topLinePunct w:val="0"/>
        <w:bidi w:val="0"/>
        <w:spacing w:beforeAutospacing="0" w:after="0" w:afterAutospacing="0" w:line="560" w:lineRule="exact"/>
        <w:ind w:left="3518" w:leftChars="304" w:hanging="2880" w:hangingChars="900"/>
        <w:jc w:val="center"/>
        <w:rPr>
          <w:rStyle w:val="25"/>
          <w:rFonts w:hint="default"/>
          <w:lang w:val="en-US" w:eastAsia="zh-CN"/>
        </w:rPr>
      </w:pPr>
      <w:r>
        <w:rPr>
          <w:rFonts w:hint="eastAsia" w:ascii="仿宋" w:hAnsi="仿宋" w:eastAsia="仿宋"/>
          <w:sz w:val="32"/>
          <w:szCs w:val="32"/>
          <w:lang w:val="en-US" w:eastAsia="zh-CN"/>
        </w:rPr>
        <w:drawing>
          <wp:anchor distT="0" distB="0" distL="114300" distR="114300" simplePos="0" relativeHeight="251678720" behindDoc="0" locked="0" layoutInCell="1" allowOverlap="1">
            <wp:simplePos x="0" y="0"/>
            <wp:positionH relativeFrom="column">
              <wp:posOffset>121920</wp:posOffset>
            </wp:positionH>
            <wp:positionV relativeFrom="paragraph">
              <wp:posOffset>72390</wp:posOffset>
            </wp:positionV>
            <wp:extent cx="6000750" cy="3013075"/>
            <wp:effectExtent l="4445" t="4445" r="14605" b="15240"/>
            <wp:wrapTopAndBottom/>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Start w:id="58" w:name="_Toc26501"/>
      <w:bookmarkStart w:id="59" w:name="_Toc22158"/>
      <w:r>
        <w:rPr>
          <w:rStyle w:val="25"/>
          <w:rFonts w:hint="eastAsia"/>
          <w:lang w:val="en-US" w:eastAsia="zh-CN"/>
        </w:rPr>
        <w:t>表二 毕业生去向分布</w:t>
      </w:r>
    </w:p>
    <w:bookmarkEnd w:id="58"/>
    <w:bookmarkEnd w:id="59"/>
    <w:p>
      <w:pPr>
        <w:pStyle w:val="3"/>
        <w:pageBreakBefore w:val="0"/>
        <w:kinsoku/>
        <w:wordWrap/>
        <w:overflowPunct/>
        <w:topLinePunct w:val="0"/>
        <w:bidi w:val="0"/>
        <w:spacing w:beforeAutospacing="0" w:after="0" w:afterAutospacing="0" w:line="560" w:lineRule="exact"/>
        <w:ind w:firstLine="662" w:firstLineChars="207"/>
        <w:rPr>
          <w:rFonts w:hint="eastAsia"/>
          <w:sz w:val="32"/>
          <w:szCs w:val="32"/>
          <w:lang w:eastAsia="zh-CN"/>
        </w:rPr>
      </w:pPr>
      <w:r>
        <w:rPr>
          <w:rFonts w:hint="eastAsia"/>
          <w:sz w:val="32"/>
          <w:szCs w:val="32"/>
          <w:lang w:val="en-US" w:eastAsia="zh-CN"/>
        </w:rPr>
        <w:drawing>
          <wp:anchor distT="0" distB="0" distL="114300" distR="114300" simplePos="0" relativeHeight="251679744" behindDoc="0" locked="0" layoutInCell="1" allowOverlap="1">
            <wp:simplePos x="0" y="0"/>
            <wp:positionH relativeFrom="column">
              <wp:posOffset>156845</wp:posOffset>
            </wp:positionH>
            <wp:positionV relativeFrom="paragraph">
              <wp:posOffset>2246630</wp:posOffset>
            </wp:positionV>
            <wp:extent cx="5610225" cy="1493520"/>
            <wp:effectExtent l="4445" t="4445" r="8890" b="10795"/>
            <wp:wrapTopAndBottom/>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 w:hAnsi="仿宋" w:eastAsia="仿宋"/>
          <w:sz w:val="32"/>
          <w:szCs w:val="32"/>
          <w:lang w:val="en-US" w:eastAsia="zh-CN"/>
        </w:rPr>
        <w:t>毕业生就业人数为110人，占毕业生总数的50.7%。</w:t>
      </w:r>
      <w:r>
        <w:rPr>
          <w:rFonts w:hint="eastAsia" w:ascii="仿宋" w:hAnsi="仿宋" w:eastAsia="仿宋" w:cs="仿宋"/>
          <w:snapToGrid w:val="0"/>
          <w:color w:val="000000"/>
          <w:spacing w:val="5"/>
          <w:kern w:val="0"/>
          <w:sz w:val="31"/>
          <w:szCs w:val="31"/>
          <w:lang w:val="en-US" w:eastAsia="zh-CN" w:bidi="ar-SA"/>
        </w:rPr>
        <w:t>2024年</w:t>
      </w:r>
      <w:r>
        <w:rPr>
          <w:rFonts w:hint="eastAsia" w:ascii="仿宋" w:hAnsi="仿宋" w:eastAsia="仿宋" w:cs="仿宋"/>
          <w:snapToGrid w:val="0"/>
          <w:color w:val="000000"/>
          <w:spacing w:val="5"/>
          <w:kern w:val="0"/>
          <w:sz w:val="31"/>
          <w:szCs w:val="31"/>
          <w:lang w:val="en-US" w:eastAsia="en-US" w:bidi="ar-SA"/>
        </w:rPr>
        <w:t>毕业生直接就业月收入平均</w:t>
      </w:r>
      <w:r>
        <w:rPr>
          <w:rFonts w:hint="eastAsia" w:ascii="仿宋" w:hAnsi="仿宋" w:eastAsia="仿宋" w:cs="仿宋"/>
          <w:snapToGrid w:val="0"/>
          <w:color w:val="000000"/>
          <w:spacing w:val="5"/>
          <w:kern w:val="0"/>
          <w:sz w:val="31"/>
          <w:szCs w:val="31"/>
          <w:lang w:val="en-US" w:eastAsia="zh-CN" w:bidi="ar-SA"/>
        </w:rPr>
        <w:t>工资为3528元。</w:t>
      </w:r>
      <w:r>
        <w:rPr>
          <w:rFonts w:hint="eastAsia" w:ascii="仿宋" w:hAnsi="仿宋" w:eastAsia="仿宋"/>
          <w:sz w:val="32"/>
          <w:szCs w:val="32"/>
        </w:rPr>
        <w:t>毕业生就业主要集中在汽修、广告设计、酒店服务、基层机关、事业单位等第三产业各领域，第三产业各领域就业人数为66人，占全部就业人数的60%；第二产业加工制造领域就业人数为40人，占比为36.3%；第一产业农林牧渔领域就业人数为4</w:t>
      </w:r>
      <w:r>
        <w:rPr>
          <w:rFonts w:hint="eastAsia" w:ascii="仿宋" w:hAnsi="仿宋" w:eastAsia="仿宋"/>
          <w:sz w:val="32"/>
          <w:szCs w:val="32"/>
          <w:lang w:val="en-US" w:eastAsia="zh-CN"/>
        </w:rPr>
        <w:t>人，</w:t>
      </w:r>
      <w:r>
        <w:rPr>
          <w:rFonts w:hint="eastAsia" w:ascii="仿宋" w:hAnsi="仿宋" w:eastAsia="仿宋"/>
          <w:sz w:val="32"/>
          <w:szCs w:val="32"/>
        </w:rPr>
        <w:t>占比为3.7%</w:t>
      </w:r>
      <w:r>
        <w:rPr>
          <w:rFonts w:hint="eastAsia" w:ascii="仿宋" w:hAnsi="仿宋" w:eastAsia="仿宋"/>
          <w:sz w:val="32"/>
          <w:szCs w:val="32"/>
          <w:lang w:eastAsia="zh-CN"/>
        </w:rPr>
        <w:t>，</w:t>
      </w:r>
      <w:r>
        <w:rPr>
          <w:rFonts w:hint="eastAsia" w:ascii="仿宋" w:hAnsi="仿宋" w:eastAsia="仿宋"/>
          <w:sz w:val="32"/>
          <w:szCs w:val="32"/>
          <w:lang w:val="en-US" w:eastAsia="zh-CN"/>
        </w:rPr>
        <w:t>见表三</w:t>
      </w:r>
      <w:r>
        <w:rPr>
          <w:rFonts w:hint="eastAsia"/>
          <w:sz w:val="32"/>
          <w:szCs w:val="32"/>
          <w:lang w:eastAsia="zh-CN"/>
        </w:rPr>
        <w:t>。</w:t>
      </w:r>
      <w:bookmarkStart w:id="60" w:name="_Toc17157"/>
      <w:bookmarkStart w:id="61" w:name="_Toc31250"/>
    </w:p>
    <w:p>
      <w:pPr>
        <w:pStyle w:val="3"/>
        <w:pageBreakBefore w:val="0"/>
        <w:kinsoku/>
        <w:wordWrap/>
        <w:overflowPunct/>
        <w:topLinePunct w:val="0"/>
        <w:bidi w:val="0"/>
        <w:spacing w:beforeAutospacing="0" w:after="0" w:afterAutospacing="0" w:line="560" w:lineRule="exact"/>
        <w:ind w:left="3518" w:leftChars="304" w:hanging="2880" w:hangingChars="900"/>
        <w:jc w:val="center"/>
        <w:rPr>
          <w:rStyle w:val="25"/>
          <w:rFonts w:hint="eastAsia"/>
          <w:lang w:val="en-US" w:eastAsia="zh-CN"/>
        </w:rPr>
      </w:pPr>
      <w:bookmarkStart w:id="62" w:name="_Toc8598"/>
      <w:bookmarkStart w:id="63" w:name="_Toc3952"/>
      <w:r>
        <w:rPr>
          <w:rStyle w:val="25"/>
          <w:rFonts w:hint="eastAsia"/>
          <w:lang w:val="en-US" w:eastAsia="zh-CN"/>
        </w:rPr>
        <w:t>表三 学生就业领域</w:t>
      </w:r>
      <w:bookmarkEnd w:id="60"/>
      <w:bookmarkEnd w:id="61"/>
    </w:p>
    <w:bookmarkEnd w:id="62"/>
    <w:bookmarkEnd w:id="63"/>
    <w:p>
      <w:pPr>
        <w:pStyle w:val="3"/>
        <w:pageBreakBefore w:val="0"/>
        <w:kinsoku/>
        <w:wordWrap/>
        <w:overflowPunct/>
        <w:topLinePunct w:val="0"/>
        <w:bidi w:val="0"/>
        <w:spacing w:beforeAutospacing="0" w:after="0" w:afterAutospacing="0" w:line="560" w:lineRule="exact"/>
        <w:ind w:left="313" w:leftChars="149" w:firstLine="954" w:firstLineChars="297"/>
        <w:jc w:val="both"/>
        <w:rPr>
          <w:rFonts w:hint="eastAsia" w:ascii="仿宋" w:hAnsi="仿宋" w:eastAsia="仿宋"/>
          <w:sz w:val="32"/>
          <w:szCs w:val="32"/>
          <w:lang w:val="en-US" w:eastAsia="zh-CN"/>
        </w:rPr>
      </w:pPr>
      <w:r>
        <w:rPr>
          <w:rFonts w:hint="eastAsia" w:ascii="仿宋" w:hAnsi="仿宋" w:eastAsia="仿宋"/>
          <w:b/>
          <w:bCs/>
          <w:sz w:val="32"/>
          <w:szCs w:val="32"/>
          <w:lang w:val="en-US" w:eastAsia="zh-CN"/>
        </w:rPr>
        <w:t>2</w:t>
      </w:r>
      <w:r>
        <w:rPr>
          <w:rFonts w:hint="eastAsia" w:ascii="仿宋" w:hAnsi="仿宋" w:eastAsia="仿宋"/>
          <w:sz w:val="32"/>
          <w:szCs w:val="32"/>
          <w:lang w:val="en-US" w:eastAsia="zh-CN"/>
        </w:rPr>
        <w:t>024届毕业生选择进企业以及机关单位上班，无创业典型</w:t>
      </w:r>
      <w:r>
        <w:rPr>
          <w:rFonts w:hint="eastAsia" w:ascii="仿宋" w:hAnsi="仿宋" w:eastAsia="仿宋"/>
          <w:sz w:val="32"/>
          <w:szCs w:val="32"/>
        </w:rPr>
        <w:t>。</w:t>
      </w:r>
      <w:r>
        <w:rPr>
          <w:rFonts w:hint="eastAsia" w:ascii="仿宋" w:hAnsi="仿宋" w:eastAsia="仿宋"/>
          <w:sz w:val="32"/>
          <w:szCs w:val="32"/>
          <w:lang w:val="en-US" w:eastAsia="zh-CN"/>
        </w:rPr>
        <w:t>2021</w:t>
      </w:r>
      <w:r>
        <w:rPr>
          <w:rFonts w:hint="eastAsia" w:ascii="仿宋_GB2312" w:hAnsi="Calibri" w:eastAsia="仿宋_GB2312" w:cs="Times New Roman"/>
          <w:color w:val="auto"/>
          <w:kern w:val="2"/>
          <w:sz w:val="32"/>
          <w:szCs w:val="32"/>
          <w:highlight w:val="none"/>
          <w:lang w:val="en-US" w:eastAsia="zh-CN" w:bidi="ar-SA"/>
        </w:rPr>
        <w:t>届中职毕业生共有331人，其中2人因病休学，实际毕业329人，（另有技工98人，中式烹饪），其中机电技术应用68人，焊接技术应用14人，汽车运用与维修113人，数控技术应用19人，计算机平面设计106人（其中2人因病休学），电气运行与控制11人；其中通过电话走访的方式得知，机电技术应用、焊接技术应用、数控技术应用的毕业生晋升空间较大，从最初的顶岗实习岗位，被师傅带着学带着做，到如今正式签订就业合同，享受着五险的待遇，其人数占比约为16.38%。</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64" w:name="_Toc21421"/>
      <w:bookmarkStart w:id="65" w:name="_Toc13192"/>
      <w:r>
        <w:rPr>
          <w:rFonts w:hint="eastAsia" w:eastAsia="楷体_GB2312" w:asciiTheme="majorHAnsi" w:hAnsiTheme="majorHAnsi" w:cstheme="majorBidi"/>
          <w:b/>
          <w:bCs/>
          <w:kern w:val="2"/>
          <w:sz w:val="32"/>
          <w:szCs w:val="32"/>
          <w:lang w:val="en-US" w:eastAsia="zh-CN" w:bidi="ar-SA"/>
        </w:rPr>
        <w:t>2.1.5创新创业</w:t>
      </w:r>
      <w:bookmarkEnd w:id="64"/>
      <w:bookmarkEnd w:id="65"/>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rPr>
      </w:pPr>
      <w:r>
        <w:rPr>
          <w:rFonts w:hint="eastAsia" w:ascii="仿宋_GB2312" w:hAnsi="Calibri" w:eastAsia="仿宋_GB2312" w:cs="Times New Roman"/>
          <w:color w:val="auto"/>
          <w:sz w:val="32"/>
          <w:szCs w:val="32"/>
          <w:highlight w:val="none"/>
          <w:lang w:val="en-US" w:eastAsia="zh-CN"/>
        </w:rPr>
        <w:t>2024年根据学校统一安排，由思政教研团队具体负责</w:t>
      </w:r>
      <w:r>
        <w:rPr>
          <w:rFonts w:hint="eastAsia" w:ascii="仿宋_GB2312" w:hAnsi="Calibri" w:eastAsia="仿宋_GB2312" w:cs="Times New Roman"/>
          <w:color w:val="auto"/>
          <w:sz w:val="32"/>
          <w:szCs w:val="32"/>
          <w:highlight w:val="none"/>
        </w:rPr>
        <w:t>落实创新创业政策</w:t>
      </w:r>
      <w:r>
        <w:rPr>
          <w:rFonts w:hint="eastAsia" w:ascii="仿宋_GB2312" w:hAnsi="Calibri" w:eastAsia="仿宋_GB2312" w:cs="Times New Roman"/>
          <w:color w:val="auto"/>
          <w:sz w:val="32"/>
          <w:szCs w:val="32"/>
          <w:highlight w:val="none"/>
          <w:lang w:eastAsia="zh-CN"/>
        </w:rPr>
        <w:t>，</w:t>
      </w:r>
      <w:r>
        <w:rPr>
          <w:rFonts w:hint="eastAsia" w:ascii="仿宋_GB2312" w:hAnsi="Calibri" w:eastAsia="仿宋_GB2312" w:cs="Times New Roman"/>
          <w:color w:val="auto"/>
          <w:sz w:val="32"/>
          <w:szCs w:val="32"/>
          <w:highlight w:val="none"/>
          <w:lang w:val="en-US" w:eastAsia="zh-CN"/>
        </w:rPr>
        <w:t>思政教研团队教师培训学生进行设计创新创业项目设计。</w:t>
      </w:r>
    </w:p>
    <w:p>
      <w:pPr>
        <w:pStyle w:val="2"/>
        <w:pageBreakBefore w:val="0"/>
        <w:kinsoku/>
        <w:wordWrap/>
        <w:overflowPunct/>
        <w:topLinePunct w:val="0"/>
        <w:bidi w:val="0"/>
        <w:spacing w:beforeAutospacing="0" w:after="0" w:afterAutospacing="0" w:line="560" w:lineRule="exact"/>
        <w:ind w:firstLine="643" w:firstLineChars="200"/>
        <w:outlineLvl w:val="9"/>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b/>
          <w:bCs/>
          <w:kern w:val="2"/>
          <w:sz w:val="32"/>
          <w:szCs w:val="32"/>
          <w:lang w:val="en-US" w:eastAsia="zh-CN" w:bidi="ar-SA"/>
        </w:rPr>
        <w:t>一是</w:t>
      </w:r>
      <w:r>
        <w:rPr>
          <w:rFonts w:hint="eastAsia" w:ascii="仿宋_GB2312" w:hAnsi="Calibri" w:eastAsia="仿宋_GB2312" w:cs="Times New Roman"/>
          <w:kern w:val="2"/>
          <w:sz w:val="32"/>
          <w:szCs w:val="32"/>
          <w:lang w:val="en-US" w:eastAsia="zh-CN" w:bidi="ar-SA"/>
        </w:rPr>
        <w:t>制定和完善创新创业政策。2024年学校应积极响应国家关于创新创业的政策号召，结合学校实际情况，制定和完善本校的创新创业政策。这些政策应明确创新创业教育的目标、任务、措施和保障等，为师生提供清晰的指导和支持。</w:t>
      </w:r>
    </w:p>
    <w:p>
      <w:pPr>
        <w:pStyle w:val="2"/>
        <w:pageBreakBefore w:val="0"/>
        <w:kinsoku/>
        <w:wordWrap/>
        <w:overflowPunct/>
        <w:topLinePunct w:val="0"/>
        <w:bidi w:val="0"/>
        <w:spacing w:beforeAutospacing="0" w:after="0" w:afterAutospacing="0" w:line="560" w:lineRule="exact"/>
        <w:ind w:firstLine="643" w:firstLineChars="200"/>
        <w:outlineLvl w:val="9"/>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b/>
          <w:bCs/>
          <w:kern w:val="2"/>
          <w:sz w:val="32"/>
          <w:szCs w:val="32"/>
          <w:lang w:val="en-US" w:eastAsia="zh-CN" w:bidi="ar-SA"/>
        </w:rPr>
        <w:t>二是</w:t>
      </w:r>
      <w:r>
        <w:rPr>
          <w:rFonts w:hint="eastAsia" w:ascii="仿宋_GB2312" w:hAnsi="Calibri" w:eastAsia="仿宋_GB2312" w:cs="Times New Roman"/>
          <w:kern w:val="2"/>
          <w:sz w:val="32"/>
          <w:szCs w:val="32"/>
          <w:lang w:val="en-US" w:eastAsia="zh-CN" w:bidi="ar-SA"/>
        </w:rPr>
        <w:t>加强创新创业教育。优化课程体系：学校应构建以创新创业为导向的课程体系，将创新创业教育融入专业教学全过程。通过在课程中融入创新创业案例、商业计划书撰写等内容，提升了学生的创新创业意识和能力。</w:t>
      </w:r>
    </w:p>
    <w:p>
      <w:pPr>
        <w:pStyle w:val="2"/>
        <w:pageBreakBefore w:val="0"/>
        <w:kinsoku/>
        <w:wordWrap/>
        <w:overflowPunct/>
        <w:topLinePunct w:val="0"/>
        <w:bidi w:val="0"/>
        <w:spacing w:beforeAutospacing="0" w:after="0" w:afterAutospacing="0" w:line="560" w:lineRule="exact"/>
        <w:ind w:firstLine="643" w:firstLineChars="200"/>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b/>
          <w:bCs/>
          <w:kern w:val="2"/>
          <w:sz w:val="32"/>
          <w:szCs w:val="32"/>
          <w:lang w:val="en-US" w:eastAsia="zh-CN" w:bidi="ar-SA"/>
        </w:rPr>
        <w:t>三是</w:t>
      </w:r>
      <w:r>
        <w:rPr>
          <w:rFonts w:hint="eastAsia" w:ascii="仿宋_GB2312" w:hAnsi="Calibri" w:eastAsia="仿宋_GB2312" w:cs="Times New Roman"/>
          <w:kern w:val="2"/>
          <w:sz w:val="32"/>
          <w:szCs w:val="32"/>
          <w:lang w:val="en-US" w:eastAsia="zh-CN" w:bidi="ar-SA"/>
        </w:rPr>
        <w:t>强化师资培训。加强创新创业师资队伍建设，通过培训、引进等方式，提升教师的创新创业教学能力和实践经验。同时，鼓励教师参与企业实践、创业项目指导等活动，提高教师的实践指导能力。</w:t>
      </w:r>
    </w:p>
    <w:p>
      <w:pPr>
        <w:pageBreakBefore w:val="0"/>
        <w:kinsoku/>
        <w:wordWrap/>
        <w:overflowPunct/>
        <w:topLinePunct w:val="0"/>
        <w:bidi w:val="0"/>
        <w:spacing w:beforeAutospacing="0" w:afterAutospacing="0" w:line="560" w:lineRule="exact"/>
        <w:rPr>
          <w:rFonts w:hint="eastAsia" w:ascii="华文楷体" w:hAnsi="华文楷体" w:eastAsia="华文楷体" w:cs="华文楷体"/>
          <w:kern w:val="2"/>
          <w:sz w:val="32"/>
          <w:szCs w:val="32"/>
          <w:lang w:val="en-US" w:eastAsia="zh-CN" w:bidi="ar-SA"/>
        </w:rPr>
      </w:pPr>
      <w:r>
        <w:rPr>
          <w:rFonts w:hint="eastAsia" w:ascii="华文楷体" w:hAnsi="华文楷体" w:eastAsia="华文楷体" w:cs="华文楷体"/>
          <w:kern w:val="2"/>
          <w:sz w:val="32"/>
          <w:szCs w:val="32"/>
          <w:lang w:val="en-US" w:eastAsia="zh-CN" w:bidi="ar-SA"/>
        </w:rPr>
        <w:t xml:space="preserve">    </w:t>
      </w:r>
      <w:r>
        <w:rPr>
          <w:rFonts w:hint="eastAsia" w:ascii="仿宋_GB2312" w:hAnsi="Calibri" w:eastAsia="仿宋_GB2312" w:cs="Times New Roman"/>
          <w:kern w:val="2"/>
          <w:sz w:val="32"/>
          <w:szCs w:val="32"/>
          <w:lang w:val="en-US" w:eastAsia="zh-CN" w:bidi="ar-SA"/>
        </w:rPr>
        <w:t>为帮助学生在创新创业领域取得更好的成绩，学校根据学生所学专业及社会需求有针对性开展了4项创新创业项目设计培训，助力提升学生的创新创业意识。学校教师从项目选题指导、市场调研方法、商业模式构建、团队组建与管理、风险评估与控制、路演技巧培训等方面进行了培训，通过成功案例分享为学生提供宝贵的经验和启示。</w:t>
      </w:r>
    </w:p>
    <w:p>
      <w:pPr>
        <w:pageBreakBefore w:val="0"/>
        <w:kinsoku/>
        <w:wordWrap/>
        <w:overflowPunct/>
        <w:topLinePunct w:val="0"/>
        <w:bidi w:val="0"/>
        <w:spacing w:beforeAutospacing="0" w:afterAutospacing="0" w:line="560" w:lineRule="exact"/>
        <w:ind w:firstLine="643" w:firstLineChars="200"/>
        <w:rPr>
          <w:rFonts w:hint="eastAsia" w:ascii="仿宋_GB2312" w:hAnsi="Calibri" w:eastAsia="仿宋_GB2312" w:cs="Times New Roman"/>
          <w:b/>
          <w:bCs/>
          <w:kern w:val="2"/>
          <w:sz w:val="32"/>
          <w:szCs w:val="32"/>
          <w:lang w:val="en-US" w:eastAsia="zh-CN" w:bidi="ar-SA"/>
        </w:rPr>
      </w:pPr>
      <w:bookmarkStart w:id="66" w:name="_Toc12961"/>
      <w:bookmarkStart w:id="67" w:name="_Toc1017"/>
      <w:r>
        <w:rPr>
          <w:rFonts w:hint="eastAsia" w:ascii="仿宋_GB2312" w:hAnsi="Calibri" w:eastAsia="仿宋_GB2312" w:cs="Times New Roman"/>
          <w:b/>
          <w:bCs/>
          <w:kern w:val="2"/>
          <w:sz w:val="32"/>
          <w:szCs w:val="32"/>
          <w:lang w:val="en-US" w:eastAsia="zh-CN" w:bidi="ar-SA"/>
        </w:rPr>
        <w:t>【案例二】</w:t>
      </w:r>
      <w:bookmarkEnd w:id="66"/>
      <w:bookmarkEnd w:id="67"/>
      <w:r>
        <w:rPr>
          <w:rFonts w:hint="eastAsia" w:ascii="仿宋_GB2312" w:hAnsi="Calibri" w:eastAsia="仿宋_GB2312" w:cs="Times New Roman"/>
          <w:b/>
          <w:bCs/>
          <w:kern w:val="2"/>
          <w:sz w:val="32"/>
          <w:szCs w:val="32"/>
          <w:lang w:val="en-US" w:eastAsia="zh-CN" w:bidi="ar-SA"/>
        </w:rPr>
        <w:t>疆耀可再生能源站</w:t>
      </w:r>
    </w:p>
    <w:p>
      <w:pPr>
        <w:pageBreakBefore w:val="0"/>
        <w:kinsoku/>
        <w:wordWrap/>
        <w:overflowPunct/>
        <w:topLinePunct w:val="0"/>
        <w:bidi w:val="0"/>
        <w:spacing w:beforeAutospacing="0" w:afterAutospacing="0" w:line="560" w:lineRule="exact"/>
        <w:ind w:firstLine="640" w:firstLineChars="200"/>
        <w:rPr>
          <w:rFonts w:hint="eastAsia" w:ascii="仿宋_GB2312" w:hAnsi="Calibri" w:eastAsia="仿宋_GB2312" w:cs="Times New Roman"/>
          <w:b w:val="0"/>
          <w:bCs w:val="0"/>
          <w:kern w:val="2"/>
          <w:sz w:val="32"/>
          <w:szCs w:val="32"/>
          <w:lang w:val="en-US" w:eastAsia="zh-CN" w:bidi="ar-SA"/>
        </w:rPr>
      </w:pPr>
      <w:r>
        <w:rPr>
          <w:rFonts w:hint="eastAsia" w:ascii="仿宋_GB2312" w:hAnsi="Calibri" w:eastAsia="仿宋_GB2312" w:cs="Times New Roman"/>
          <w:b w:val="0"/>
          <w:bCs w:val="0"/>
          <w:kern w:val="2"/>
          <w:sz w:val="32"/>
          <w:szCs w:val="32"/>
          <w:lang w:val="en-US" w:eastAsia="zh-CN" w:bidi="ar-SA"/>
        </w:rPr>
        <w:t>王译博同学设计的疆耀可再生能源站注重研发自发电充电技术，以可再生能源为源，融入光伏发电和风力发电，拥有智能能源管理系统等诸多创新点。其旨在为新疆高速公路、国道及偏远地区提供强力支持，解决当地电力外送难、充电站少且成本高的问题。同时，在与新能源汽车协同创新、充电网络构建、运营决策、环保材料应用、监控维护及能源共享模式等方面表现卓越。通过应用该技术，将助力新疆这些地区实现更便捷、高效、可持续的能源供应，促进发展，提升生活品质。</w:t>
      </w:r>
    </w:p>
    <w:p>
      <w:pPr>
        <w:pageBreakBefore w:val="0"/>
        <w:kinsoku/>
        <w:wordWrap/>
        <w:overflowPunct/>
        <w:topLinePunct w:val="0"/>
        <w:bidi w:val="0"/>
        <w:spacing w:beforeAutospacing="0" w:afterAutospacing="0" w:line="560" w:lineRule="exact"/>
        <w:ind w:firstLine="643" w:firstLineChars="200"/>
        <w:rPr>
          <w:rFonts w:hint="eastAsia" w:ascii="仿宋_GB2312" w:hAnsi="Calibri" w:eastAsia="仿宋_GB2312" w:cs="Times New Roman"/>
          <w:b/>
          <w:bCs/>
          <w:kern w:val="2"/>
          <w:sz w:val="32"/>
          <w:szCs w:val="32"/>
          <w:lang w:val="en-US" w:eastAsia="zh-CN" w:bidi="ar-SA"/>
        </w:rPr>
      </w:pPr>
      <w:r>
        <w:rPr>
          <w:rFonts w:hint="eastAsia" w:ascii="仿宋_GB2312" w:hAnsi="Calibri" w:eastAsia="仿宋_GB2312" w:cs="Times New Roman"/>
          <w:b/>
          <w:bCs/>
          <w:kern w:val="2"/>
          <w:sz w:val="32"/>
          <w:szCs w:val="32"/>
          <w:lang w:val="en-US" w:eastAsia="zh-CN" w:bidi="ar-SA"/>
        </w:rPr>
        <w:t>【案例三】宜居养老----老来乐</w:t>
      </w:r>
    </w:p>
    <w:p>
      <w:pPr>
        <w:pageBreakBefore w:val="0"/>
        <w:kinsoku/>
        <w:wordWrap/>
        <w:overflowPunct/>
        <w:topLinePunct w:val="0"/>
        <w:bidi w:val="0"/>
        <w:spacing w:beforeAutospacing="0" w:afterAutospacing="0" w:line="560" w:lineRule="exact"/>
        <w:ind w:firstLine="640" w:firstLineChars="200"/>
        <w:rPr>
          <w:rFonts w:hint="eastAsia" w:ascii="仿宋_GB2312" w:hAnsi="Calibri" w:eastAsia="仿宋_GB2312" w:cs="Times New Roman"/>
          <w:b w:val="0"/>
          <w:bCs w:val="0"/>
          <w:kern w:val="2"/>
          <w:sz w:val="32"/>
          <w:szCs w:val="32"/>
          <w:lang w:val="en-US" w:eastAsia="zh-CN" w:bidi="ar-SA"/>
        </w:rPr>
      </w:pPr>
      <w:r>
        <w:rPr>
          <w:rFonts w:hint="eastAsia" w:ascii="仿宋_GB2312" w:hAnsi="Calibri" w:eastAsia="仿宋_GB2312" w:cs="Times New Roman"/>
          <w:b w:val="0"/>
          <w:bCs w:val="0"/>
          <w:kern w:val="2"/>
          <w:sz w:val="32"/>
          <w:szCs w:val="32"/>
          <w:lang w:val="en-US" w:eastAsia="zh-CN" w:bidi="ar-SA"/>
        </w:rPr>
        <w:t>史泽炎同学设计的老来乐依据农村老年人的生活单一，搬个凳子坐在家门口拉拉家常，看看过往的路人，或是帮着儿女带带孩子。针对这一现状，首先丰富农村老年人的生活，让农村老年人也动起来，打扑克，下象棋，打乒乓球，跳广场舞等等。其次，利用农村老年人的特点：勤劳，朴实，简朴的生活作风，有些老年人会多种才艺，大家可以毫无保留一起交流。最后多搞一些活动，丰富老年人的生活，比如比赛包粽子，比赛包包子，比赛包饺子等等，让老年人既动起来又丰富了生活。</w:t>
      </w:r>
    </w:p>
    <w:p>
      <w:pPr>
        <w:pageBreakBefore w:val="0"/>
        <w:kinsoku/>
        <w:wordWrap/>
        <w:overflowPunct/>
        <w:topLinePunct w:val="0"/>
        <w:bidi w:val="0"/>
        <w:spacing w:beforeAutospacing="0" w:afterAutospacing="0" w:line="560" w:lineRule="exact"/>
        <w:ind w:firstLine="643" w:firstLineChars="200"/>
        <w:rPr>
          <w:rFonts w:hint="eastAsia" w:ascii="仿宋_GB2312" w:hAnsi="Calibri" w:eastAsia="仿宋_GB2312" w:cs="Times New Roman"/>
          <w:b/>
          <w:bCs/>
          <w:kern w:val="2"/>
          <w:sz w:val="32"/>
          <w:szCs w:val="32"/>
          <w:lang w:val="en-US" w:eastAsia="zh-CN" w:bidi="ar-SA"/>
        </w:rPr>
      </w:pPr>
      <w:r>
        <w:rPr>
          <w:rFonts w:hint="eastAsia" w:ascii="仿宋_GB2312" w:hAnsi="Calibri" w:eastAsia="仿宋_GB2312" w:cs="Times New Roman"/>
          <w:b/>
          <w:bCs/>
          <w:kern w:val="2"/>
          <w:sz w:val="32"/>
          <w:szCs w:val="32"/>
          <w:lang w:val="en-US" w:eastAsia="zh-CN" w:bidi="ar-SA"/>
        </w:rPr>
        <w:t>【案例四】乡村振兴新疆特产电商交易</w:t>
      </w:r>
    </w:p>
    <w:p>
      <w:pPr>
        <w:pageBreakBefore w:val="0"/>
        <w:kinsoku/>
        <w:wordWrap/>
        <w:overflowPunct/>
        <w:topLinePunct w:val="0"/>
        <w:bidi w:val="0"/>
        <w:spacing w:beforeAutospacing="0" w:afterAutospacing="0" w:line="560" w:lineRule="exact"/>
        <w:ind w:firstLine="640" w:firstLineChars="200"/>
        <w:rPr>
          <w:rFonts w:hint="eastAsia" w:ascii="仿宋_GB2312" w:hAnsi="Calibri" w:eastAsia="仿宋_GB2312" w:cs="Times New Roman"/>
          <w:b w:val="0"/>
          <w:bCs w:val="0"/>
          <w:kern w:val="2"/>
          <w:sz w:val="32"/>
          <w:szCs w:val="32"/>
          <w:lang w:val="en-US" w:eastAsia="zh-CN" w:bidi="ar-SA"/>
        </w:rPr>
      </w:pPr>
      <w:r>
        <w:rPr>
          <w:rFonts w:hint="eastAsia" w:ascii="仿宋_GB2312" w:hAnsi="Calibri" w:eastAsia="仿宋_GB2312" w:cs="Times New Roman"/>
          <w:b w:val="0"/>
          <w:bCs w:val="0"/>
          <w:kern w:val="2"/>
          <w:sz w:val="32"/>
          <w:szCs w:val="32"/>
          <w:lang w:val="en-US" w:eastAsia="zh-CN" w:bidi="ar-SA"/>
        </w:rPr>
        <w:t>马如心设计的创业项目依据新疆得天独厚的自然条件孕育出了美味的特色水果，如葡萄、哈密瓜、库尔勒香梨等，还有优质的干果如红枣、核桃等。项目与当地农户和合作社携手，保障产品供应与品质。搭建的电商平台，全面展示新疆特色农产品，方便消费者在线选购。营销上，充分利用社交媒体、网络广告扩大影响力，积极参与展销会拓展市场。物流方面，与专业物流企业合作，确保产品及时送达，同时注重环保包装设计。</w:t>
      </w:r>
    </w:p>
    <w:p>
      <w:pPr>
        <w:pageBreakBefore w:val="0"/>
        <w:kinsoku/>
        <w:wordWrap/>
        <w:overflowPunct/>
        <w:topLinePunct w:val="0"/>
        <w:bidi w:val="0"/>
        <w:spacing w:beforeAutospacing="0" w:afterAutospacing="0" w:line="560" w:lineRule="exact"/>
        <w:ind w:firstLine="640" w:firstLineChars="200"/>
        <w:rPr>
          <w:rFonts w:hint="eastAsia" w:ascii="仿宋_GB2312" w:hAnsi="Calibri" w:eastAsia="仿宋_GB2312" w:cs="Times New Roman"/>
          <w:b w:val="0"/>
          <w:bCs w:val="0"/>
          <w:kern w:val="2"/>
          <w:sz w:val="32"/>
          <w:szCs w:val="32"/>
          <w:lang w:val="en-US" w:eastAsia="zh-CN" w:bidi="ar-SA"/>
        </w:rPr>
      </w:pPr>
      <w:r>
        <w:rPr>
          <w:rFonts w:hint="eastAsia" w:ascii="仿宋_GB2312" w:hAnsi="Calibri" w:eastAsia="仿宋_GB2312" w:cs="Times New Roman"/>
          <w:b w:val="0"/>
          <w:bCs w:val="0"/>
          <w:kern w:val="2"/>
          <w:sz w:val="32"/>
          <w:szCs w:val="32"/>
          <w:lang w:val="en-US" w:eastAsia="zh-CN" w:bidi="ar-SA"/>
        </w:rPr>
        <w:t>通过以上培训，学生在创新创业项目设计中更加全面和系统地提升能力，提高项目的成功率和市场竞争力。</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2024年参加地区级创新创业大赛荣获三等奖1个，荣获优秀指导教师奖1个，荣获自治区级“黄炎培业创新创业大赛”三等奖1个，见图二，荣获优秀指导教师奖1个，合计奖项4个，同比增长50%，见表四。</w:t>
      </w: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r>
        <w:rPr>
          <w:rFonts w:hint="eastAsia" w:eastAsia="楷体_GB2312" w:asciiTheme="majorHAnsi" w:hAnsiTheme="majorHAnsi" w:cstheme="majorBidi"/>
          <w:b/>
          <w:bCs/>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52070</wp:posOffset>
            </wp:positionV>
            <wp:extent cx="5770880" cy="4195445"/>
            <wp:effectExtent l="0" t="0" r="5080" b="10795"/>
            <wp:wrapNone/>
            <wp:docPr id="9" name="图片 9" descr="753106e95dad7c5579d35e289639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53106e95dad7c5579d35e289639c0c"/>
                    <pic:cNvPicPr>
                      <a:picLocks noChangeAspect="1"/>
                    </pic:cNvPicPr>
                  </pic:nvPicPr>
                  <pic:blipFill>
                    <a:blip r:embed="rId16"/>
                    <a:stretch>
                      <a:fillRect/>
                    </a:stretch>
                  </pic:blipFill>
                  <pic:spPr>
                    <a:xfrm>
                      <a:off x="0" y="0"/>
                      <a:ext cx="5770880" cy="4195445"/>
                    </a:xfrm>
                    <a:prstGeom prst="rect">
                      <a:avLst/>
                    </a:prstGeom>
                  </pic:spPr>
                </pic:pic>
              </a:graphicData>
            </a:graphic>
          </wp:anchor>
        </w:drawing>
      </w: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Style w:val="5"/>
        <w:pageBreakBefore w:val="0"/>
        <w:kinsoku/>
        <w:wordWrap/>
        <w:overflowPunct/>
        <w:topLinePunct w:val="0"/>
        <w:bidi w:val="0"/>
        <w:spacing w:beforeAutospacing="0" w:afterAutospacing="0" w:line="560" w:lineRule="exact"/>
        <w:ind w:left="0" w:leftChars="0" w:firstLine="0" w:firstLineChars="0"/>
        <w:jc w:val="center"/>
        <w:outlineLvl w:val="9"/>
        <w:rPr>
          <w:rFonts w:hint="eastAsia" w:ascii="微软雅黑" w:hAnsi="微软雅黑" w:eastAsia="微软雅黑" w:cs="微软雅黑"/>
          <w:b w:val="0"/>
          <w:bCs w:val="0"/>
          <w:sz w:val="28"/>
          <w:szCs w:val="28"/>
          <w:lang w:val="en-US" w:eastAsia="zh-CN"/>
        </w:rPr>
      </w:pPr>
      <w:bookmarkStart w:id="68" w:name="_Toc29723"/>
    </w:p>
    <w:p>
      <w:pPr>
        <w:pStyle w:val="5"/>
        <w:pageBreakBefore w:val="0"/>
        <w:kinsoku/>
        <w:wordWrap/>
        <w:overflowPunct/>
        <w:topLinePunct w:val="0"/>
        <w:bidi w:val="0"/>
        <w:spacing w:beforeAutospacing="0" w:afterAutospacing="0" w:line="560" w:lineRule="exact"/>
        <w:ind w:left="0" w:leftChars="0" w:firstLine="0" w:firstLineChars="0"/>
        <w:jc w:val="center"/>
        <w:outlineLvl w:val="9"/>
        <w:rPr>
          <w:rFonts w:hint="eastAsia" w:ascii="微软雅黑" w:hAnsi="微软雅黑" w:eastAsia="微软雅黑" w:cs="微软雅黑"/>
          <w:b w:val="0"/>
          <w:bCs w:val="0"/>
          <w:sz w:val="28"/>
          <w:szCs w:val="28"/>
          <w:lang w:val="en-US" w:eastAsia="zh-CN"/>
        </w:rPr>
      </w:pPr>
    </w:p>
    <w:p>
      <w:pPr>
        <w:pStyle w:val="5"/>
        <w:pageBreakBefore w:val="0"/>
        <w:kinsoku/>
        <w:wordWrap/>
        <w:overflowPunct/>
        <w:topLinePunct w:val="0"/>
        <w:bidi w:val="0"/>
        <w:spacing w:beforeAutospacing="0" w:afterAutospacing="0" w:line="560" w:lineRule="exact"/>
        <w:ind w:left="0" w:leftChars="0" w:firstLine="0" w:firstLineChars="0"/>
        <w:jc w:val="center"/>
        <w:outlineLvl w:val="9"/>
        <w:rPr>
          <w:rFonts w:hint="eastAsia" w:ascii="微软雅黑" w:hAnsi="微软雅黑" w:eastAsia="微软雅黑" w:cs="微软雅黑"/>
          <w:b w:val="0"/>
          <w:bCs w:val="0"/>
          <w:sz w:val="28"/>
          <w:szCs w:val="28"/>
          <w:lang w:val="en-US" w:eastAsia="zh-CN"/>
        </w:rPr>
      </w:pPr>
    </w:p>
    <w:p>
      <w:pPr>
        <w:pStyle w:val="5"/>
        <w:pageBreakBefore w:val="0"/>
        <w:kinsoku/>
        <w:wordWrap/>
        <w:overflowPunct/>
        <w:topLinePunct w:val="0"/>
        <w:bidi w:val="0"/>
        <w:spacing w:beforeAutospacing="0" w:afterAutospacing="0" w:line="560" w:lineRule="exact"/>
        <w:ind w:left="0" w:leftChars="0" w:firstLine="0" w:firstLineChars="0"/>
        <w:jc w:val="both"/>
        <w:outlineLvl w:val="9"/>
        <w:rPr>
          <w:rFonts w:hint="eastAsia" w:ascii="微软雅黑" w:hAnsi="微软雅黑" w:eastAsia="微软雅黑" w:cs="微软雅黑"/>
          <w:b w:val="0"/>
          <w:bCs w:val="0"/>
          <w:sz w:val="28"/>
          <w:szCs w:val="28"/>
          <w:lang w:val="en-US" w:eastAsia="zh-CN"/>
        </w:rPr>
      </w:pPr>
    </w:p>
    <w:bookmarkEnd w:id="68"/>
    <w:p>
      <w:pPr>
        <w:pStyle w:val="5"/>
        <w:pageBreakBefore w:val="0"/>
        <w:kinsoku/>
        <w:wordWrap/>
        <w:overflowPunct/>
        <w:topLinePunct w:val="0"/>
        <w:bidi w:val="0"/>
        <w:spacing w:beforeAutospacing="0" w:afterAutospacing="0" w:line="560" w:lineRule="exact"/>
        <w:ind w:left="0" w:leftChars="0" w:firstLine="0" w:firstLineChars="0"/>
        <w:jc w:val="center"/>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图二  学生与教师荣获自治区黄炎培创新创业奖合影</w:t>
      </w:r>
    </w:p>
    <w:p>
      <w:pPr>
        <w:pageBreakBefore w:val="0"/>
        <w:kinsoku/>
        <w:wordWrap/>
        <w:overflowPunct/>
        <w:topLinePunct w:val="0"/>
        <w:bidi w:val="0"/>
        <w:spacing w:beforeAutospacing="0" w:afterAutospacing="0" w:line="560" w:lineRule="exact"/>
        <w:rPr>
          <w:rFonts w:hint="eastAsia"/>
          <w:lang w:val="en-US" w:eastAsia="zh-CN"/>
        </w:rPr>
      </w:pPr>
    </w:p>
    <w:p>
      <w:pPr>
        <w:pageBreakBefore w:val="0"/>
        <w:kinsoku/>
        <w:wordWrap/>
        <w:overflowPunct/>
        <w:topLinePunct w:val="0"/>
        <w:bidi w:val="0"/>
        <w:spacing w:beforeAutospacing="0" w:afterAutospacing="0" w:line="560" w:lineRule="exact"/>
        <w:jc w:val="center"/>
        <w:rPr>
          <w:rFonts w:hint="eastAsia" w:ascii="微软雅黑" w:hAnsi="微软雅黑" w:eastAsia="微软雅黑" w:cs="微软雅黑"/>
          <w:sz w:val="32"/>
          <w:szCs w:val="40"/>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73660</wp:posOffset>
            </wp:positionH>
            <wp:positionV relativeFrom="paragraph">
              <wp:posOffset>-12700</wp:posOffset>
            </wp:positionV>
            <wp:extent cx="6111240" cy="3696970"/>
            <wp:effectExtent l="4445" t="4445" r="10795" b="47625"/>
            <wp:wrapTopAndBottom/>
            <wp:docPr id="66" name="图表 66" descr="7b0a202020202263686172745265734964223a20223435353633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微软雅黑" w:hAnsi="微软雅黑" w:eastAsia="微软雅黑" w:cs="微软雅黑"/>
          <w:sz w:val="32"/>
          <w:szCs w:val="40"/>
        </w:rPr>
        <w:t>表</w:t>
      </w:r>
      <w:r>
        <w:rPr>
          <w:rFonts w:hint="eastAsia" w:ascii="微软雅黑" w:hAnsi="微软雅黑" w:eastAsia="微软雅黑" w:cs="微软雅黑"/>
          <w:sz w:val="32"/>
          <w:szCs w:val="40"/>
          <w:lang w:val="en-US" w:eastAsia="zh-CN"/>
        </w:rPr>
        <w:t>四</w:t>
      </w:r>
      <w:r>
        <w:rPr>
          <w:rFonts w:hint="eastAsia" w:ascii="微软雅黑" w:hAnsi="微软雅黑" w:eastAsia="微软雅黑" w:cs="微软雅黑"/>
          <w:sz w:val="32"/>
          <w:szCs w:val="40"/>
        </w:rPr>
        <w:t xml:space="preserve">   </w:t>
      </w:r>
      <w:r>
        <w:rPr>
          <w:rFonts w:hint="eastAsia" w:ascii="微软雅黑" w:hAnsi="微软雅黑" w:eastAsia="微软雅黑" w:cs="微软雅黑"/>
          <w:sz w:val="32"/>
          <w:szCs w:val="40"/>
          <w:lang w:val="en-US" w:eastAsia="zh-CN"/>
        </w:rPr>
        <w:t>创新创业成果统计</w:t>
      </w:r>
      <w:r>
        <w:rPr>
          <w:rFonts w:hint="eastAsia" w:ascii="微软雅黑" w:hAnsi="微软雅黑" w:eastAsia="微软雅黑" w:cs="微软雅黑"/>
          <w:sz w:val="32"/>
          <w:szCs w:val="40"/>
        </w:rPr>
        <w:t>表</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69" w:name="_Toc10300"/>
      <w:bookmarkStart w:id="70" w:name="_Toc24729"/>
      <w:r>
        <w:rPr>
          <w:rFonts w:hint="eastAsia" w:eastAsia="楷体_GB2312" w:asciiTheme="majorHAnsi" w:hAnsiTheme="majorHAnsi" w:cstheme="majorBidi"/>
          <w:b/>
          <w:bCs/>
          <w:kern w:val="2"/>
          <w:sz w:val="32"/>
          <w:szCs w:val="32"/>
          <w:lang w:val="en-US" w:eastAsia="zh-CN" w:bidi="ar-SA"/>
        </w:rPr>
        <w:t>2.1.6技能大赛</w:t>
      </w:r>
      <w:bookmarkEnd w:id="69"/>
      <w:bookmarkEnd w:id="70"/>
    </w:p>
    <w:p>
      <w:pPr>
        <w:pStyle w:val="2"/>
        <w:pageBreakBefore w:val="0"/>
        <w:kinsoku/>
        <w:wordWrap/>
        <w:overflowPunct/>
        <w:topLinePunct w:val="0"/>
        <w:bidi w:val="0"/>
        <w:spacing w:beforeAutospacing="0" w:after="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今年，学校参与了2024年自治区职业院校技能大赛，乌苏市技能大赛，塔城地区第三届职业技能大赛等多项技能大赛，均取得了优异的成绩。</w:t>
      </w:r>
    </w:p>
    <w:p>
      <w:pPr>
        <w:pStyle w:val="2"/>
        <w:pageBreakBefore w:val="0"/>
        <w:kinsoku/>
        <w:wordWrap/>
        <w:overflowPunct/>
        <w:topLinePunct w:val="0"/>
        <w:bidi w:val="0"/>
        <w:spacing w:beforeAutospacing="0" w:after="0" w:afterAutospacing="0" w:line="560" w:lineRule="exact"/>
        <w:ind w:firstLine="643"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b/>
          <w:bCs/>
          <w:sz w:val="32"/>
          <w:szCs w:val="32"/>
          <w:lang w:val="en-US" w:eastAsia="zh-CN"/>
        </w:rPr>
        <w:t>一是</w:t>
      </w:r>
      <w:r>
        <w:rPr>
          <w:rFonts w:hint="eastAsia" w:ascii="仿宋_GB2312" w:hAnsi="Calibri" w:eastAsia="仿宋_GB2312" w:cs="Times New Roman"/>
          <w:sz w:val="32"/>
          <w:szCs w:val="32"/>
          <w:lang w:val="en-US" w:eastAsia="zh-CN"/>
        </w:rPr>
        <w:t>2024年自治区职业院校技能大赛共参与15人，取得二等奖四人，三等奖11人。优秀指导教师5人。</w:t>
      </w:r>
    </w:p>
    <w:p>
      <w:pPr>
        <w:pStyle w:val="2"/>
        <w:pageBreakBefore w:val="0"/>
        <w:numPr>
          <w:ilvl w:val="0"/>
          <w:numId w:val="0"/>
        </w:numPr>
        <w:kinsoku/>
        <w:wordWrap/>
        <w:overflowPunct/>
        <w:topLinePunct w:val="0"/>
        <w:bidi w:val="0"/>
        <w:spacing w:beforeAutospacing="0" w:after="0" w:afterAutospacing="0" w:line="560" w:lineRule="exact"/>
        <w:ind w:firstLine="643"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b/>
          <w:bCs/>
          <w:sz w:val="32"/>
          <w:szCs w:val="32"/>
          <w:lang w:val="en-US" w:eastAsia="zh-CN"/>
        </w:rPr>
        <w:t>二是</w:t>
      </w:r>
      <w:r>
        <w:rPr>
          <w:rFonts w:hint="eastAsia" w:ascii="仿宋_GB2312" w:hAnsi="Calibri" w:eastAsia="仿宋_GB2312" w:cs="Times New Roman"/>
          <w:sz w:val="32"/>
          <w:szCs w:val="32"/>
          <w:lang w:val="en-US" w:eastAsia="zh-CN"/>
        </w:rPr>
        <w:t>在乌苏市技能大赛中，学校共承办7个项目，150人参与比赛，共取得一等奖8人，二等奖17人，三等奖25人，如图三。</w:t>
      </w:r>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b/>
          <w:bCs/>
          <w:sz w:val="32"/>
          <w:szCs w:val="32"/>
          <w:lang w:val="en-US" w:eastAsia="zh-CN"/>
        </w:rPr>
        <w:t>三是</w:t>
      </w:r>
      <w:r>
        <w:rPr>
          <w:rFonts w:hint="eastAsia" w:ascii="仿宋_GB2312" w:hAnsi="Calibri" w:eastAsia="仿宋_GB2312" w:cs="Times New Roman"/>
          <w:sz w:val="32"/>
          <w:szCs w:val="32"/>
          <w:lang w:val="en-US" w:eastAsia="zh-CN"/>
        </w:rPr>
        <w:t>2024年塔城地区第三届职业技能大赛，共145人参赛，一等奖10人，二等奖20人，三等奖20人，鼓励奖10人，如图四。</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Style w:val="5"/>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sz w:val="32"/>
          <w:szCs w:val="32"/>
          <w:lang w:val="en-US" w:eastAsia="zh-CN"/>
        </w:rPr>
        <w:drawing>
          <wp:anchor distT="0" distB="0" distL="114300" distR="114300" simplePos="0" relativeHeight="251672576" behindDoc="0" locked="0" layoutInCell="1" allowOverlap="1">
            <wp:simplePos x="0" y="0"/>
            <wp:positionH relativeFrom="column">
              <wp:posOffset>-1270</wp:posOffset>
            </wp:positionH>
            <wp:positionV relativeFrom="paragraph">
              <wp:posOffset>29210</wp:posOffset>
            </wp:positionV>
            <wp:extent cx="6061075" cy="3485515"/>
            <wp:effectExtent l="0" t="0" r="4445" b="4445"/>
            <wp:wrapTopAndBottom/>
            <wp:docPr id="76" name="图片 76" descr="259f4ea1ce546e305b909adc2f43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59f4ea1ce546e305b909adc2f434ba"/>
                    <pic:cNvPicPr>
                      <a:picLocks noChangeAspect="1"/>
                    </pic:cNvPicPr>
                  </pic:nvPicPr>
                  <pic:blipFill>
                    <a:blip r:embed="rId18"/>
                    <a:stretch>
                      <a:fillRect/>
                    </a:stretch>
                  </pic:blipFill>
                  <pic:spPr>
                    <a:xfrm>
                      <a:off x="0" y="0"/>
                      <a:ext cx="6061075" cy="3485515"/>
                    </a:xfrm>
                    <a:prstGeom prst="rect">
                      <a:avLst/>
                    </a:prstGeom>
                  </pic:spPr>
                </pic:pic>
              </a:graphicData>
            </a:graphic>
          </wp:anchor>
        </w:drawing>
      </w:r>
      <w:bookmarkStart w:id="71" w:name="_Toc9976"/>
      <w:r>
        <w:rPr>
          <w:rFonts w:hint="eastAsia" w:ascii="微软雅黑" w:hAnsi="微软雅黑" w:eastAsia="微软雅黑" w:cs="微软雅黑"/>
          <w:b w:val="0"/>
          <w:bCs w:val="0"/>
          <w:lang w:val="en-US" w:eastAsia="zh-CN"/>
        </w:rPr>
        <w:t>图三  举办乌苏市技能大赛机电一体化赛项</w:t>
      </w:r>
      <w:bookmarkEnd w:id="71"/>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Calibri" w:eastAsia="仿宋_GB2312" w:cs="Times New Roman"/>
          <w:sz w:val="32"/>
          <w:szCs w:val="32"/>
          <w:lang w:val="en-US" w:eastAsia="zh-CN"/>
        </w:rPr>
      </w:pPr>
      <w:r>
        <w:rPr>
          <w:rFonts w:hint="eastAsia" w:eastAsia="楷体_GB2312" w:asciiTheme="majorHAnsi" w:hAnsiTheme="majorHAnsi" w:cstheme="majorBidi"/>
          <w:b/>
          <w:bCs/>
          <w:kern w:val="2"/>
          <w:sz w:val="32"/>
          <w:szCs w:val="32"/>
          <w:lang w:val="en-US" w:eastAsia="zh-CN" w:bidi="ar-SA"/>
        </w:rPr>
        <w:drawing>
          <wp:anchor distT="0" distB="0" distL="114300" distR="114300" simplePos="0" relativeHeight="251673600" behindDoc="0" locked="0" layoutInCell="1" allowOverlap="1">
            <wp:simplePos x="0" y="0"/>
            <wp:positionH relativeFrom="column">
              <wp:posOffset>104775</wp:posOffset>
            </wp:positionH>
            <wp:positionV relativeFrom="paragraph">
              <wp:posOffset>160655</wp:posOffset>
            </wp:positionV>
            <wp:extent cx="6177280" cy="4092575"/>
            <wp:effectExtent l="0" t="0" r="10160" b="6985"/>
            <wp:wrapNone/>
            <wp:docPr id="79" name="图片 79" descr="0e53a7930fd31dfe1bec823acf7d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e53a7930fd31dfe1bec823acf7d088"/>
                    <pic:cNvPicPr>
                      <a:picLocks noChangeAspect="1"/>
                    </pic:cNvPicPr>
                  </pic:nvPicPr>
                  <pic:blipFill>
                    <a:blip r:embed="rId19"/>
                    <a:stretch>
                      <a:fillRect/>
                    </a:stretch>
                  </pic:blipFill>
                  <pic:spPr>
                    <a:xfrm>
                      <a:off x="0" y="0"/>
                      <a:ext cx="6177280" cy="4092575"/>
                    </a:xfrm>
                    <a:prstGeom prst="rect">
                      <a:avLst/>
                    </a:prstGeom>
                  </pic:spPr>
                </pic:pic>
              </a:graphicData>
            </a:graphic>
          </wp:anchor>
        </w:drawing>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p>
    <w:p>
      <w:pPr>
        <w:pageBreakBefore w:val="0"/>
        <w:kinsoku/>
        <w:wordWrap/>
        <w:overflowPunct/>
        <w:topLinePunct w:val="0"/>
        <w:bidi w:val="0"/>
        <w:snapToGrid w:val="0"/>
        <w:spacing w:beforeAutospacing="0" w:afterAutospacing="0" w:line="560" w:lineRule="exact"/>
        <w:rPr>
          <w:rFonts w:hint="eastAsia" w:ascii="仿宋_GB2312" w:hAnsi="Calibri" w:eastAsia="仿宋_GB2312" w:cs="Times New Roman"/>
          <w:sz w:val="32"/>
          <w:szCs w:val="32"/>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bookmarkStart w:id="72" w:name="_Toc31876"/>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bookmarkEnd w:id="72"/>
    <w:p>
      <w:pPr>
        <w:pStyle w:val="5"/>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图四 举办塔城地区职业技能大赛无人机装调检修赛项</w:t>
      </w:r>
    </w:p>
    <w:p>
      <w:pPr>
        <w:pageBreakBefore w:val="0"/>
        <w:kinsoku/>
        <w:wordWrap/>
        <w:overflowPunct/>
        <w:topLinePunct w:val="0"/>
        <w:bidi w:val="0"/>
        <w:snapToGrid w:val="0"/>
        <w:spacing w:beforeAutospacing="0" w:afterAutospacing="0" w:line="560" w:lineRule="exact"/>
        <w:rPr>
          <w:rFonts w:hint="eastAsia" w:ascii="仿宋_GB2312" w:hAnsi="Calibri"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bookmarkStart w:id="73" w:name="_Toc4597"/>
      <w:bookmarkStart w:id="74" w:name="_Toc6759"/>
      <w:r>
        <w:rPr>
          <w:rFonts w:hint="eastAsia" w:ascii="仿宋_GB2312" w:hAnsi="仿宋_GB2312" w:eastAsia="仿宋_GB2312" w:cs="仿宋_GB2312"/>
          <w:b/>
          <w:bCs/>
          <w:color w:val="auto"/>
          <w:kern w:val="2"/>
          <w:sz w:val="32"/>
          <w:szCs w:val="32"/>
          <w:highlight w:val="none"/>
          <w:lang w:val="en-US" w:eastAsia="zh-CN" w:bidi="ar-SA"/>
        </w:rPr>
        <w:t>【案例五】举办塔城地区第三届职业技能竞赛暨“辽塔杯”职业技能竞赛</w:t>
      </w:r>
      <w:bookmarkEnd w:id="73"/>
      <w:bookmarkEnd w:id="74"/>
      <w:r>
        <w:rPr>
          <w:rFonts w:hint="eastAsia" w:ascii="仿宋_GB2312" w:hAnsi="仿宋_GB2312" w:eastAsia="仿宋_GB2312" w:cs="仿宋_GB2312"/>
          <w:b/>
          <w:bCs/>
          <w:color w:val="auto"/>
          <w:kern w:val="2"/>
          <w:sz w:val="32"/>
          <w:szCs w:val="32"/>
          <w:highlight w:val="non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塔城地区第三届职业技能竞赛暨“辽塔杯”职业技能竞赛是在塔城地委正确领导下，校领导班子成员高度重视，举办的一次涵盖全地区15个竞赛工种规模及质量超前的大赛。一是此次大赛中全地区四县三市7个代表队共计有495名参赛选手参赛，大赛到场的领导、嘉宾、社会各界人员达到了395人。二是竞赛直播过程中有8万余人观看此次竞赛。三是此次大赛得到了13家企业赞助商的大力支持，为大赛提供了横幅、刀旗、志愿者帽子、T恤衫等物品，折合人民币75000元。因此大赛得到了塔城地委行署、塔城地区人社局以及社会各界的广泛关注及高度肯定与赞扬。此次大赛为推动全地区经济高质量发展，服务九大产业集群的学生、从业人员提高技能水平，规范和提升服务质量作出了突出贡献。</w:t>
      </w:r>
    </w:p>
    <w:p>
      <w:pPr>
        <w:pageBreakBefore w:val="0"/>
        <w:numPr>
          <w:ilvl w:val="0"/>
          <w:numId w:val="0"/>
        </w:numPr>
        <w:kinsoku/>
        <w:wordWrap/>
        <w:overflowPunct/>
        <w:topLinePunct w:val="0"/>
        <w:bidi w:val="0"/>
        <w:spacing w:beforeAutospacing="0" w:afterAutospacing="0" w:line="560" w:lineRule="exact"/>
        <w:ind w:firstLine="640" w:firstLineChars="200"/>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 xml:space="preserve"> 承办此次竞赛学校全体教职工克服工作忙、人手少等实际困难，全员参与筹备竞赛工作，制定了全面而周密的组织实施方案。包括大赛资金预算、组织对接协调、会场及赛场布置、竞赛服务、礼仪后勤接待、宣传、安全保障等方面都考虑得十分周到，并将竞赛的各项具体工作落实到了实处，确保了此次大赛按照计划有条不紊地开展，圆满地完成了此次大赛。 </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75" w:name="_Toc17179"/>
      <w:bookmarkStart w:id="76" w:name="_Toc14978"/>
      <w:bookmarkStart w:id="77" w:name="_Toc11163"/>
      <w:r>
        <w:rPr>
          <w:rFonts w:hint="eastAsia" w:eastAsia="楷体_GB2312" w:asciiTheme="majorHAnsi" w:hAnsiTheme="majorHAnsi" w:cstheme="majorBidi"/>
          <w:b/>
          <w:bCs/>
          <w:kern w:val="2"/>
          <w:sz w:val="32"/>
          <w:szCs w:val="32"/>
          <w:lang w:val="en-US" w:eastAsia="zh-CN" w:bidi="ar-SA"/>
        </w:rPr>
        <w:t>2.2职普融通</w:t>
      </w:r>
      <w:bookmarkEnd w:id="75"/>
      <w:bookmarkEnd w:id="76"/>
      <w:bookmarkEnd w:id="77"/>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学校2024年选派14名教师和6名学生赴辽宁装备制造学院、辽宁轨道交通职业技术学院、辽宁省交通高等专科学校，落实“手拉手”帮扶共建方案，开展技能大赛赛前培训学习、专业课建设等。</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为提升高考录取率，教务科专设“职教高考”研究专题，加强与乌苏市普通高中的互通互联，学习高考辅导经验，加大“三校生”高考宣传力度，提高录取率，为高等职业教育输送优质生源，积极谋划学校升级为工科高职院校。2024年毕业生升学人数为104人，与2023年数据相比，升学率同比提升11.92%，见表五。</w:t>
      </w:r>
    </w:p>
    <w:tbl>
      <w:tblPr>
        <w:tblStyle w:val="19"/>
        <w:tblW w:w="8509"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4824"/>
        <w:gridCol w:w="871"/>
        <w:gridCol w:w="1077"/>
        <w:gridCol w:w="10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36" w:type="dxa"/>
            <w:vAlign w:val="top"/>
          </w:tcPr>
          <w:p>
            <w:pPr>
              <w:pageBreakBefore w:val="0"/>
              <w:kinsoku/>
              <w:wordWrap/>
              <w:overflowPunct/>
              <w:topLinePunct w:val="0"/>
              <w:bidi w:val="0"/>
              <w:spacing w:beforeAutospacing="0" w:afterAutospacing="0" w:line="560" w:lineRule="exact"/>
              <w:ind w:left="134"/>
              <w:rPr>
                <w:rFonts w:ascii="黑体" w:hAnsi="黑体" w:eastAsia="黑体" w:cs="黑体"/>
                <w:sz w:val="24"/>
                <w:szCs w:val="24"/>
              </w:rPr>
            </w:pPr>
            <w:r>
              <w:rPr>
                <w:rFonts w:ascii="黑体" w:hAnsi="黑体" w:eastAsia="黑体" w:cs="黑体"/>
                <w:spacing w:val="-5"/>
                <w:sz w:val="24"/>
                <w:szCs w:val="24"/>
              </w:rPr>
              <w:t>序号</w:t>
            </w:r>
          </w:p>
        </w:tc>
        <w:tc>
          <w:tcPr>
            <w:tcW w:w="4824" w:type="dxa"/>
            <w:vAlign w:val="top"/>
          </w:tcPr>
          <w:p>
            <w:pPr>
              <w:pageBreakBefore w:val="0"/>
              <w:kinsoku/>
              <w:wordWrap/>
              <w:overflowPunct/>
              <w:topLinePunct w:val="0"/>
              <w:bidi w:val="0"/>
              <w:spacing w:beforeAutospacing="0" w:afterAutospacing="0" w:line="560" w:lineRule="exact"/>
              <w:ind w:left="2177"/>
              <w:rPr>
                <w:rFonts w:ascii="黑体" w:hAnsi="黑体" w:eastAsia="黑体" w:cs="黑体"/>
                <w:sz w:val="24"/>
                <w:szCs w:val="24"/>
              </w:rPr>
            </w:pPr>
            <w:r>
              <w:rPr>
                <w:rFonts w:ascii="黑体" w:hAnsi="黑体" w:eastAsia="黑体" w:cs="黑体"/>
                <w:spacing w:val="-5"/>
                <w:sz w:val="24"/>
                <w:szCs w:val="24"/>
              </w:rPr>
              <w:t>指标</w:t>
            </w:r>
          </w:p>
        </w:tc>
        <w:tc>
          <w:tcPr>
            <w:tcW w:w="871" w:type="dxa"/>
            <w:vAlign w:val="top"/>
          </w:tcPr>
          <w:p>
            <w:pPr>
              <w:pageBreakBefore w:val="0"/>
              <w:kinsoku/>
              <w:wordWrap/>
              <w:overflowPunct/>
              <w:topLinePunct w:val="0"/>
              <w:bidi w:val="0"/>
              <w:spacing w:beforeAutospacing="0" w:afterAutospacing="0" w:line="560" w:lineRule="exact"/>
              <w:ind w:left="209"/>
              <w:rPr>
                <w:rFonts w:ascii="黑体" w:hAnsi="黑体" w:eastAsia="黑体" w:cs="黑体"/>
                <w:sz w:val="24"/>
                <w:szCs w:val="24"/>
              </w:rPr>
            </w:pPr>
            <w:r>
              <w:rPr>
                <w:rFonts w:ascii="黑体" w:hAnsi="黑体" w:eastAsia="黑体" w:cs="黑体"/>
                <w:spacing w:val="-8"/>
                <w:sz w:val="24"/>
                <w:szCs w:val="24"/>
              </w:rPr>
              <w:t>单位</w:t>
            </w:r>
          </w:p>
        </w:tc>
        <w:tc>
          <w:tcPr>
            <w:tcW w:w="1077" w:type="dxa"/>
            <w:vAlign w:val="top"/>
          </w:tcPr>
          <w:p>
            <w:pPr>
              <w:pStyle w:val="20"/>
              <w:pageBreakBefore w:val="0"/>
              <w:kinsoku/>
              <w:wordWrap/>
              <w:overflowPunct/>
              <w:topLinePunct w:val="0"/>
              <w:bidi w:val="0"/>
              <w:spacing w:beforeAutospacing="0" w:afterAutospacing="0" w:line="560" w:lineRule="exact"/>
              <w:ind w:left="153"/>
              <w:rPr>
                <w:rFonts w:ascii="黑体" w:hAnsi="黑体" w:eastAsia="黑体" w:cs="黑体"/>
                <w:sz w:val="24"/>
                <w:szCs w:val="24"/>
              </w:rPr>
            </w:pPr>
            <w:r>
              <w:rPr>
                <w:spacing w:val="-12"/>
                <w:sz w:val="24"/>
                <w:szCs w:val="24"/>
              </w:rPr>
              <w:t>2023</w:t>
            </w:r>
            <w:r>
              <w:rPr>
                <w:spacing w:val="3"/>
                <w:sz w:val="24"/>
                <w:szCs w:val="24"/>
              </w:rPr>
              <w:t xml:space="preserve"> </w:t>
            </w:r>
            <w:r>
              <w:rPr>
                <w:rFonts w:ascii="黑体" w:hAnsi="黑体" w:eastAsia="黑体" w:cs="黑体"/>
                <w:spacing w:val="-12"/>
                <w:sz w:val="24"/>
                <w:szCs w:val="24"/>
              </w:rPr>
              <w:t>年</w:t>
            </w:r>
          </w:p>
        </w:tc>
        <w:tc>
          <w:tcPr>
            <w:tcW w:w="1001" w:type="dxa"/>
            <w:vAlign w:val="top"/>
          </w:tcPr>
          <w:p>
            <w:pPr>
              <w:pStyle w:val="20"/>
              <w:pageBreakBefore w:val="0"/>
              <w:kinsoku/>
              <w:wordWrap/>
              <w:overflowPunct/>
              <w:topLinePunct w:val="0"/>
              <w:bidi w:val="0"/>
              <w:spacing w:beforeAutospacing="0" w:afterAutospacing="0" w:line="560" w:lineRule="exact"/>
              <w:ind w:left="113"/>
              <w:rPr>
                <w:rFonts w:ascii="黑体" w:hAnsi="黑体" w:eastAsia="黑体" w:cs="黑体"/>
                <w:sz w:val="24"/>
                <w:szCs w:val="24"/>
              </w:rPr>
            </w:pPr>
            <w:r>
              <w:rPr>
                <w:spacing w:val="-13"/>
                <w:sz w:val="24"/>
                <w:szCs w:val="24"/>
              </w:rPr>
              <w:t>2024</w:t>
            </w:r>
            <w:r>
              <w:rPr>
                <w:spacing w:val="8"/>
                <w:sz w:val="24"/>
                <w:szCs w:val="24"/>
              </w:rPr>
              <w:t xml:space="preserve"> </w:t>
            </w:r>
            <w:r>
              <w:rPr>
                <w:rFonts w:ascii="黑体" w:hAnsi="黑体" w:eastAsia="黑体" w:cs="黑体"/>
                <w:spacing w:val="-13"/>
                <w:sz w:val="24"/>
                <w:szCs w:val="24"/>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736" w:type="dxa"/>
            <w:vAlign w:val="top"/>
          </w:tcPr>
          <w:p>
            <w:pPr>
              <w:pStyle w:val="20"/>
              <w:pageBreakBefore w:val="0"/>
              <w:kinsoku/>
              <w:wordWrap/>
              <w:overflowPunct/>
              <w:topLinePunct w:val="0"/>
              <w:bidi w:val="0"/>
              <w:spacing w:beforeAutospacing="0" w:afterAutospacing="0" w:line="560" w:lineRule="exact"/>
              <w:ind w:left="333"/>
              <w:rPr>
                <w:sz w:val="24"/>
                <w:szCs w:val="24"/>
              </w:rPr>
            </w:pPr>
            <w:r>
              <w:rPr>
                <w:sz w:val="24"/>
                <w:szCs w:val="24"/>
              </w:rPr>
              <w:t>1</w:t>
            </w:r>
          </w:p>
        </w:tc>
        <w:tc>
          <w:tcPr>
            <w:tcW w:w="4824" w:type="dxa"/>
            <w:vAlign w:val="top"/>
          </w:tcPr>
          <w:p>
            <w:pPr>
              <w:pStyle w:val="20"/>
              <w:pageBreakBefore w:val="0"/>
              <w:kinsoku/>
              <w:wordWrap/>
              <w:overflowPunct/>
              <w:topLinePunct w:val="0"/>
              <w:bidi w:val="0"/>
              <w:spacing w:beforeAutospacing="0" w:afterAutospacing="0" w:line="560" w:lineRule="exact"/>
              <w:rPr>
                <w:rFonts w:hint="default" w:eastAsia="宋体"/>
                <w:sz w:val="24"/>
                <w:szCs w:val="24"/>
                <w:lang w:val="en-US" w:eastAsia="zh-CN"/>
              </w:rPr>
            </w:pPr>
            <w:r>
              <w:rPr>
                <w:rFonts w:hint="eastAsia" w:eastAsia="宋体"/>
                <w:sz w:val="24"/>
                <w:szCs w:val="24"/>
                <w:lang w:val="en-US" w:eastAsia="zh-CN"/>
              </w:rPr>
              <w:t>升入大学学生人数</w:t>
            </w:r>
          </w:p>
        </w:tc>
        <w:tc>
          <w:tcPr>
            <w:tcW w:w="871" w:type="dxa"/>
            <w:vAlign w:val="top"/>
          </w:tcPr>
          <w:p>
            <w:pPr>
              <w:pageBreakBefore w:val="0"/>
              <w:kinsoku/>
              <w:wordWrap/>
              <w:overflowPunct/>
              <w:topLinePunct w:val="0"/>
              <w:bidi w:val="0"/>
              <w:spacing w:beforeAutospacing="0" w:afterAutospacing="0" w:line="560" w:lineRule="exact"/>
              <w:ind w:left="214"/>
              <w:rPr>
                <w:rFonts w:hint="eastAsia" w:ascii="仿宋" w:hAnsi="仿宋" w:eastAsia="仿宋" w:cs="仿宋"/>
                <w:sz w:val="24"/>
                <w:szCs w:val="24"/>
                <w:lang w:val="en-US" w:eastAsia="zh-CN"/>
              </w:rPr>
            </w:pPr>
            <w:r>
              <w:rPr>
                <w:rFonts w:hint="eastAsia" w:ascii="Arial" w:hAnsi="Arial" w:eastAsia="Arial" w:cs="Arial"/>
                <w:kern w:val="2"/>
                <w:sz w:val="24"/>
                <w:szCs w:val="24"/>
                <w:lang w:val="en-US" w:eastAsia="zh-CN" w:bidi="ar-SA"/>
              </w:rPr>
              <w:t>人</w:t>
            </w:r>
          </w:p>
        </w:tc>
        <w:tc>
          <w:tcPr>
            <w:tcW w:w="1077" w:type="dxa"/>
            <w:vAlign w:val="top"/>
          </w:tcPr>
          <w:p>
            <w:pPr>
              <w:pStyle w:val="20"/>
              <w:pageBreakBefore w:val="0"/>
              <w:kinsoku/>
              <w:wordWrap/>
              <w:overflowPunct/>
              <w:topLinePunct w:val="0"/>
              <w:bidi w:val="0"/>
              <w:spacing w:beforeAutospacing="0" w:afterAutospacing="0" w:line="560" w:lineRule="exact"/>
              <w:rPr>
                <w:rFonts w:hint="default" w:eastAsia="宋体"/>
                <w:lang w:val="en-US" w:eastAsia="zh-CN"/>
              </w:rPr>
            </w:pPr>
            <w:r>
              <w:rPr>
                <w:rFonts w:hint="eastAsia" w:eastAsia="宋体"/>
                <w:lang w:val="en-US" w:eastAsia="zh-CN"/>
              </w:rPr>
              <w:t>91</w:t>
            </w:r>
          </w:p>
        </w:tc>
        <w:tc>
          <w:tcPr>
            <w:tcW w:w="1001" w:type="dxa"/>
            <w:vAlign w:val="top"/>
          </w:tcPr>
          <w:p>
            <w:pPr>
              <w:pStyle w:val="20"/>
              <w:pageBreakBefore w:val="0"/>
              <w:kinsoku/>
              <w:wordWrap/>
              <w:overflowPunct/>
              <w:topLinePunct w:val="0"/>
              <w:bidi w:val="0"/>
              <w:spacing w:beforeAutospacing="0" w:afterAutospacing="0" w:line="560" w:lineRule="exact"/>
              <w:rPr>
                <w:rFonts w:hint="default" w:eastAsia="宋体"/>
                <w:lang w:val="en-US" w:eastAsia="zh-CN"/>
              </w:rPr>
            </w:pPr>
            <w:r>
              <w:rPr>
                <w:rFonts w:hint="eastAsia" w:eastAsia="宋体"/>
                <w:lang w:val="en-US" w:eastAsia="zh-CN"/>
              </w:rPr>
              <w:t>104</w:t>
            </w:r>
          </w:p>
        </w:tc>
      </w:tr>
    </w:tbl>
    <w:p>
      <w:pPr>
        <w:pageBreakBefore w:val="0"/>
        <w:kinsoku/>
        <w:wordWrap/>
        <w:overflowPunct/>
        <w:topLinePunct w:val="0"/>
        <w:bidi w:val="0"/>
        <w:spacing w:beforeAutospacing="0" w:afterAutospacing="0" w:line="560" w:lineRule="exact"/>
        <w:ind w:left="3263" w:leftChars="0"/>
        <w:outlineLvl w:val="9"/>
        <w:rPr>
          <w:rFonts w:ascii="黑体" w:hAnsi="黑体" w:eastAsia="黑体" w:cs="黑体"/>
          <w:sz w:val="30"/>
          <w:szCs w:val="30"/>
        </w:rPr>
      </w:pPr>
      <w:r>
        <w:rPr>
          <w:rFonts w:hint="eastAsia" w:eastAsia="楷体_GB2312" w:asciiTheme="majorHAnsi" w:hAnsiTheme="majorHAnsi" w:cstheme="majorBidi"/>
          <w:b/>
          <w:bCs/>
          <w:kern w:val="2"/>
          <w:sz w:val="32"/>
          <w:szCs w:val="32"/>
          <w:lang w:val="en-US" w:eastAsia="zh-CN" w:bidi="ar-SA"/>
        </w:rPr>
        <w:drawing>
          <wp:anchor distT="0" distB="0" distL="114300" distR="114300" simplePos="0" relativeHeight="251670528" behindDoc="0" locked="0" layoutInCell="1" allowOverlap="1">
            <wp:simplePos x="0" y="0"/>
            <wp:positionH relativeFrom="column">
              <wp:posOffset>118110</wp:posOffset>
            </wp:positionH>
            <wp:positionV relativeFrom="paragraph">
              <wp:posOffset>11430</wp:posOffset>
            </wp:positionV>
            <wp:extent cx="5383530" cy="2544445"/>
            <wp:effectExtent l="4445" t="4445" r="6985" b="11430"/>
            <wp:wrapNone/>
            <wp:docPr id="70" name="图表 70" descr="7b0a202020202263686172745265734964223a2022343536383330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Style w:val="4"/>
        <w:pageBreakBefore w:val="0"/>
        <w:kinsoku/>
        <w:wordWrap/>
        <w:overflowPunct/>
        <w:topLinePunct w:val="0"/>
        <w:bidi w:val="0"/>
        <w:spacing w:beforeAutospacing="0" w:afterAutospacing="0" w:line="560" w:lineRule="exact"/>
        <w:ind w:firstLine="640" w:firstLineChars="200"/>
        <w:jc w:val="center"/>
        <w:outlineLvl w:val="9"/>
      </w:pPr>
      <w:bookmarkStart w:id="78" w:name="_Toc19380"/>
      <w:bookmarkStart w:id="79" w:name="_Toc26011"/>
      <w:bookmarkStart w:id="80" w:name="_Toc15446"/>
    </w:p>
    <w:p>
      <w:pPr>
        <w:pStyle w:val="4"/>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rPr>
      </w:pPr>
      <w:r>
        <w:rPr>
          <w:rFonts w:hint="eastAsia" w:ascii="微软雅黑" w:hAnsi="微软雅黑" w:eastAsia="微软雅黑" w:cs="微软雅黑"/>
        </w:rPr>
        <w:t>表</w:t>
      </w:r>
      <w:r>
        <w:rPr>
          <w:rFonts w:hint="eastAsia" w:ascii="微软雅黑" w:hAnsi="微软雅黑" w:eastAsia="微软雅黑" w:cs="微软雅黑"/>
          <w:lang w:val="en-US" w:eastAsia="zh-CN"/>
        </w:rPr>
        <w:t>五</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职普融通学生升学统计</w:t>
      </w:r>
      <w:r>
        <w:rPr>
          <w:rFonts w:hint="eastAsia" w:ascii="微软雅黑" w:hAnsi="微软雅黑" w:eastAsia="微软雅黑" w:cs="微软雅黑"/>
        </w:rPr>
        <w:t>表</w:t>
      </w:r>
      <w:bookmarkEnd w:id="78"/>
      <w:bookmarkEnd w:id="79"/>
      <w:bookmarkEnd w:id="80"/>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81" w:name="_Toc8630"/>
      <w:bookmarkStart w:id="82" w:name="_Toc11232"/>
      <w:bookmarkStart w:id="83" w:name="_Toc14587"/>
      <w:r>
        <w:rPr>
          <w:rFonts w:hint="eastAsia" w:eastAsia="楷体_GB2312" w:asciiTheme="majorHAnsi" w:hAnsiTheme="majorHAnsi" w:cstheme="majorBidi"/>
          <w:b/>
          <w:bCs/>
          <w:kern w:val="2"/>
          <w:sz w:val="32"/>
          <w:szCs w:val="32"/>
          <w:lang w:val="en-US" w:eastAsia="zh-CN" w:bidi="ar-SA"/>
        </w:rPr>
        <w:t>2.3教学改革</w:t>
      </w:r>
      <w:bookmarkEnd w:id="81"/>
      <w:bookmarkEnd w:id="82"/>
      <w:bookmarkEnd w:id="83"/>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84" w:name="_Toc21920"/>
      <w:bookmarkStart w:id="85" w:name="_Toc12127"/>
      <w:r>
        <w:rPr>
          <w:rFonts w:hint="eastAsia" w:eastAsia="楷体_GB2312" w:asciiTheme="majorHAnsi" w:hAnsiTheme="majorHAnsi" w:cstheme="majorBidi"/>
          <w:b/>
          <w:bCs/>
          <w:kern w:val="2"/>
          <w:sz w:val="32"/>
          <w:szCs w:val="32"/>
          <w:lang w:val="en-US" w:eastAsia="zh-CN" w:bidi="ar-SA"/>
        </w:rPr>
        <w:t>2.3.1 专业建设质量</w:t>
      </w:r>
      <w:bookmarkEnd w:id="84"/>
      <w:bookmarkEnd w:id="85"/>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default"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2024年学校召开“政校企”联合会议，根据企业需求、地方经济发展需要，共同决定新增3个专业（现代通信技术、旅游服务与管理、高星级饭店运行与管理），其中现代通信技术专业为企业冠名班。</w:t>
      </w:r>
      <w:r>
        <w:rPr>
          <w:rFonts w:hint="eastAsia" w:ascii="仿宋_GB2312" w:hAnsi="Calibri" w:eastAsia="仿宋_GB2312" w:cs="Times New Roman"/>
          <w:color w:val="auto"/>
          <w:sz w:val="32"/>
          <w:szCs w:val="32"/>
          <w:highlight w:val="none"/>
        </w:rPr>
        <w:t>人才培养模式改革</w:t>
      </w:r>
      <w:r>
        <w:rPr>
          <w:rFonts w:hint="eastAsia" w:ascii="仿宋_GB2312" w:hAnsi="Calibri" w:eastAsia="仿宋_GB2312" w:cs="Times New Roman"/>
          <w:color w:val="auto"/>
          <w:sz w:val="32"/>
          <w:szCs w:val="32"/>
          <w:highlight w:val="none"/>
          <w:lang w:val="en-US" w:eastAsia="zh-CN"/>
        </w:rPr>
        <w:t>上实行校企共培，在课程开发、人才培养方案、产品研发、纵向课题</w:t>
      </w:r>
      <w:r>
        <w:rPr>
          <w:rFonts w:hint="eastAsia" w:ascii="仿宋_GB2312" w:eastAsia="仿宋_GB2312" w:cs="Times New Roman"/>
          <w:color w:val="auto"/>
          <w:sz w:val="32"/>
          <w:szCs w:val="32"/>
          <w:highlight w:val="none"/>
          <w:lang w:val="en-US" w:eastAsia="zh-CN"/>
        </w:rPr>
        <w:t>研究、</w:t>
      </w:r>
      <w:r>
        <w:rPr>
          <w:rFonts w:hint="eastAsia" w:ascii="仿宋_GB2312" w:hAnsi="Calibri" w:eastAsia="仿宋_GB2312" w:cs="Times New Roman"/>
          <w:color w:val="auto"/>
          <w:sz w:val="32"/>
          <w:szCs w:val="32"/>
          <w:highlight w:val="none"/>
          <w:lang w:val="en-US" w:eastAsia="zh-CN"/>
        </w:rPr>
        <w:t>技能大赛方面进行深度合作。与新疆钵施然智能农机股份有限公司、</w:t>
      </w:r>
      <w:r>
        <w:rPr>
          <w:rFonts w:hint="eastAsia" w:ascii="仿宋_GB2312" w:eastAsia="仿宋_GB2312" w:cs="Times New Roman"/>
          <w:color w:val="auto"/>
          <w:sz w:val="32"/>
          <w:szCs w:val="32"/>
          <w:highlight w:val="none"/>
          <w:lang w:val="en-US" w:eastAsia="zh-CN"/>
        </w:rPr>
        <w:t>乌苏市北方新科有限公司、天津远洋航空电子科技有限公司</w:t>
      </w:r>
      <w:r>
        <w:rPr>
          <w:rFonts w:hint="eastAsia" w:ascii="仿宋_GB2312" w:hAnsi="Calibri" w:eastAsia="仿宋_GB2312" w:cs="Times New Roman"/>
          <w:color w:val="auto"/>
          <w:sz w:val="32"/>
          <w:szCs w:val="32"/>
          <w:highlight w:val="none"/>
          <w:lang w:val="en-US" w:eastAsia="zh-CN"/>
        </w:rPr>
        <w:t>等企业</w:t>
      </w:r>
      <w:r>
        <w:rPr>
          <w:rFonts w:hint="eastAsia" w:ascii="仿宋_GB2312" w:eastAsia="仿宋_GB2312" w:cs="Times New Roman"/>
          <w:color w:val="auto"/>
          <w:sz w:val="32"/>
          <w:szCs w:val="32"/>
          <w:highlight w:val="none"/>
          <w:lang w:val="en-US" w:eastAsia="zh-CN"/>
        </w:rPr>
        <w:t>共同制定</w:t>
      </w:r>
      <w:r>
        <w:rPr>
          <w:rFonts w:hint="eastAsia" w:ascii="仿宋_GB2312" w:hAnsi="Calibri" w:eastAsia="仿宋_GB2312" w:cs="Times New Roman"/>
          <w:color w:val="auto"/>
          <w:sz w:val="32"/>
          <w:szCs w:val="32"/>
          <w:highlight w:val="none"/>
          <w:lang w:val="en-US" w:eastAsia="zh-CN"/>
        </w:rPr>
        <w:t>实训人才培养方案、实训指导书，学校负责文化基础课</w:t>
      </w:r>
      <w:r>
        <w:rPr>
          <w:rFonts w:hint="eastAsia" w:ascii="仿宋_GB2312" w:eastAsia="仿宋_GB2312" w:cs="Times New Roman"/>
          <w:color w:val="auto"/>
          <w:sz w:val="32"/>
          <w:szCs w:val="32"/>
          <w:highlight w:val="none"/>
          <w:lang w:val="en-US" w:eastAsia="zh-CN"/>
        </w:rPr>
        <w:t>，企业负责</w:t>
      </w:r>
      <w:r>
        <w:rPr>
          <w:rFonts w:hint="eastAsia" w:ascii="仿宋_GB2312" w:hAnsi="Calibri" w:eastAsia="仿宋_GB2312" w:cs="Times New Roman"/>
          <w:color w:val="auto"/>
          <w:sz w:val="32"/>
          <w:szCs w:val="32"/>
          <w:highlight w:val="none"/>
          <w:lang w:val="en-US" w:eastAsia="zh-CN"/>
        </w:rPr>
        <w:t>实战和市场化</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使</w:t>
      </w:r>
      <w:r>
        <w:rPr>
          <w:rFonts w:hint="eastAsia" w:ascii="仿宋_GB2312" w:eastAsia="仿宋_GB2312" w:cs="Times New Roman"/>
          <w:color w:val="auto"/>
          <w:sz w:val="32"/>
          <w:szCs w:val="32"/>
          <w:highlight w:val="none"/>
          <w:lang w:val="en-US" w:eastAsia="zh-CN"/>
        </w:rPr>
        <w:t>实训</w:t>
      </w:r>
      <w:r>
        <w:rPr>
          <w:rFonts w:hint="eastAsia" w:ascii="仿宋_GB2312" w:hAnsi="Calibri" w:eastAsia="仿宋_GB2312" w:cs="Times New Roman"/>
          <w:color w:val="auto"/>
          <w:sz w:val="32"/>
          <w:szCs w:val="32"/>
          <w:highlight w:val="none"/>
          <w:lang w:val="en-US" w:eastAsia="zh-CN"/>
        </w:rPr>
        <w:t>基地的能力建设有针对性和持续性。学校引入沈阳无距科技有限公司的无人机项目，将企业（设备、技术、工人）引入进驻学校，引进企业整体经营管理模式、企业文化等，促进了学校的标准化管理。学校根据教学计划，阶段性地将学生送到企业实习，每学期完成固定</w:t>
      </w:r>
      <w:r>
        <w:rPr>
          <w:rFonts w:hint="default" w:ascii="仿宋_GB2312" w:hAnsi="Calibri" w:eastAsia="仿宋_GB2312" w:cs="Times New Roman"/>
          <w:color w:val="auto"/>
          <w:sz w:val="32"/>
          <w:szCs w:val="32"/>
          <w:highlight w:val="none"/>
          <w:lang w:val="en-US" w:eastAsia="zh-CN"/>
        </w:rPr>
        <w:t>课时实训任务，学生实习期间，学校派教师管理</w:t>
      </w:r>
      <w:r>
        <w:rPr>
          <w:rFonts w:hint="eastAsia" w:ascii="仿宋_GB2312" w:hAnsi="Calibri" w:eastAsia="仿宋_GB2312" w:cs="Times New Roman"/>
          <w:color w:val="auto"/>
          <w:sz w:val="32"/>
          <w:szCs w:val="32"/>
          <w:highlight w:val="none"/>
          <w:lang w:val="en-US" w:eastAsia="zh-CN"/>
        </w:rPr>
        <w:t>学生</w:t>
      </w:r>
      <w:r>
        <w:rPr>
          <w:rFonts w:hint="default" w:ascii="仿宋_GB2312" w:hAnsi="Calibri" w:eastAsia="仿宋_GB2312" w:cs="Times New Roman"/>
          <w:color w:val="auto"/>
          <w:sz w:val="32"/>
          <w:szCs w:val="32"/>
          <w:highlight w:val="none"/>
          <w:lang w:val="en-US" w:eastAsia="zh-CN"/>
        </w:rPr>
        <w:t>，企业派师傅指导。企业技术人员参与实践教学，学生直接参与原料生产、产品生产、产品营销</w:t>
      </w:r>
      <w:r>
        <w:rPr>
          <w:rFonts w:hint="eastAsia" w:ascii="仿宋_GB2312" w:hAnsi="Calibri" w:eastAsia="仿宋_GB2312" w:cs="Times New Roman"/>
          <w:color w:val="auto"/>
          <w:sz w:val="32"/>
          <w:szCs w:val="32"/>
          <w:highlight w:val="none"/>
          <w:lang w:val="en-US" w:eastAsia="zh-CN"/>
        </w:rPr>
        <w:t>及售后</w:t>
      </w:r>
      <w:r>
        <w:rPr>
          <w:rFonts w:hint="default" w:ascii="仿宋_GB2312" w:hAnsi="Calibri" w:eastAsia="仿宋_GB2312" w:cs="Times New Roman"/>
          <w:color w:val="auto"/>
          <w:sz w:val="32"/>
          <w:szCs w:val="32"/>
          <w:highlight w:val="none"/>
          <w:lang w:val="en-US" w:eastAsia="zh-CN"/>
        </w:rPr>
        <w:t>等全过程，深切体验企业全真氛围，真正实现学校与企业的零距离接轨。</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全校11个专业进行了招生，2024年招收新生619人（机电技术应用73人、电气设备运行与控制39人、汽车运用与维修87人、新能源汽车运用与维修143人、计算机平面设计109人、焊接技术应用18人、无人机操控与维护24人、数控技术应用19人、高星级饭店运营与管理26人、现代通信技术应用29人、旅游服务与管理52人）。形成了以数控技术应用、焊接技术应用、机电技术应用为重点专业，以计算机平面设计、新能源汽车运用与维修、无人机操控与维护专业为特色专业，高水平打造形成装备制造专业群建设的新格局。</w:t>
      </w:r>
    </w:p>
    <w:p>
      <w:pPr>
        <w:pageBreakBefore w:val="0"/>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Calibri" w:eastAsia="仿宋_GB2312" w:cs="Times New Roman"/>
          <w:b/>
          <w:bCs/>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2024年专业建设标志性成果：</w:t>
      </w:r>
    </w:p>
    <w:p>
      <w:pPr>
        <w:pageBreakBefore w:val="0"/>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一是</w:t>
      </w:r>
      <w:r>
        <w:rPr>
          <w:rFonts w:hint="eastAsia" w:ascii="仿宋_GB2312" w:hAnsi="Calibri" w:eastAsia="仿宋_GB2312" w:cs="Times New Roman"/>
          <w:color w:val="auto"/>
          <w:sz w:val="32"/>
          <w:szCs w:val="32"/>
          <w:highlight w:val="none"/>
          <w:lang w:val="en-US" w:eastAsia="zh-CN"/>
        </w:rPr>
        <w:t>2024年新批复成立地区级汽修专业“杨学斌汽修技能大师工作室”1个，如图五。</w:t>
      </w:r>
      <w:r>
        <w:rPr>
          <w:rFonts w:hint="eastAsia" w:ascii="仿宋_GB2312" w:hAnsi="Calibri" w:eastAsia="仿宋_GB2312" w:cs="Times New Roman"/>
          <w:b/>
          <w:bCs/>
          <w:color w:val="auto"/>
          <w:kern w:val="2"/>
          <w:sz w:val="32"/>
          <w:szCs w:val="32"/>
          <w:lang w:val="en-US" w:eastAsia="zh-CN" w:bidi="ar-SA"/>
        </w:rPr>
        <w:t>二是</w:t>
      </w:r>
      <w:r>
        <w:rPr>
          <w:rFonts w:hint="eastAsia" w:ascii="仿宋_GB2312" w:hAnsi="Calibri" w:eastAsia="仿宋_GB2312" w:cs="Times New Roman"/>
          <w:color w:val="auto"/>
          <w:sz w:val="32"/>
          <w:szCs w:val="32"/>
          <w:highlight w:val="none"/>
          <w:lang w:val="en-US" w:eastAsia="zh-CN"/>
        </w:rPr>
        <w:t>建立涵盖机电、数控、无人机等专业的校级“名师名匠”工作室6个，见表六。</w:t>
      </w:r>
      <w:r>
        <w:rPr>
          <w:rFonts w:hint="eastAsia" w:ascii="仿宋_GB2312" w:hAnsi="Calibri" w:eastAsia="仿宋_GB2312" w:cs="Times New Roman"/>
          <w:b/>
          <w:bCs/>
          <w:color w:val="auto"/>
          <w:sz w:val="32"/>
          <w:szCs w:val="32"/>
          <w:highlight w:val="none"/>
          <w:lang w:val="en-US" w:eastAsia="zh-CN"/>
        </w:rPr>
        <w:t>三是</w:t>
      </w:r>
      <w:r>
        <w:rPr>
          <w:rFonts w:hint="eastAsia" w:ascii="仿宋_GB2312" w:hAnsi="Calibri" w:eastAsia="仿宋_GB2312" w:cs="Times New Roman"/>
          <w:color w:val="auto"/>
          <w:sz w:val="32"/>
          <w:szCs w:val="32"/>
          <w:highlight w:val="none"/>
          <w:lang w:val="en-US" w:eastAsia="zh-CN"/>
        </w:rPr>
        <w:t>2024年机电技术应用、焊接技术应用、数控技术应用、无人机操控与维护4个专业学生取得技师等级职业技能等级证书人数为44人，高级工22人，高技能人才的培养数量同比增长100%，见表七。</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p>
    <w:p>
      <w:pPr>
        <w:ind w:firstLine="420" w:firstLineChars="200"/>
        <w:rPr>
          <w:rFonts w:hint="eastAsia"/>
          <w:lang w:val="en-US" w:eastAsia="zh-CN"/>
        </w:rPr>
      </w:pPr>
    </w:p>
    <w:p>
      <w:pPr>
        <w:pageBreakBefore w:val="0"/>
        <w:numPr>
          <w:ilvl w:val="0"/>
          <w:numId w:val="0"/>
        </w:numPr>
        <w:kinsoku/>
        <w:wordWrap/>
        <w:overflowPunct/>
        <w:topLinePunct w:val="0"/>
        <w:autoSpaceDE/>
        <w:autoSpaceDN/>
        <w:bidi w:val="0"/>
        <w:adjustRightInd/>
        <w:snapToGrid/>
        <w:spacing w:beforeAutospacing="0" w:afterAutospacing="0" w:line="560" w:lineRule="exact"/>
        <w:textAlignment w:val="auto"/>
        <w:rPr>
          <w:rFonts w:hint="eastAsia" w:ascii="微软雅黑" w:hAnsi="微软雅黑" w:eastAsia="微软雅黑" w:cs="微软雅黑"/>
          <w:b w:val="0"/>
          <w:bCs w:val="0"/>
          <w:lang w:val="en-US" w:eastAsia="zh-CN"/>
        </w:rPr>
      </w:pPr>
    </w:p>
    <w:p>
      <w:pPr>
        <w:pStyle w:val="4"/>
        <w:pageBreakBefore w:val="0"/>
        <w:kinsoku/>
        <w:wordWrap/>
        <w:overflowPunct/>
        <w:topLinePunct w:val="0"/>
        <w:bidi w:val="0"/>
        <w:spacing w:beforeAutospacing="0" w:afterAutospacing="0" w:line="560" w:lineRule="exact"/>
        <w:ind w:left="0" w:leftChars="0" w:firstLine="2880" w:firstLineChars="900"/>
        <w:jc w:val="both"/>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anchor distT="0" distB="0" distL="114300" distR="114300" simplePos="0" relativeHeight="251682816" behindDoc="0" locked="0" layoutInCell="1" allowOverlap="1">
            <wp:simplePos x="0" y="0"/>
            <wp:positionH relativeFrom="column">
              <wp:posOffset>-307340</wp:posOffset>
            </wp:positionH>
            <wp:positionV relativeFrom="paragraph">
              <wp:posOffset>118110</wp:posOffset>
            </wp:positionV>
            <wp:extent cx="7030085" cy="6991985"/>
            <wp:effectExtent l="0" t="0" r="10795" b="3175"/>
            <wp:wrapTopAndBottom/>
            <wp:docPr id="23" name="图片 23" descr="8f5006a06771257d25680f0debe9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f5006a06771257d25680f0debe9b86"/>
                    <pic:cNvPicPr>
                      <a:picLocks noChangeAspect="1"/>
                    </pic:cNvPicPr>
                  </pic:nvPicPr>
                  <pic:blipFill>
                    <a:blip r:embed="rId21"/>
                    <a:stretch>
                      <a:fillRect/>
                    </a:stretch>
                  </pic:blipFill>
                  <pic:spPr>
                    <a:xfrm>
                      <a:off x="0" y="0"/>
                      <a:ext cx="7030085" cy="6991985"/>
                    </a:xfrm>
                    <a:prstGeom prst="rect">
                      <a:avLst/>
                    </a:prstGeom>
                  </pic:spPr>
                </pic:pic>
              </a:graphicData>
            </a:graphic>
          </wp:anchor>
        </w:drawing>
      </w:r>
      <w:r>
        <w:rPr>
          <w:rFonts w:hint="eastAsia" w:ascii="微软雅黑" w:hAnsi="微软雅黑" w:eastAsia="微软雅黑" w:cs="微软雅黑"/>
          <w:lang w:val="en-US" w:eastAsia="zh-CN"/>
        </w:rPr>
        <w:t>图五  杨学斌汽修技能大师工作室证书</w:t>
      </w:r>
    </w:p>
    <w:p>
      <w:pPr>
        <w:rPr>
          <w:rFonts w:hint="default" w:ascii="仿宋_GB2312" w:hAnsi="Calibri" w:eastAsia="仿宋_GB2312" w:cs="Times New Roman"/>
          <w:b/>
          <w:bCs/>
          <w:color w:val="auto"/>
          <w:kern w:val="2"/>
          <w:sz w:val="32"/>
          <w:szCs w:val="32"/>
          <w:lang w:val="en-US" w:eastAsia="zh-CN" w:bidi="ar-SA"/>
        </w:rPr>
      </w:pPr>
    </w:p>
    <w:tbl>
      <w:tblPr>
        <w:tblStyle w:val="15"/>
        <w:tblpPr w:leftFromText="180" w:rightFromText="180" w:vertAnchor="text" w:horzAnchor="page" w:tblpX="1177" w:tblpY="-6"/>
        <w:tblOverlap w:val="never"/>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410"/>
        <w:gridCol w:w="907"/>
        <w:gridCol w:w="1670"/>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b/>
                <w:bCs/>
                <w:sz w:val="21"/>
                <w:szCs w:val="21"/>
                <w:vertAlign w:val="baseline"/>
                <w:lang w:eastAsia="zh-CN"/>
              </w:rPr>
            </w:pPr>
            <w:r>
              <w:rPr>
                <w:rFonts w:hint="eastAsia" w:ascii="仿宋_GB2312" w:hAnsi="仿宋_GB2312" w:eastAsia="仿宋_GB2312" w:cs="仿宋_GB2312"/>
                <w:b/>
                <w:bCs/>
                <w:sz w:val="21"/>
                <w:szCs w:val="21"/>
                <w:vertAlign w:val="baseline"/>
                <w:lang w:eastAsia="zh-CN"/>
              </w:rPr>
              <w:t>序号</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b/>
                <w:bCs/>
                <w:sz w:val="21"/>
                <w:szCs w:val="21"/>
                <w:vertAlign w:val="baseline"/>
                <w:lang w:eastAsia="zh-CN"/>
              </w:rPr>
            </w:pPr>
            <w:r>
              <w:rPr>
                <w:rFonts w:hint="eastAsia" w:ascii="仿宋_GB2312" w:hAnsi="仿宋_GB2312" w:eastAsia="仿宋_GB2312" w:cs="仿宋_GB2312"/>
                <w:b/>
                <w:bCs/>
                <w:sz w:val="21"/>
                <w:szCs w:val="21"/>
                <w:vertAlign w:val="baseline"/>
                <w:lang w:eastAsia="zh-CN"/>
              </w:rPr>
              <w:t>工作室名称</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b/>
                <w:bCs/>
                <w:sz w:val="21"/>
                <w:szCs w:val="21"/>
                <w:vertAlign w:val="baseline"/>
                <w:lang w:eastAsia="zh-CN"/>
              </w:rPr>
            </w:pPr>
            <w:r>
              <w:rPr>
                <w:rFonts w:hint="eastAsia" w:ascii="仿宋_GB2312" w:hAnsi="仿宋_GB2312" w:eastAsia="仿宋_GB2312" w:cs="仿宋_GB2312"/>
                <w:b/>
                <w:bCs/>
                <w:sz w:val="21"/>
                <w:szCs w:val="21"/>
                <w:vertAlign w:val="baseline"/>
                <w:lang w:eastAsia="zh-CN"/>
              </w:rPr>
              <w:t>领衔人</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b/>
                <w:bCs/>
                <w:sz w:val="21"/>
                <w:szCs w:val="21"/>
                <w:vertAlign w:val="baseline"/>
                <w:lang w:eastAsia="zh-CN"/>
              </w:rPr>
            </w:pPr>
            <w:r>
              <w:rPr>
                <w:rFonts w:hint="eastAsia" w:ascii="仿宋_GB2312" w:hAnsi="仿宋_GB2312" w:eastAsia="仿宋_GB2312" w:cs="仿宋_GB2312"/>
                <w:b/>
                <w:bCs/>
                <w:sz w:val="21"/>
                <w:szCs w:val="21"/>
                <w:vertAlign w:val="baseline"/>
                <w:lang w:eastAsia="zh-CN"/>
              </w:rPr>
              <w:t>成员</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b/>
                <w:bCs/>
                <w:sz w:val="21"/>
                <w:szCs w:val="21"/>
                <w:vertAlign w:val="baseline"/>
                <w:lang w:eastAsia="zh-CN"/>
              </w:rPr>
            </w:pPr>
            <w:r>
              <w:rPr>
                <w:rFonts w:hint="eastAsia" w:ascii="仿宋_GB2312" w:hAnsi="仿宋_GB2312" w:eastAsia="仿宋_GB2312" w:cs="仿宋_GB2312"/>
                <w:b/>
                <w:bCs/>
                <w:sz w:val="21"/>
                <w:szCs w:val="21"/>
                <w:vertAlign w:val="baseline"/>
                <w:lang w:eastAsia="zh-CN"/>
              </w:rPr>
              <w:t>建设目标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1</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国家通用语言文字</w:t>
            </w:r>
            <w:r>
              <w:rPr>
                <w:rFonts w:hint="eastAsia" w:ascii="仿宋_GB2312" w:hAnsi="仿宋_GB2312" w:eastAsia="仿宋_GB2312" w:cs="仿宋_GB2312"/>
                <w:sz w:val="21"/>
                <w:szCs w:val="21"/>
                <w:vertAlign w:val="baseline"/>
              </w:rPr>
              <w:t>名师工作室</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任桂华</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宋体"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李琴、高伟芳、</w:t>
            </w:r>
            <w:r>
              <w:rPr>
                <w:rFonts w:hint="eastAsia" w:ascii="仿宋_GB2312" w:hAnsi="仿宋_GB2312" w:eastAsia="仿宋_GB2312" w:cs="仿宋_GB2312"/>
                <w:sz w:val="21"/>
                <w:szCs w:val="21"/>
                <w:vertAlign w:val="baseline"/>
                <w:lang w:val="en-US" w:eastAsia="zh-CN"/>
              </w:rPr>
              <w:t>白雪、</w:t>
            </w:r>
            <w:r>
              <w:rPr>
                <w:rFonts w:hint="eastAsia" w:ascii="仿宋_GB2312" w:hAnsi="仿宋_GB2312" w:eastAsia="仿宋_GB2312" w:cs="仿宋_GB2312"/>
                <w:sz w:val="21"/>
                <w:szCs w:val="21"/>
                <w:vertAlign w:val="baseline"/>
                <w:lang w:eastAsia="zh-CN"/>
              </w:rPr>
              <w:t>银卡尔</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rPr>
              <w:t>（1）提升教学质量（2）</w:t>
            </w:r>
            <w:r>
              <w:rPr>
                <w:rFonts w:hint="eastAsia" w:ascii="仿宋_GB2312" w:hAnsi="仿宋_GB2312" w:eastAsia="仿宋_GB2312" w:cs="仿宋_GB2312"/>
                <w:sz w:val="21"/>
                <w:szCs w:val="21"/>
                <w:vertAlign w:val="baseline"/>
                <w:lang w:val="en-US" w:eastAsia="zh-CN"/>
              </w:rPr>
              <w:t>开展</w:t>
            </w:r>
            <w:r>
              <w:rPr>
                <w:rFonts w:hint="eastAsia" w:ascii="仿宋_GB2312" w:hAnsi="仿宋_GB2312" w:eastAsia="仿宋_GB2312" w:cs="仿宋_GB2312"/>
                <w:sz w:val="21"/>
                <w:szCs w:val="21"/>
                <w:vertAlign w:val="baseline"/>
              </w:rPr>
              <w:t>师资培训</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打造一支高素质的教师队伍（3）</w:t>
            </w:r>
            <w:r>
              <w:rPr>
                <w:rFonts w:hint="eastAsia" w:ascii="仿宋_GB2312" w:hAnsi="仿宋_GB2312" w:eastAsia="仿宋_GB2312" w:cs="仿宋_GB2312"/>
                <w:sz w:val="21"/>
                <w:szCs w:val="21"/>
                <w:vertAlign w:val="baseline"/>
                <w:lang w:val="en-US" w:eastAsia="zh-CN"/>
              </w:rPr>
              <w:t>强化</w:t>
            </w:r>
            <w:r>
              <w:rPr>
                <w:rFonts w:hint="eastAsia" w:ascii="仿宋_GB2312" w:hAnsi="仿宋_GB2312" w:eastAsia="仿宋_GB2312" w:cs="仿宋_GB2312"/>
                <w:sz w:val="21"/>
                <w:szCs w:val="21"/>
                <w:vertAlign w:val="baseline"/>
              </w:rPr>
              <w:t>文化传承与创新</w:t>
            </w:r>
            <w:r>
              <w:rPr>
                <w:rFonts w:hint="eastAsia" w:ascii="仿宋_GB2312" w:hAnsi="仿宋_GB2312" w:eastAsia="仿宋_GB2312" w:cs="仿宋_GB2312"/>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trPr>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2</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中职思政名师工作室</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张莉</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朱世军、白雪、柳林、蔡红霞、王新霞、林璐璐</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以点带面</w:t>
            </w:r>
            <w:r>
              <w:rPr>
                <w:rFonts w:hint="eastAsia" w:ascii="仿宋_GB2312" w:hAnsi="仿宋_GB2312" w:eastAsia="仿宋_GB2312" w:cs="仿宋_GB2312"/>
                <w:sz w:val="21"/>
                <w:szCs w:val="21"/>
                <w:vertAlign w:val="baseline"/>
                <w:lang w:val="en-US" w:eastAsia="zh-CN"/>
              </w:rPr>
              <w:t>加强思政课程和课程思政建设。（2）</w:t>
            </w:r>
            <w:r>
              <w:rPr>
                <w:rFonts w:hint="eastAsia" w:ascii="仿宋_GB2312" w:hAnsi="仿宋_GB2312" w:eastAsia="仿宋_GB2312" w:cs="仿宋_GB2312"/>
                <w:sz w:val="21"/>
                <w:szCs w:val="21"/>
                <w:vertAlign w:val="baseline"/>
              </w:rPr>
              <w:t>师徒结对，青出于蓝</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实施“传、帮、带”</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3</w:t>
            </w:r>
            <w:r>
              <w:rPr>
                <w:rFonts w:hint="eastAsia" w:ascii="仿宋_GB2312" w:hAnsi="仿宋_GB2312" w:eastAsia="仿宋_GB2312" w:cs="仿宋_GB2312"/>
                <w:sz w:val="21"/>
                <w:szCs w:val="21"/>
                <w:vertAlign w:val="baseline"/>
                <w:lang w:eastAsia="zh-CN"/>
              </w:rPr>
              <w:t>）以研促教，科研兴</w:t>
            </w:r>
            <w:r>
              <w:rPr>
                <w:rFonts w:hint="eastAsia" w:ascii="仿宋_GB2312" w:hAnsi="仿宋_GB2312" w:eastAsia="仿宋_GB2312" w:cs="仿宋_GB2312"/>
                <w:sz w:val="21"/>
                <w:szCs w:val="21"/>
                <w:vertAlign w:val="baseline"/>
                <w:lang w:val="en-US" w:eastAsia="zh-CN"/>
              </w:rPr>
              <w:t>校，增强学校思政教育教学研究能力。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3</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电工名匠工作室</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朱新斌</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庄磊、居玛古丽·再那、刘妍初、阿娜尔古丽·白山</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Cs w:val="21"/>
              </w:rPr>
              <w:t>（1）</w:t>
            </w:r>
            <w:r>
              <w:rPr>
                <w:rFonts w:ascii="仿宋_GB2312" w:hAnsi="仿宋_GB2312" w:eastAsia="仿宋_GB2312" w:cs="仿宋_GB2312"/>
                <w:szCs w:val="21"/>
              </w:rPr>
              <w:t>培养出一批具备高技能水平的电工人才</w:t>
            </w:r>
            <w:r>
              <w:rPr>
                <w:rFonts w:hint="eastAsia" w:ascii="仿宋_GB2312" w:hAnsi="仿宋_GB2312" w:eastAsia="仿宋_GB2312" w:cs="仿宋_GB2312"/>
                <w:szCs w:val="21"/>
              </w:rPr>
              <w:t>。（2）</w:t>
            </w:r>
            <w:r>
              <w:rPr>
                <w:rFonts w:ascii="仿宋_GB2312" w:hAnsi="仿宋_GB2312" w:eastAsia="仿宋_GB2312" w:cs="仿宋_GB2312"/>
                <w:szCs w:val="21"/>
              </w:rPr>
              <w:t>培养出更多优秀的骨干教师</w:t>
            </w:r>
            <w:r>
              <w:rPr>
                <w:rFonts w:hint="eastAsia" w:ascii="仿宋_GB2312" w:hAnsi="仿宋_GB2312" w:eastAsia="仿宋_GB2312" w:cs="仿宋_GB2312"/>
                <w:szCs w:val="21"/>
              </w:rPr>
              <w:t>。（3）</w:t>
            </w:r>
            <w:r>
              <w:rPr>
                <w:rFonts w:ascii="仿宋_GB2312" w:hAnsi="仿宋_GB2312" w:eastAsia="仿宋_GB2312" w:cs="仿宋_GB2312"/>
                <w:szCs w:val="21"/>
              </w:rPr>
              <w:t>积极寻求与企业、其他学校或培训机构的合作机会，共同推动电工技能教育的发展。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4</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无人机装调检修名匠工作室</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刘鹏举</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白雪、马志路、王红斌、王志燕、邢晓峰</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（1）无人机及相关技术研发、技能推广及专利应用。（2）校内外无人机高技能</w:t>
            </w:r>
            <w:r>
              <w:rPr>
                <w:rFonts w:hint="eastAsia" w:ascii="仿宋_GB2312" w:hAnsi="仿宋_GB2312" w:eastAsia="仿宋_GB2312" w:cs="仿宋_GB2312"/>
                <w:sz w:val="21"/>
                <w:szCs w:val="21"/>
                <w:vertAlign w:val="baseline"/>
                <w:lang w:val="zh-CN"/>
              </w:rPr>
              <w:t>人才培养，</w:t>
            </w:r>
            <w:r>
              <w:rPr>
                <w:rFonts w:hint="eastAsia" w:ascii="仿宋_GB2312" w:hAnsi="仿宋_GB2312" w:eastAsia="仿宋_GB2312" w:cs="仿宋_GB2312"/>
                <w:szCs w:val="21"/>
                <w:lang w:val="en-US" w:eastAsia="zh-CN"/>
              </w:rPr>
              <w:t>打造无人机高技能人才队伍。</w:t>
            </w:r>
            <w:r>
              <w:rPr>
                <w:rFonts w:hint="eastAsia" w:ascii="仿宋_GB2312" w:hAnsi="仿宋_GB2312" w:eastAsia="仿宋_GB2312" w:cs="仿宋_GB2312"/>
                <w:sz w:val="21"/>
                <w:szCs w:val="21"/>
                <w:vertAlign w:val="baseline"/>
                <w:lang w:val="en-US" w:eastAsia="zh-CN"/>
              </w:rPr>
              <w:t>（3）开展校企合作，助力企业技术升级、产品升级、产业链升级。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5</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中职数学名师工作室</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鲁秀</w:t>
            </w:r>
            <w:r>
              <w:rPr>
                <w:rFonts w:hint="eastAsia" w:ascii="仿宋_GB2312" w:hAnsi="仿宋_GB2312" w:eastAsia="仿宋_GB2312" w:cs="仿宋_GB2312"/>
                <w:sz w:val="21"/>
                <w:szCs w:val="21"/>
                <w:vertAlign w:val="baseline"/>
                <w:lang w:val="en-US" w:eastAsia="zh-CN"/>
              </w:rPr>
              <w:t>芹</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沈婕、任煜明、胡光耀、孙奇</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textAlignment w:val="auto"/>
              <w:rPr>
                <w:rFonts w:hint="default" w:ascii="仿宋_GB2312" w:hAnsi="仿宋_GB2312" w:eastAsia="仿宋_GB2312" w:cs="仿宋_GB2312"/>
                <w:sz w:val="21"/>
                <w:szCs w:val="21"/>
                <w:vertAlign w:val="baseline"/>
                <w:lang w:val="en-US"/>
              </w:rPr>
            </w:pPr>
            <w:r>
              <w:rPr>
                <w:rFonts w:hint="eastAsia" w:ascii="仿宋_GB2312" w:hAnsi="仿宋_GB2312" w:eastAsia="仿宋_GB2312" w:cs="仿宋_GB2312"/>
                <w:sz w:val="21"/>
                <w:szCs w:val="21"/>
                <w:vertAlign w:val="baseline"/>
                <w:lang w:val="en-US" w:eastAsia="zh-CN"/>
              </w:rPr>
              <w:t>（1）建立一个高水平、专业化、具有影响力的中职数学名师团队。（2）以教学研讨为主要内容，强化学术提升和课堂、课题研究成效。（3）提升学校“三校生”数学教学质量。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853"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6</w:t>
            </w:r>
          </w:p>
        </w:tc>
        <w:tc>
          <w:tcPr>
            <w:tcW w:w="141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CAD机械设计名匠工作室</w:t>
            </w:r>
          </w:p>
        </w:tc>
        <w:tc>
          <w:tcPr>
            <w:tcW w:w="907"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罗嘉禾</w:t>
            </w:r>
          </w:p>
        </w:tc>
        <w:tc>
          <w:tcPr>
            <w:tcW w:w="1670"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徐璐璐、张妮娜、阿娜尔古丽、王康</w:t>
            </w:r>
          </w:p>
        </w:tc>
        <w:tc>
          <w:tcPr>
            <w:tcW w:w="4506" w:type="dxa"/>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促进机械设计及制造相关课程的教科研。（2）加强校内外人员培训，增强对地方经济的贡献力。</w:t>
            </w:r>
          </w:p>
        </w:tc>
      </w:tr>
    </w:tbl>
    <w:p>
      <w:pPr>
        <w:pStyle w:val="4"/>
        <w:pageBreakBefore w:val="0"/>
        <w:kinsoku/>
        <w:wordWrap/>
        <w:overflowPunct/>
        <w:topLinePunct w:val="0"/>
        <w:bidi w:val="0"/>
        <w:spacing w:beforeAutospacing="0" w:afterAutospacing="0" w:line="560" w:lineRule="exact"/>
        <w:ind w:left="0" w:leftChars="0" w:firstLine="0" w:firstLineChars="0"/>
        <w:jc w:val="center"/>
        <w:outlineLvl w:val="9"/>
        <w:rPr>
          <w:rFonts w:hint="eastAsia" w:ascii="微软雅黑" w:hAnsi="微软雅黑" w:eastAsia="微软雅黑" w:cs="微软雅黑"/>
          <w:lang w:val="en-US" w:eastAsia="zh-CN"/>
        </w:rPr>
      </w:pPr>
      <w:bookmarkStart w:id="86" w:name="_Toc10259"/>
      <w:bookmarkStart w:id="87" w:name="_Toc9529"/>
      <w:bookmarkStart w:id="88" w:name="_Toc148"/>
    </w:p>
    <w:p>
      <w:pPr>
        <w:pStyle w:val="4"/>
        <w:pageBreakBefore w:val="0"/>
        <w:kinsoku/>
        <w:wordWrap/>
        <w:overflowPunct/>
        <w:topLinePunct w:val="0"/>
        <w:bidi w:val="0"/>
        <w:spacing w:beforeAutospacing="0" w:afterAutospacing="0" w:line="560" w:lineRule="exact"/>
        <w:ind w:left="0" w:leftChars="0" w:firstLine="2880" w:firstLineChars="900"/>
        <w:jc w:val="both"/>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表六  校级名师名匠工作室</w:t>
      </w:r>
      <w:bookmarkEnd w:id="86"/>
      <w:bookmarkEnd w:id="87"/>
      <w:bookmarkEnd w:id="88"/>
    </w:p>
    <w:p>
      <w:pPr>
        <w:rPr>
          <w:rFonts w:hint="eastAsia" w:ascii="微软雅黑" w:hAnsi="微软雅黑" w:eastAsia="微软雅黑" w:cs="微软雅黑"/>
          <w:lang w:val="en-US" w:eastAsia="zh-CN"/>
        </w:rPr>
      </w:pPr>
    </w:p>
    <w:p>
      <w:pPr>
        <w:pStyle w:val="2"/>
        <w:rPr>
          <w:rFonts w:hint="eastAsia"/>
          <w:lang w:val="en-US" w:eastAsia="zh-CN"/>
        </w:rPr>
      </w:pPr>
    </w:p>
    <w:tbl>
      <w:tblPr>
        <w:tblStyle w:val="14"/>
        <w:tblW w:w="96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8"/>
        <w:gridCol w:w="1049"/>
        <w:gridCol w:w="2594"/>
        <w:gridCol w:w="2123"/>
        <w:gridCol w:w="1131"/>
        <w:gridCol w:w="2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代表队</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姓名</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参赛项目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奖项 </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证书等级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沙木哈尔·热哈提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刘鸿星</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什那尔·对山别克</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李鹏翔</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胡安·米拉提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阿依布塔·库恩勒恰提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宁发添</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饿合拉斯·叶尔兰</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迪娜拉·谢力克</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阿卜杜乃再尔·依明</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美拉木别克·米拉提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凯赛尔·纳优普</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朱晓轩</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热娜古丽·肉孜</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依巴代提·牙生</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努尔江·别克木拉提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曼迪娜·曼德西</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阿依先木·吐尔洪</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叶尔那尔·赛里克</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孜拉兰·努拉哈麦</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迪力木热提·热曼</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买合木提江·艾尔肯</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数控车</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阿依甫拉提·别克买买提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装配钳工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阿亚汗·叶勒克</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装配钳工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迪力夏提·玉苏甫</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装配钳工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胡什塔尔·努尔波拉提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装配钳工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托里木机·嘎尔玛其尔</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装配钳工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依里哈木·阿里木</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装配钳工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唐金磊</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郭勇</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臧梦歌</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文锦标</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魏成龙</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毛吾兰江·艾则孜</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艾热帕提·艾克日木</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艾尔肯·亚森</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巴合别尔根·木合亚提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努尔扎提·阿布里米提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无人机装调检修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Autospacing="0" w:afterAutospacing="0" w:line="560" w:lineRule="exact"/>
              <w:jc w:val="center"/>
              <w:rPr>
                <w:rFonts w:hint="eastAsia" w:ascii="宋体" w:hAnsi="宋体" w:eastAsia="宋体" w:cs="宋体"/>
                <w:i w:val="0"/>
                <w:iCs w:val="0"/>
                <w:color w:val="000000"/>
                <w:sz w:val="20"/>
                <w:szCs w:val="20"/>
                <w:u w:val="none"/>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王译博</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叶尔盼·卡木力江</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林振楠</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阿布都拉·亚森</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孙傲阳</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叶尔特斯·叶尔江</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伊拉力丁·阿布拉</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祖布哈尔·奴尔太</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优努斯·吐尔逊</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马小康</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阿力木江·艾沙江</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乃苏如拉·艾麦尔</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喀比力·艾则孜</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排黑尔丁·艾买尔</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木沙江·玉素因</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萨力·艾则孜</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张新</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叶尔阿勒·波拉提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尼玛加甫</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回辟斯胡勒·嘎勒桑</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鲁吐普拉·木塔里普</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米拉迪力·卖卖提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新能源汽车智能化技术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阿克太·海拉提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CAD机械设计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凯赛尔·阿布都如苏力</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CAD机械设计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阿丽努·阿吾勒别克</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CAD机械设计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徐鑫桐</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CAD机械设计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巴合别尔森·拜山哈孜</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CAD机械设计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乌苏市</w:t>
            </w:r>
          </w:p>
        </w:tc>
        <w:tc>
          <w:tcPr>
            <w:tcW w:w="2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托力木吉·阿尔斯林</w:t>
            </w:r>
          </w:p>
        </w:tc>
        <w:tc>
          <w:tcPr>
            <w:tcW w:w="2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CAD机械设计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鼓励奖</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高级工</w:t>
            </w:r>
          </w:p>
        </w:tc>
      </w:tr>
    </w:tbl>
    <w:p>
      <w:pPr>
        <w:pageBreakBefore w:val="0"/>
        <w:kinsoku/>
        <w:wordWrap/>
        <w:overflowPunct/>
        <w:topLinePunct w:val="0"/>
        <w:autoSpaceDE/>
        <w:autoSpaceDN/>
        <w:bidi w:val="0"/>
        <w:adjustRightInd/>
        <w:snapToGrid/>
        <w:spacing w:beforeAutospacing="0" w:afterAutospacing="0" w:line="560" w:lineRule="exact"/>
        <w:ind w:firstLine="640" w:firstLineChars="200"/>
        <w:jc w:val="center"/>
        <w:textAlignment w:val="auto"/>
        <w:rPr>
          <w:rFonts w:hint="eastAsia" w:ascii="微软雅黑" w:hAnsi="微软雅黑" w:eastAsia="微软雅黑" w:cs="微软雅黑"/>
          <w:color w:val="auto"/>
          <w:sz w:val="32"/>
          <w:szCs w:val="32"/>
          <w:highlight w:val="none"/>
          <w:lang w:val="en-US" w:eastAsia="zh-CN"/>
        </w:rPr>
      </w:pPr>
      <w:bookmarkStart w:id="89" w:name="_Toc3332"/>
      <w:bookmarkStart w:id="90" w:name="_Toc9122"/>
      <w:r>
        <w:rPr>
          <w:rFonts w:hint="eastAsia" w:ascii="微软雅黑" w:hAnsi="微软雅黑" w:eastAsia="微软雅黑" w:cs="微软雅黑"/>
          <w:sz w:val="32"/>
          <w:szCs w:val="32"/>
          <w:lang w:val="en-US" w:eastAsia="zh-CN"/>
        </w:rPr>
        <w:t>表七 学生技师、高级工技能等级证书汇总表</w:t>
      </w:r>
      <w:bookmarkEnd w:id="89"/>
      <w:bookmarkEnd w:id="90"/>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四是</w:t>
      </w:r>
      <w:r>
        <w:rPr>
          <w:rFonts w:hint="eastAsia" w:ascii="仿宋_GB2312" w:hAnsi="Calibri" w:eastAsia="仿宋_GB2312" w:cs="Times New Roman"/>
          <w:color w:val="auto"/>
          <w:sz w:val="32"/>
          <w:szCs w:val="32"/>
          <w:highlight w:val="none"/>
          <w:lang w:val="en-US" w:eastAsia="zh-CN"/>
        </w:rPr>
        <w:t>新能源汽车运用与维修专业2024年建成新能源汽车运用与维修实训车间2间，其中，新能源整车故障排除训练区1个，动力电池训练区1个、驱动电机训练区1个。能同时满足240人规模的实训，总面积达400平方米，见表八。</w:t>
      </w:r>
    </w:p>
    <w:p>
      <w:pPr>
        <w:pageBreakBefore w:val="0"/>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五是</w:t>
      </w:r>
      <w:r>
        <w:rPr>
          <w:rFonts w:hint="eastAsia" w:ascii="仿宋_GB2312" w:hAnsi="Calibri" w:eastAsia="仿宋_GB2312" w:cs="Times New Roman"/>
          <w:color w:val="auto"/>
          <w:sz w:val="32"/>
          <w:szCs w:val="32"/>
          <w:highlight w:val="none"/>
          <w:lang w:val="en-US" w:eastAsia="zh-CN"/>
        </w:rPr>
        <w:t>2024年共申报1+X项目4个试点院校证书项目，数控车铣加工、智能网联汽车检测与运维、汽车运用与维修、WPS办公应用证书制度试点工作，2024年全年共培训考核学生317人，获得1+X证书率为97%，见图六。</w:t>
      </w:r>
    </w:p>
    <w:p>
      <w:pPr>
        <w:pStyle w:val="2"/>
        <w:pageBreakBefore w:val="0"/>
        <w:kinsoku/>
        <w:wordWrap/>
        <w:overflowPunct/>
        <w:topLinePunct w:val="0"/>
        <w:bidi w:val="0"/>
        <w:spacing w:beforeAutospacing="0" w:after="0" w:afterAutospacing="0" w:line="560" w:lineRule="exact"/>
        <w:rPr>
          <w:rFonts w:hint="eastAsia"/>
          <w:lang w:val="en-US" w:eastAsia="zh-CN"/>
        </w:rPr>
      </w:pPr>
      <w:r>
        <w:rPr>
          <w:rFonts w:hint="eastAsia" w:eastAsia="楷体_GB2312" w:asciiTheme="majorHAnsi" w:hAnsiTheme="majorHAnsi" w:cstheme="majorBidi"/>
          <w:b/>
          <w:bCs/>
          <w:kern w:val="2"/>
          <w:sz w:val="32"/>
          <w:szCs w:val="32"/>
          <w:lang w:val="en-US" w:eastAsia="zh-CN" w:bidi="ar-SA"/>
        </w:rPr>
        <w:drawing>
          <wp:anchor distT="0" distB="0" distL="114300" distR="114300" simplePos="0" relativeHeight="251662336" behindDoc="0" locked="0" layoutInCell="1" allowOverlap="1">
            <wp:simplePos x="0" y="0"/>
            <wp:positionH relativeFrom="column">
              <wp:posOffset>184785</wp:posOffset>
            </wp:positionH>
            <wp:positionV relativeFrom="paragraph">
              <wp:posOffset>4033520</wp:posOffset>
            </wp:positionV>
            <wp:extent cx="5335905" cy="3450590"/>
            <wp:effectExtent l="0" t="0" r="13335" b="8890"/>
            <wp:wrapNone/>
            <wp:docPr id="16" name="图片 16" descr="343f2d56be1081e74e49543b3d7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3f2d56be1081e74e49543b3d74cd0"/>
                    <pic:cNvPicPr>
                      <a:picLocks noChangeAspect="1"/>
                    </pic:cNvPicPr>
                  </pic:nvPicPr>
                  <pic:blipFill>
                    <a:blip r:embed="rId22"/>
                    <a:stretch>
                      <a:fillRect/>
                    </a:stretch>
                  </pic:blipFill>
                  <pic:spPr>
                    <a:xfrm>
                      <a:off x="0" y="0"/>
                      <a:ext cx="5335905" cy="3450590"/>
                    </a:xfrm>
                    <a:prstGeom prst="rect">
                      <a:avLst/>
                    </a:prstGeom>
                  </pic:spPr>
                </pic:pic>
              </a:graphicData>
            </a:graphic>
          </wp:anchor>
        </w:drawing>
      </w:r>
      <w:bookmarkStart w:id="91" w:name="_Toc9912"/>
    </w:p>
    <w:bookmarkEnd w:id="91"/>
    <w:p>
      <w:pPr>
        <w:pageBreakBefore w:val="0"/>
        <w:kinsoku/>
        <w:wordWrap/>
        <w:overflowPunct/>
        <w:topLinePunct w:val="0"/>
        <w:bidi w:val="0"/>
        <w:snapToGrid w:val="0"/>
        <w:spacing w:beforeAutospacing="0" w:afterAutospacing="0" w:line="560" w:lineRule="exact"/>
        <w:rPr>
          <w:rFonts w:hint="eastAsia" w:eastAsia="楷体_GB2312" w:asciiTheme="majorHAnsi" w:hAnsiTheme="majorHAnsi" w:cstheme="majorBidi"/>
          <w:b/>
          <w:bCs/>
          <w:kern w:val="2"/>
          <w:sz w:val="32"/>
          <w:szCs w:val="32"/>
          <w:lang w:val="en-US" w:eastAsia="zh-CN" w:bidi="ar-SA"/>
        </w:rPr>
      </w:pPr>
      <w:r>
        <w:rPr>
          <w:rFonts w:hint="eastAsia" w:eastAsia="楷体_GB2312" w:asciiTheme="majorHAnsi" w:hAnsiTheme="majorHAnsi" w:cstheme="majorBidi"/>
          <w:b/>
          <w:bCs/>
          <w:kern w:val="2"/>
          <w:sz w:val="32"/>
          <w:szCs w:val="32"/>
          <w:lang w:val="en-US" w:eastAsia="zh-CN" w:bidi="ar-SA"/>
        </w:rPr>
        <w:drawing>
          <wp:anchor distT="0" distB="0" distL="114300" distR="114300" simplePos="0" relativeHeight="251663360" behindDoc="0" locked="0" layoutInCell="1" allowOverlap="1">
            <wp:simplePos x="0" y="0"/>
            <wp:positionH relativeFrom="column">
              <wp:posOffset>64770</wp:posOffset>
            </wp:positionH>
            <wp:positionV relativeFrom="paragraph">
              <wp:posOffset>1270</wp:posOffset>
            </wp:positionV>
            <wp:extent cx="5958205" cy="4476115"/>
            <wp:effectExtent l="0" t="0" r="635" b="4445"/>
            <wp:wrapNone/>
            <wp:docPr id="18" name="图片 18" descr="8833e80610d8a9a65db912fe520a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833e80610d8a9a65db912fe520affc"/>
                    <pic:cNvPicPr>
                      <a:picLocks noChangeAspect="1"/>
                    </pic:cNvPicPr>
                  </pic:nvPicPr>
                  <pic:blipFill>
                    <a:blip r:embed="rId23"/>
                    <a:stretch>
                      <a:fillRect/>
                    </a:stretch>
                  </pic:blipFill>
                  <pic:spPr>
                    <a:xfrm>
                      <a:off x="0" y="0"/>
                      <a:ext cx="5958205" cy="4476115"/>
                    </a:xfrm>
                    <a:prstGeom prst="rect">
                      <a:avLst/>
                    </a:prstGeom>
                  </pic:spPr>
                </pic:pic>
              </a:graphicData>
            </a:graphic>
          </wp:anchor>
        </w:drawing>
      </w:r>
    </w:p>
    <w:p>
      <w:pPr>
        <w:pageBreakBefore w:val="0"/>
        <w:kinsoku/>
        <w:wordWrap/>
        <w:overflowPunct/>
        <w:topLinePunct w:val="0"/>
        <w:bidi w:val="0"/>
        <w:snapToGrid w:val="0"/>
        <w:spacing w:beforeAutospacing="0" w:afterAutospacing="0" w:line="560" w:lineRule="exact"/>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3213" w:firstLineChars="1000"/>
        <w:rPr>
          <w:rFonts w:hint="default" w:eastAsia="楷体_GB2312" w:asciiTheme="majorHAnsi" w:hAnsiTheme="majorHAnsi" w:cstheme="majorBidi"/>
          <w:b/>
          <w:bCs/>
          <w:kern w:val="2"/>
          <w:sz w:val="32"/>
          <w:szCs w:val="32"/>
          <w:lang w:val="en-US" w:eastAsia="zh-CN" w:bidi="ar-SA"/>
        </w:rPr>
      </w:pPr>
      <w:r>
        <w:rPr>
          <w:rFonts w:hint="eastAsia" w:eastAsia="楷体_GB2312" w:asciiTheme="majorHAnsi" w:hAnsiTheme="majorHAnsi" w:cstheme="majorBidi"/>
          <w:b/>
          <w:bCs/>
          <w:kern w:val="2"/>
          <w:sz w:val="32"/>
          <w:szCs w:val="32"/>
          <w:lang w:val="en-US" w:eastAsia="zh-CN" w:bidi="ar-SA"/>
        </w:rPr>
        <w:t xml:space="preserve">  </w:t>
      </w:r>
    </w:p>
    <w:p>
      <w:pPr>
        <w:pageBreakBefore w:val="0"/>
        <w:kinsoku/>
        <w:wordWrap/>
        <w:overflowPunct/>
        <w:topLinePunct w:val="0"/>
        <w:bidi w:val="0"/>
        <w:snapToGrid w:val="0"/>
        <w:spacing w:beforeAutospacing="0" w:afterAutospacing="0" w:line="560" w:lineRule="exact"/>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rPr>
          <w:rFonts w:hint="eastAsia" w:eastAsia="楷体_GB2312" w:asciiTheme="majorHAnsi" w:hAnsiTheme="majorHAnsi" w:cstheme="majorBidi"/>
          <w:b/>
          <w:bCs/>
          <w:kern w:val="2"/>
          <w:sz w:val="32"/>
          <w:szCs w:val="32"/>
          <w:lang w:val="en-US" w:eastAsia="zh-CN" w:bidi="ar-SA"/>
        </w:rPr>
      </w:pPr>
    </w:p>
    <w:p>
      <w:pPr>
        <w:pStyle w:val="2"/>
        <w:pageBreakBefore w:val="0"/>
        <w:kinsoku/>
        <w:wordWrap/>
        <w:overflowPunct/>
        <w:topLinePunct w:val="0"/>
        <w:bidi w:val="0"/>
        <w:spacing w:beforeAutospacing="0" w:after="0" w:afterAutospacing="0" w:line="560" w:lineRule="exact"/>
        <w:rPr>
          <w:rFonts w:hint="eastAsia" w:eastAsia="楷体_GB2312" w:asciiTheme="majorHAnsi" w:hAnsiTheme="majorHAnsi" w:cstheme="majorBidi"/>
          <w:b/>
          <w:bCs/>
          <w:kern w:val="2"/>
          <w:sz w:val="32"/>
          <w:szCs w:val="32"/>
          <w:lang w:val="en-US" w:eastAsia="zh-CN" w:bidi="ar-SA"/>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bookmarkStart w:id="92" w:name="_Toc30756"/>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3" w:firstLineChars="200"/>
        <w:jc w:val="center"/>
        <w:outlineLvl w:val="9"/>
        <w:rPr>
          <w:rFonts w:hint="eastAsia"/>
          <w:lang w:val="en-US" w:eastAsia="zh-CN"/>
        </w:rPr>
      </w:pPr>
    </w:p>
    <w:p>
      <w:pPr>
        <w:pStyle w:val="5"/>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图六 “1+X”学生取证</w:t>
      </w:r>
      <w:bookmarkEnd w:id="92"/>
      <w:r>
        <w:rPr>
          <w:rFonts w:hint="eastAsia" w:ascii="微软雅黑" w:hAnsi="微软雅黑" w:eastAsia="微软雅黑" w:cs="微软雅黑"/>
          <w:b w:val="0"/>
          <w:bCs w:val="0"/>
          <w:lang w:val="en-US" w:eastAsia="zh-CN"/>
        </w:rPr>
        <w:t>考试</w:t>
      </w:r>
    </w:p>
    <w:tbl>
      <w:tblPr>
        <w:tblStyle w:val="19"/>
        <w:tblW w:w="8960"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5080"/>
        <w:gridCol w:w="917"/>
        <w:gridCol w:w="1134"/>
        <w:gridCol w:w="10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75" w:type="dxa"/>
            <w:vAlign w:val="top"/>
          </w:tcPr>
          <w:p>
            <w:pPr>
              <w:pageBreakBefore w:val="0"/>
              <w:kinsoku/>
              <w:wordWrap/>
              <w:overflowPunct/>
              <w:topLinePunct w:val="0"/>
              <w:bidi w:val="0"/>
              <w:spacing w:beforeAutospacing="0" w:afterAutospacing="0" w:line="560" w:lineRule="exact"/>
              <w:ind w:left="134"/>
              <w:rPr>
                <w:rFonts w:ascii="黑体" w:hAnsi="黑体" w:eastAsia="黑体" w:cs="黑体"/>
                <w:sz w:val="24"/>
                <w:szCs w:val="24"/>
              </w:rPr>
            </w:pPr>
            <w:r>
              <w:rPr>
                <w:rFonts w:ascii="黑体" w:hAnsi="黑体" w:eastAsia="黑体" w:cs="黑体"/>
                <w:spacing w:val="-5"/>
                <w:sz w:val="24"/>
                <w:szCs w:val="24"/>
              </w:rPr>
              <w:t>序号</w:t>
            </w:r>
          </w:p>
        </w:tc>
        <w:tc>
          <w:tcPr>
            <w:tcW w:w="5080" w:type="dxa"/>
            <w:vAlign w:val="top"/>
          </w:tcPr>
          <w:p>
            <w:pPr>
              <w:pageBreakBefore w:val="0"/>
              <w:kinsoku/>
              <w:wordWrap/>
              <w:overflowPunct/>
              <w:topLinePunct w:val="0"/>
              <w:bidi w:val="0"/>
              <w:spacing w:beforeAutospacing="0" w:afterAutospacing="0" w:line="560" w:lineRule="exact"/>
              <w:ind w:left="2177"/>
              <w:rPr>
                <w:rFonts w:ascii="黑体" w:hAnsi="黑体" w:eastAsia="黑体" w:cs="黑体"/>
                <w:sz w:val="24"/>
                <w:szCs w:val="24"/>
              </w:rPr>
            </w:pPr>
            <w:r>
              <w:rPr>
                <w:rFonts w:ascii="黑体" w:hAnsi="黑体" w:eastAsia="黑体" w:cs="黑体"/>
                <w:spacing w:val="-5"/>
                <w:sz w:val="24"/>
                <w:szCs w:val="24"/>
              </w:rPr>
              <w:t>指标</w:t>
            </w:r>
          </w:p>
        </w:tc>
        <w:tc>
          <w:tcPr>
            <w:tcW w:w="917" w:type="dxa"/>
            <w:vAlign w:val="top"/>
          </w:tcPr>
          <w:p>
            <w:pPr>
              <w:pageBreakBefore w:val="0"/>
              <w:kinsoku/>
              <w:wordWrap/>
              <w:overflowPunct/>
              <w:topLinePunct w:val="0"/>
              <w:bidi w:val="0"/>
              <w:spacing w:beforeAutospacing="0" w:afterAutospacing="0" w:line="560" w:lineRule="exact"/>
              <w:ind w:left="209"/>
              <w:rPr>
                <w:rFonts w:ascii="黑体" w:hAnsi="黑体" w:eastAsia="黑体" w:cs="黑体"/>
                <w:sz w:val="24"/>
                <w:szCs w:val="24"/>
              </w:rPr>
            </w:pPr>
            <w:r>
              <w:rPr>
                <w:rFonts w:ascii="黑体" w:hAnsi="黑体" w:eastAsia="黑体" w:cs="黑体"/>
                <w:spacing w:val="-8"/>
                <w:sz w:val="24"/>
                <w:szCs w:val="24"/>
              </w:rPr>
              <w:t>单位</w:t>
            </w:r>
          </w:p>
        </w:tc>
        <w:tc>
          <w:tcPr>
            <w:tcW w:w="1134" w:type="dxa"/>
            <w:vAlign w:val="top"/>
          </w:tcPr>
          <w:p>
            <w:pPr>
              <w:pStyle w:val="20"/>
              <w:pageBreakBefore w:val="0"/>
              <w:kinsoku/>
              <w:wordWrap/>
              <w:overflowPunct/>
              <w:topLinePunct w:val="0"/>
              <w:bidi w:val="0"/>
              <w:spacing w:beforeAutospacing="0" w:afterAutospacing="0" w:line="560" w:lineRule="exact"/>
              <w:ind w:left="153"/>
              <w:rPr>
                <w:rFonts w:ascii="黑体" w:hAnsi="黑体" w:eastAsia="黑体" w:cs="黑体"/>
                <w:sz w:val="24"/>
                <w:szCs w:val="24"/>
              </w:rPr>
            </w:pPr>
            <w:r>
              <w:rPr>
                <w:spacing w:val="-12"/>
                <w:sz w:val="24"/>
                <w:szCs w:val="24"/>
              </w:rPr>
              <w:t>2023</w:t>
            </w:r>
            <w:r>
              <w:rPr>
                <w:spacing w:val="3"/>
                <w:sz w:val="24"/>
                <w:szCs w:val="24"/>
              </w:rPr>
              <w:t xml:space="preserve"> </w:t>
            </w:r>
            <w:r>
              <w:rPr>
                <w:rFonts w:ascii="黑体" w:hAnsi="黑体" w:eastAsia="黑体" w:cs="黑体"/>
                <w:spacing w:val="-12"/>
                <w:sz w:val="24"/>
                <w:szCs w:val="24"/>
              </w:rPr>
              <w:t>年</w:t>
            </w:r>
          </w:p>
        </w:tc>
        <w:tc>
          <w:tcPr>
            <w:tcW w:w="1054" w:type="dxa"/>
            <w:vAlign w:val="top"/>
          </w:tcPr>
          <w:p>
            <w:pPr>
              <w:pStyle w:val="20"/>
              <w:pageBreakBefore w:val="0"/>
              <w:kinsoku/>
              <w:wordWrap/>
              <w:overflowPunct/>
              <w:topLinePunct w:val="0"/>
              <w:bidi w:val="0"/>
              <w:spacing w:beforeAutospacing="0" w:afterAutospacing="0" w:line="560" w:lineRule="exact"/>
              <w:ind w:left="113"/>
              <w:rPr>
                <w:rFonts w:ascii="黑体" w:hAnsi="黑体" w:eastAsia="黑体" w:cs="黑体"/>
                <w:sz w:val="24"/>
                <w:szCs w:val="24"/>
              </w:rPr>
            </w:pPr>
            <w:r>
              <w:rPr>
                <w:spacing w:val="-13"/>
                <w:sz w:val="24"/>
                <w:szCs w:val="24"/>
              </w:rPr>
              <w:t>2024</w:t>
            </w:r>
            <w:r>
              <w:rPr>
                <w:spacing w:val="8"/>
                <w:sz w:val="24"/>
                <w:szCs w:val="24"/>
              </w:rPr>
              <w:t xml:space="preserve"> </w:t>
            </w:r>
            <w:r>
              <w:rPr>
                <w:rFonts w:ascii="黑体" w:hAnsi="黑体" w:eastAsia="黑体" w:cs="黑体"/>
                <w:spacing w:val="-13"/>
                <w:sz w:val="24"/>
                <w:szCs w:val="24"/>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75" w:type="dxa"/>
            <w:tcBorders>
              <w:bottom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c>
          <w:tcPr>
            <w:tcW w:w="5080"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新增专业数量</w:t>
            </w:r>
          </w:p>
        </w:tc>
        <w:tc>
          <w:tcPr>
            <w:tcW w:w="917"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个</w:t>
            </w:r>
          </w:p>
        </w:tc>
        <w:tc>
          <w:tcPr>
            <w:tcW w:w="1134"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w:t>
            </w:r>
          </w:p>
        </w:tc>
        <w:tc>
          <w:tcPr>
            <w:tcW w:w="1054"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775"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5080" w:type="dxa"/>
            <w:tcBorders>
              <w:lef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“名师名匠”工作室新增数量</w:t>
            </w:r>
          </w:p>
        </w:tc>
        <w:tc>
          <w:tcPr>
            <w:tcW w:w="917"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个</w:t>
            </w:r>
          </w:p>
        </w:tc>
        <w:tc>
          <w:tcPr>
            <w:tcW w:w="1134"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c>
          <w:tcPr>
            <w:tcW w:w="1054"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775"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w:t>
            </w:r>
          </w:p>
        </w:tc>
        <w:tc>
          <w:tcPr>
            <w:tcW w:w="5080" w:type="dxa"/>
            <w:tcBorders>
              <w:lef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学生取得高级工及以上证书人数</w:t>
            </w:r>
          </w:p>
        </w:tc>
        <w:tc>
          <w:tcPr>
            <w:tcW w:w="917"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人</w:t>
            </w:r>
          </w:p>
        </w:tc>
        <w:tc>
          <w:tcPr>
            <w:tcW w:w="1134" w:type="dxa"/>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0</w:t>
            </w:r>
          </w:p>
        </w:tc>
        <w:tc>
          <w:tcPr>
            <w:tcW w:w="1054"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775"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w:t>
            </w:r>
          </w:p>
        </w:tc>
        <w:tc>
          <w:tcPr>
            <w:tcW w:w="5080" w:type="dxa"/>
            <w:tcBorders>
              <w:lef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w:t>
            </w:r>
            <w:r>
              <w:rPr>
                <w:rFonts w:hint="eastAsia" w:ascii="仿宋" w:hAnsi="仿宋" w:eastAsia="仿宋" w:cs="仿宋"/>
                <w:kern w:val="2"/>
                <w:sz w:val="24"/>
                <w:szCs w:val="24"/>
                <w:lang w:val="en-US" w:eastAsia="zh-CN" w:bidi="ar-SA"/>
              </w:rPr>
              <w:t>1+X</w:t>
            </w:r>
            <w:r>
              <w:rPr>
                <w:rFonts w:hint="default" w:ascii="仿宋" w:hAnsi="仿宋" w:eastAsia="仿宋" w:cs="仿宋"/>
                <w:kern w:val="2"/>
                <w:sz w:val="24"/>
                <w:szCs w:val="24"/>
                <w:lang w:val="en-US" w:eastAsia="zh-CN" w:bidi="ar-SA"/>
              </w:rPr>
              <w:t>”</w:t>
            </w:r>
            <w:r>
              <w:rPr>
                <w:rFonts w:hint="eastAsia" w:ascii="仿宋" w:hAnsi="仿宋" w:eastAsia="仿宋" w:cs="仿宋"/>
                <w:kern w:val="2"/>
                <w:sz w:val="24"/>
                <w:szCs w:val="24"/>
                <w:lang w:val="en-US" w:eastAsia="zh-CN" w:bidi="ar-SA"/>
              </w:rPr>
              <w:t>证书试点培训考核学生数</w:t>
            </w:r>
          </w:p>
        </w:tc>
        <w:tc>
          <w:tcPr>
            <w:tcW w:w="917"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人</w:t>
            </w:r>
          </w:p>
        </w:tc>
        <w:tc>
          <w:tcPr>
            <w:tcW w:w="1134"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328</w:t>
            </w:r>
          </w:p>
        </w:tc>
        <w:tc>
          <w:tcPr>
            <w:tcW w:w="1054"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75"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5080" w:type="dxa"/>
            <w:tcBorders>
              <w:lef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新建专业实训车间面积</w:t>
            </w:r>
          </w:p>
        </w:tc>
        <w:tc>
          <w:tcPr>
            <w:tcW w:w="917"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平方米</w:t>
            </w:r>
          </w:p>
        </w:tc>
        <w:tc>
          <w:tcPr>
            <w:tcW w:w="1134"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1560</w:t>
            </w:r>
          </w:p>
        </w:tc>
        <w:tc>
          <w:tcPr>
            <w:tcW w:w="1054" w:type="dxa"/>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400</w:t>
            </w:r>
          </w:p>
        </w:tc>
      </w:tr>
    </w:tbl>
    <w:p>
      <w:pPr>
        <w:pStyle w:val="2"/>
        <w:pageBreakBefore w:val="0"/>
        <w:kinsoku/>
        <w:wordWrap/>
        <w:overflowPunct/>
        <w:topLinePunct w:val="0"/>
        <w:bidi w:val="0"/>
        <w:spacing w:beforeAutospacing="0" w:after="0" w:afterAutospacing="0" w:line="560" w:lineRule="exact"/>
        <w:ind w:left="0" w:leftChars="0" w:firstLine="0" w:firstLineChars="0"/>
        <w:rPr>
          <w:rFonts w:hint="eastAsia" w:eastAsia="楷体_GB2312" w:asciiTheme="majorHAnsi" w:hAnsiTheme="majorHAnsi" w:cstheme="majorBidi"/>
          <w:b/>
          <w:bCs/>
          <w:kern w:val="2"/>
          <w:sz w:val="32"/>
          <w:szCs w:val="32"/>
          <w:lang w:val="en-US" w:eastAsia="zh-CN" w:bidi="ar-SA"/>
        </w:rPr>
      </w:pPr>
      <w:r>
        <w:drawing>
          <wp:anchor distT="0" distB="0" distL="114300" distR="114300" simplePos="0" relativeHeight="251671552" behindDoc="0" locked="0" layoutInCell="1" allowOverlap="1">
            <wp:simplePos x="0" y="0"/>
            <wp:positionH relativeFrom="column">
              <wp:posOffset>74295</wp:posOffset>
            </wp:positionH>
            <wp:positionV relativeFrom="paragraph">
              <wp:posOffset>-6985</wp:posOffset>
            </wp:positionV>
            <wp:extent cx="6082030" cy="3444875"/>
            <wp:effectExtent l="4445" t="4445" r="9525" b="40640"/>
            <wp:wrapNone/>
            <wp:docPr id="74" name="图表 2" descr="7b0a202020202263686172745265734964223a202232303437323232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Style w:val="2"/>
        <w:pageBreakBefore w:val="0"/>
        <w:kinsoku/>
        <w:wordWrap/>
        <w:overflowPunct/>
        <w:topLinePunct w:val="0"/>
        <w:bidi w:val="0"/>
        <w:spacing w:beforeAutospacing="0" w:after="0" w:afterAutospacing="0" w:line="560" w:lineRule="exact"/>
        <w:ind w:left="0" w:leftChars="0" w:firstLine="0" w:firstLineChars="0"/>
        <w:rPr>
          <w:rFonts w:hint="eastAsia"/>
          <w:lang w:val="en-US" w:eastAsia="zh-CN"/>
        </w:rPr>
      </w:pPr>
    </w:p>
    <w:p>
      <w:pPr>
        <w:pStyle w:val="6"/>
        <w:pageBreakBefore w:val="0"/>
        <w:kinsoku/>
        <w:wordWrap/>
        <w:overflowPunct/>
        <w:topLinePunct w:val="0"/>
        <w:bidi w:val="0"/>
        <w:spacing w:before="0" w:beforeAutospacing="0" w:after="0" w:afterAutospacing="0" w:line="560" w:lineRule="exact"/>
        <w:outlineLvl w:val="9"/>
        <w:rPr>
          <w:rFonts w:hint="eastAsia"/>
          <w:lang w:val="en-US" w:eastAsia="zh-CN"/>
        </w:rPr>
      </w:pPr>
      <w:bookmarkStart w:id="93" w:name="_Toc31531"/>
      <w:bookmarkStart w:id="94" w:name="_Toc15915"/>
      <w:bookmarkStart w:id="95" w:name="_Toc26074"/>
      <w:bookmarkStart w:id="96" w:name="_Toc22735"/>
    </w:p>
    <w:p>
      <w:pPr>
        <w:pStyle w:val="6"/>
        <w:pageBreakBefore w:val="0"/>
        <w:kinsoku/>
        <w:wordWrap/>
        <w:overflowPunct/>
        <w:topLinePunct w:val="0"/>
        <w:bidi w:val="0"/>
        <w:spacing w:before="0" w:beforeAutospacing="0" w:after="0" w:afterAutospacing="0" w:line="560" w:lineRule="exact"/>
        <w:outlineLvl w:val="9"/>
        <w:rPr>
          <w:rFonts w:hint="eastAsia"/>
          <w:lang w:val="en-US" w:eastAsia="zh-CN"/>
        </w:rPr>
      </w:pPr>
    </w:p>
    <w:p>
      <w:pPr>
        <w:pStyle w:val="4"/>
        <w:pageBreakBefore w:val="0"/>
        <w:kinsoku/>
        <w:wordWrap/>
        <w:overflowPunct/>
        <w:topLinePunct w:val="0"/>
        <w:bidi w:val="0"/>
        <w:spacing w:beforeAutospacing="0" w:afterAutospacing="0" w:line="560" w:lineRule="exact"/>
        <w:ind w:firstLine="640" w:firstLineChars="200"/>
        <w:jc w:val="center"/>
        <w:outlineLvl w:val="9"/>
        <w:rPr>
          <w:rFonts w:hint="eastAsia"/>
          <w:lang w:val="en-US" w:eastAsia="zh-CN"/>
        </w:rPr>
      </w:pPr>
      <w:bookmarkStart w:id="97" w:name="_Toc21898"/>
      <w:bookmarkStart w:id="98" w:name="_Toc15436"/>
    </w:p>
    <w:p>
      <w:pPr>
        <w:pStyle w:val="5"/>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表八  专业建设标志性成果统计表</w:t>
      </w:r>
      <w:bookmarkEnd w:id="97"/>
      <w:bookmarkEnd w:id="98"/>
    </w:p>
    <w:p>
      <w:pPr>
        <w:pageBreakBefore w:val="0"/>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Calibri" w:eastAsia="仿宋_GB2312" w:cs="Times New Roman"/>
          <w:b/>
          <w:bCs/>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【案例六】“1+X”WPS办公应用中级证书课程融通</w:t>
      </w:r>
      <w:bookmarkEnd w:id="93"/>
      <w:bookmarkEnd w:id="94"/>
      <w:bookmarkEnd w:id="95"/>
      <w:bookmarkEnd w:id="96"/>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塔城地区乌苏职业技术学校于2024年与北京金山办公软件股份有限公司开展了“1+X”WPS办公应用等级证书的课证融通。对于“WPS办公应用职业技能等级证”中级围绕与课程相关的职业技能等级证书标准，重构课程内容、更新教学标准、改革考核模式、创新教学方式、因材施教、明确教学改革目标、优化设计重构课程内容体系、以项目为引领，对技能训练项目进行了设置。</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明确教学改革目标。以动手操作为主，理论讲授为辅，理论以“精简、必需、够用”为原则，不宜过多过深，实践操作结合职业资格标准的岗位能力，选用“WPS办公应用职业技能等级证”考试作为考证标准，对课程的教学内容、课程标准进行设计，将考证内容与课程的教学内容一一对接，将课程标准与“WPS办公应用职业技能等级证”相融合，获得考试合格证书为目标进行教学。为此，课程的教学目标使学生掌握WPS办公应用职业技能，培养学生的专业信息技术能力和素养，为后续课程的学习、信息技术的应用打下必要的基础。</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优化设计，重构课程内容体系。“WPS办公应用职业技能等级证”（中级）考核标准规定的知识点和技能点比较多，学校对现有的课程体系进行了调整，通过对比各项内容，对课程内容进行补充，删掉相应的内容，对新课程进行开发，培养学生的职业能力。融合“1+X”证书制度的要求和行业标准，明确岗位需求和职业成长规律，合理设置课程。对现有教材的教学内容进行整合优化设计。依据北京金山办公软件股份有限公司2021年2月5日发布的WPS办公应用职业技能等级证书考核方案中级、考核方式均为线上机考考试.中级考核内容：1.文字文稿编辑2.汇报演示文稿制作3.表格数据的管理4.基础。开展项目式教学提供充分的、真实的企业开发素材与案例库。同时基于工作过程的教学理念解构课程内容，设计了基础模块、文字文稿编辑模块、汇报演示文稿制作模块、表格数据的管理模块等四个实践教学项目，把“WPS办公应用职业技能等级证”常用的80 个知识点和技能融入这四个实践教学项目中，并分解成36个学习任务，最大限度地“WPS办公应用职业技能等级证”实践内容。</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项目引领。创新课程教学模式以“WPS办公应用职业技能等级证”中级为载体，面向企事业单位专职文员或技术岗位基本技能的需要，能够实现长文案的编辑、美化和打印，交互式多媒体演示文稿的制作与演示，应用数据表格对数据进行相应的处理并打印。对接“1+X”“WPS办公应用职业技能等级证”中级考证要求，将“WPS办公应用职业技能等级证”划分为四个教学项目，分别是项目一文字文稿编辑、项目二演示文稿制作、项目三表格数据的管理项目四综合运用训练。与教学项目对应的知识点如下：项目一文字文稿的创建与操作环境设置、文字文稿的编辑、排版、保存与打印、云文档；项目二演示文稿的创建、演示文稿的编辑、排版、动画制作、定稿、演示；项目三表格数据的管理、工作簿与工作表的创建、数据管理、保护、保存、打印；项目四熟练掌握各模块的创建和使用。</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技能训练项目设置。信息技术课程（基础模块，“1+X”WPS办公应用职业技能等级证书融合课程）根据技能标准要求设置了技能训练项目，将“1+X”“WPS办公应用职业技能等级证”考试要求融入技能训练中，设置了3个技能训练项目：WPS文字操作、WPS演示文稿操作和WPS电子表格操作。</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ascii="仿宋_GB2312" w:hAnsi="Calibri" w:eastAsia="仿宋_GB2312" w:cs="Times New Roman"/>
          <w:color w:val="auto"/>
          <w:sz w:val="32"/>
          <w:szCs w:val="32"/>
          <w:highlight w:val="none"/>
          <w:lang w:val="en-US" w:eastAsia="zh-CN"/>
        </w:rPr>
      </w:pPr>
      <w:bookmarkStart w:id="99" w:name="_Toc25378"/>
      <w:bookmarkStart w:id="100" w:name="_Toc5722"/>
      <w:r>
        <w:rPr>
          <w:rFonts w:hint="eastAsia" w:eastAsia="楷体_GB2312" w:asciiTheme="majorHAnsi" w:hAnsiTheme="majorHAnsi" w:cstheme="majorBidi"/>
          <w:b/>
          <w:bCs/>
          <w:kern w:val="2"/>
          <w:sz w:val="32"/>
          <w:szCs w:val="32"/>
          <w:lang w:val="en-US" w:eastAsia="zh-CN" w:bidi="ar-SA"/>
        </w:rPr>
        <w:t>2.3.2课程建设质量</w:t>
      </w:r>
      <w:bookmarkEnd w:id="99"/>
      <w:bookmarkEnd w:id="100"/>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在课程建设方面，遵循认知规律和职业成长规律，从职业出发，把职业岗位能力要素、职业素养、企业文化和职业技能考核标准等融入课程内容和教学过程，进一步提升了学生职业能力，满足企业对技术技能人才职业能力的要求。</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学校各专业的每一门课程均建有课程标准，每一位老师按照课程标准进行教学活动。</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通过组织师生参加自治区、地区技能大赛获奖、精品课打造、师生公开课听评课、科研成果等形式进行课程质量监测，年终通过教学诊断进行分析，均收到满意的效果。</w:t>
      </w:r>
    </w:p>
    <w:p>
      <w:pPr>
        <w:pStyle w:val="2"/>
        <w:pageBreakBefore w:val="0"/>
        <w:kinsoku/>
        <w:wordWrap/>
        <w:overflowPunct/>
        <w:topLinePunct w:val="0"/>
        <w:bidi w:val="0"/>
        <w:spacing w:beforeAutospacing="0" w:after="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2024年学校精品课程建设4个（录制了汽修、计算机、思政、数学精品课），见图八，在2024年地区、自治区教学能力大赛中获奖2个，其中电工基础课刘妍初老师荣获自治区教学能力大赛二等奖。精品课程建设数量同比2023年增长400%，见图八。</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lang w:eastAsia="zh-CN"/>
        </w:rPr>
        <w:drawing>
          <wp:anchor distT="0" distB="0" distL="114300" distR="114300" simplePos="0" relativeHeight="251664384" behindDoc="0" locked="0" layoutInCell="1" allowOverlap="1">
            <wp:simplePos x="0" y="0"/>
            <wp:positionH relativeFrom="column">
              <wp:posOffset>38100</wp:posOffset>
            </wp:positionH>
            <wp:positionV relativeFrom="paragraph">
              <wp:posOffset>15240</wp:posOffset>
            </wp:positionV>
            <wp:extent cx="6173470" cy="3794760"/>
            <wp:effectExtent l="0" t="0" r="13970" b="0"/>
            <wp:wrapNone/>
            <wp:docPr id="11" name="图片 11" descr="3d0fff4daebb540bcf7ca9b1d08f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d0fff4daebb540bcf7ca9b1d08f103"/>
                    <pic:cNvPicPr>
                      <a:picLocks noChangeAspect="1"/>
                    </pic:cNvPicPr>
                  </pic:nvPicPr>
                  <pic:blipFill>
                    <a:blip r:embed="rId25"/>
                    <a:stretch>
                      <a:fillRect/>
                    </a:stretch>
                  </pic:blipFill>
                  <pic:spPr>
                    <a:xfrm>
                      <a:off x="0" y="0"/>
                      <a:ext cx="6173470" cy="3794760"/>
                    </a:xfrm>
                    <a:prstGeom prst="rect">
                      <a:avLst/>
                    </a:prstGeom>
                  </pic:spPr>
                </pic:pic>
              </a:graphicData>
            </a:graphic>
          </wp:anchor>
        </w:drawing>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Style w:val="5"/>
        <w:pageBreakBefore w:val="0"/>
        <w:kinsoku/>
        <w:wordWrap/>
        <w:overflowPunct/>
        <w:topLinePunct w:val="0"/>
        <w:bidi w:val="0"/>
        <w:spacing w:beforeAutospacing="0" w:afterAutospacing="0" w:line="560" w:lineRule="exact"/>
        <w:ind w:left="0" w:leftChars="0" w:firstLine="0" w:firstLineChars="0"/>
        <w:jc w:val="both"/>
        <w:outlineLvl w:val="9"/>
        <w:rPr>
          <w:rFonts w:hint="default"/>
          <w:lang w:val="en-US" w:eastAsia="zh-CN"/>
        </w:rPr>
      </w:pPr>
      <w:bookmarkStart w:id="101" w:name="_Toc25418"/>
      <w:r>
        <w:rPr>
          <w:rFonts w:hint="eastAsia"/>
          <w:lang w:val="en-US" w:eastAsia="zh-CN"/>
        </w:rPr>
        <w:t>图十三  教师参加职业院校青年教师教学竞赛获奖合影</w:t>
      </w:r>
      <w:bookmarkEnd w:id="101"/>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kinsoku/>
        <w:wordWrap/>
        <w:overflowPunct/>
        <w:topLinePunct w:val="0"/>
        <w:bidi w:val="0"/>
        <w:snapToGrid w:val="0"/>
        <w:spacing w:beforeAutospacing="0" w:afterAutospacing="0" w:line="560" w:lineRule="exact"/>
        <w:ind w:firstLine="640" w:firstLineChars="200"/>
        <w:jc w:val="center"/>
        <w:rPr>
          <w:rFonts w:hint="default" w:ascii="微软雅黑" w:hAnsi="微软雅黑" w:eastAsia="微软雅黑" w:cs="微软雅黑"/>
          <w:b/>
          <w:bCs/>
          <w:kern w:val="2"/>
          <w:sz w:val="32"/>
          <w:szCs w:val="32"/>
          <w:lang w:val="en-US" w:eastAsia="zh-CN" w:bidi="ar-SA"/>
        </w:rPr>
      </w:pPr>
      <w:r>
        <w:rPr>
          <w:rFonts w:hint="eastAsia" w:ascii="微软雅黑" w:hAnsi="微软雅黑" w:eastAsia="微软雅黑" w:cs="微软雅黑"/>
          <w:sz w:val="32"/>
          <w:szCs w:val="32"/>
          <w:lang w:val="en-US" w:eastAsia="zh-CN"/>
        </w:rPr>
        <w:t>图七 刘妍初老师荣获自治区教学能力大赛二等奖颁奖现场</w:t>
      </w:r>
    </w:p>
    <w:p>
      <w:pPr>
        <w:pageBreakBefore w:val="0"/>
        <w:kinsoku/>
        <w:wordWrap/>
        <w:overflowPunct/>
        <w:topLinePunct w:val="0"/>
        <w:bidi w:val="0"/>
        <w:snapToGrid w:val="0"/>
        <w:spacing w:beforeAutospacing="0" w:afterAutospacing="0" w:line="560" w:lineRule="exact"/>
        <w:ind w:firstLine="640" w:firstLineChars="200"/>
        <w:jc w:val="cente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drawing>
          <wp:anchor distT="0" distB="0" distL="114300" distR="114300" simplePos="0" relativeHeight="251665408" behindDoc="0" locked="0" layoutInCell="1" allowOverlap="1">
            <wp:simplePos x="0" y="0"/>
            <wp:positionH relativeFrom="column">
              <wp:posOffset>17145</wp:posOffset>
            </wp:positionH>
            <wp:positionV relativeFrom="paragraph">
              <wp:posOffset>59055</wp:posOffset>
            </wp:positionV>
            <wp:extent cx="6221095" cy="3504565"/>
            <wp:effectExtent l="0" t="0" r="12065" b="635"/>
            <wp:wrapTopAndBottom/>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6"/>
                    <a:stretch>
                      <a:fillRect/>
                    </a:stretch>
                  </pic:blipFill>
                  <pic:spPr>
                    <a:xfrm>
                      <a:off x="0" y="0"/>
                      <a:ext cx="6221095" cy="3504565"/>
                    </a:xfrm>
                    <a:prstGeom prst="rect">
                      <a:avLst/>
                    </a:prstGeom>
                    <a:noFill/>
                    <a:ln>
                      <a:noFill/>
                    </a:ln>
                  </pic:spPr>
                </pic:pic>
              </a:graphicData>
            </a:graphic>
          </wp:anchor>
        </w:drawing>
      </w:r>
      <w:bookmarkStart w:id="102" w:name="_Toc14179"/>
      <w:r>
        <w:rPr>
          <w:rFonts w:hint="eastAsia" w:ascii="微软雅黑" w:hAnsi="微软雅黑" w:eastAsia="微软雅黑" w:cs="微软雅黑"/>
          <w:sz w:val="32"/>
          <w:szCs w:val="32"/>
          <w:lang w:val="en-US" w:eastAsia="zh-CN"/>
        </w:rPr>
        <w:t>图八  教师录制精品课</w:t>
      </w:r>
      <w:bookmarkEnd w:id="102"/>
    </w:p>
    <w:p>
      <w:pPr>
        <w:pageBreakBefore w:val="0"/>
        <w:kinsoku/>
        <w:wordWrap/>
        <w:overflowPunct/>
        <w:topLinePunct w:val="0"/>
        <w:bidi w:val="0"/>
        <w:snapToGrid w:val="0"/>
        <w:spacing w:beforeAutospacing="0" w:afterAutospacing="0" w:line="560" w:lineRule="exact"/>
        <w:ind w:firstLine="643" w:firstLineChars="200"/>
        <w:rPr>
          <w:rFonts w:hint="eastAsia" w:eastAsia="楷体_GB2312" w:asciiTheme="majorHAnsi" w:hAnsiTheme="majorHAnsi" w:cstheme="majorBidi"/>
          <w:b/>
          <w:bCs/>
          <w:kern w:val="2"/>
          <w:sz w:val="32"/>
          <w:szCs w:val="32"/>
          <w:lang w:val="en-US" w:eastAsia="zh-CN" w:bidi="ar-SA"/>
        </w:rPr>
      </w:pPr>
    </w:p>
    <w:p>
      <w:pPr>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教师在专业建设方面的教研、科研水平实现稳步提升。2024年教师在国内发表论文8篇，自治区级思政类课题结题1个、地区级小课题结题5个、地区级科技类课题立项2个、地区级小课题立项1个。论文数量同比2023年增长100%，结题与立项数同比2023年增长50%，见图九、如表九。</w:t>
      </w:r>
    </w:p>
    <w:p>
      <w:pPr>
        <w:pStyle w:val="2"/>
        <w:pageBreakBefore w:val="0"/>
        <w:kinsoku/>
        <w:wordWrap/>
        <w:overflowPunct/>
        <w:topLinePunct w:val="0"/>
        <w:bidi w:val="0"/>
        <w:spacing w:beforeAutospacing="0" w:after="0" w:afterAutospacing="0" w:line="560" w:lineRule="exact"/>
        <w:rPr>
          <w:rFonts w:hint="eastAsia"/>
          <w:lang w:val="en-US" w:eastAsia="zh-CN"/>
        </w:rPr>
      </w:pPr>
      <w:r>
        <w:rPr>
          <w:rFonts w:hint="eastAsia" w:ascii="仿宋_GB2312" w:hAnsi="Calibri" w:eastAsia="仿宋_GB2312" w:cs="Times New Roman"/>
          <w:color w:val="auto"/>
          <w:sz w:val="32"/>
          <w:szCs w:val="32"/>
          <w:highlight w:val="none"/>
          <w:lang w:val="en-US" w:eastAsia="zh-CN"/>
        </w:rPr>
        <w:drawing>
          <wp:anchor distT="0" distB="0" distL="114300" distR="114300" simplePos="0" relativeHeight="251666432" behindDoc="0" locked="0" layoutInCell="1" allowOverlap="1">
            <wp:simplePos x="0" y="0"/>
            <wp:positionH relativeFrom="column">
              <wp:posOffset>988060</wp:posOffset>
            </wp:positionH>
            <wp:positionV relativeFrom="paragraph">
              <wp:posOffset>-927735</wp:posOffset>
            </wp:positionV>
            <wp:extent cx="4051935" cy="6197600"/>
            <wp:effectExtent l="0" t="0" r="5080" b="1905"/>
            <wp:wrapNone/>
            <wp:docPr id="6" name="图片 6" descr="65c6019fdc56dc5586bfbee357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5c6019fdc56dc5586bfbee35775724"/>
                    <pic:cNvPicPr>
                      <a:picLocks noChangeAspect="1"/>
                    </pic:cNvPicPr>
                  </pic:nvPicPr>
                  <pic:blipFill>
                    <a:blip r:embed="rId27"/>
                    <a:srcRect r="2226"/>
                    <a:stretch>
                      <a:fillRect/>
                    </a:stretch>
                  </pic:blipFill>
                  <pic:spPr>
                    <a:xfrm rot="16200000">
                      <a:off x="0" y="0"/>
                      <a:ext cx="4051935" cy="6197600"/>
                    </a:xfrm>
                    <a:prstGeom prst="rect">
                      <a:avLst/>
                    </a:prstGeom>
                  </pic:spPr>
                </pic:pic>
              </a:graphicData>
            </a:graphic>
          </wp:anchor>
        </w:drawing>
      </w: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2"/>
        <w:pageBreakBefore w:val="0"/>
        <w:kinsoku/>
        <w:wordWrap/>
        <w:overflowPunct/>
        <w:topLinePunct w:val="0"/>
        <w:bidi w:val="0"/>
        <w:spacing w:beforeAutospacing="0" w:after="0" w:afterAutospacing="0" w:line="560" w:lineRule="exact"/>
        <w:rPr>
          <w:rFonts w:hint="eastAsia"/>
          <w:lang w:val="en-US" w:eastAsia="zh-CN"/>
        </w:rPr>
      </w:pPr>
    </w:p>
    <w:p>
      <w:pPr>
        <w:pStyle w:val="5"/>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center"/>
        <w:textAlignment w:val="auto"/>
        <w:outlineLvl w:val="9"/>
        <w:rPr>
          <w:rFonts w:hint="eastAsia" w:ascii="微软雅黑" w:hAnsi="微软雅黑" w:eastAsia="微软雅黑" w:cs="微软雅黑"/>
          <w:sz w:val="32"/>
          <w:szCs w:val="32"/>
          <w:lang w:val="en-US" w:eastAsia="zh-CN"/>
        </w:rPr>
      </w:pPr>
      <w:bookmarkStart w:id="103" w:name="_Toc13692"/>
    </w:p>
    <w:p>
      <w:pPr>
        <w:pStyle w:val="5"/>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center"/>
        <w:textAlignment w:val="auto"/>
        <w:outlineLvl w:val="9"/>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图九  地区级课题结题证书</w:t>
      </w:r>
      <w:bookmarkEnd w:id="103"/>
      <w:bookmarkStart w:id="104" w:name="_Toc17306"/>
      <w:bookmarkStart w:id="105" w:name="_Toc20566"/>
    </w:p>
    <w:bookmarkEnd w:id="104"/>
    <w:bookmarkEnd w:id="105"/>
    <w:tbl>
      <w:tblPr>
        <w:tblStyle w:val="19"/>
        <w:tblW w:w="99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8"/>
        <w:gridCol w:w="5008"/>
        <w:gridCol w:w="904"/>
        <w:gridCol w:w="1217"/>
        <w:gridCol w:w="1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1038" w:type="dxa"/>
            <w:vAlign w:val="top"/>
          </w:tcPr>
          <w:p>
            <w:pPr>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ascii="黑体" w:hAnsi="黑体" w:eastAsia="黑体" w:cs="黑体"/>
                <w:sz w:val="24"/>
                <w:szCs w:val="24"/>
              </w:rPr>
            </w:pPr>
            <w:r>
              <w:rPr>
                <w:rFonts w:ascii="黑体" w:hAnsi="黑体" w:eastAsia="黑体" w:cs="黑体"/>
                <w:spacing w:val="-5"/>
                <w:sz w:val="24"/>
                <w:szCs w:val="24"/>
              </w:rPr>
              <w:t>序号</w:t>
            </w:r>
          </w:p>
        </w:tc>
        <w:tc>
          <w:tcPr>
            <w:tcW w:w="5008" w:type="dxa"/>
            <w:vAlign w:val="top"/>
          </w:tcPr>
          <w:p>
            <w:pPr>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ascii="黑体" w:hAnsi="黑体" w:eastAsia="黑体" w:cs="黑体"/>
                <w:sz w:val="24"/>
                <w:szCs w:val="24"/>
              </w:rPr>
            </w:pPr>
            <w:r>
              <w:rPr>
                <w:rFonts w:ascii="黑体" w:hAnsi="黑体" w:eastAsia="黑体" w:cs="黑体"/>
                <w:spacing w:val="-5"/>
                <w:sz w:val="24"/>
                <w:szCs w:val="24"/>
              </w:rPr>
              <w:t>指标</w:t>
            </w:r>
          </w:p>
        </w:tc>
        <w:tc>
          <w:tcPr>
            <w:tcW w:w="904" w:type="dxa"/>
            <w:vAlign w:val="top"/>
          </w:tcPr>
          <w:p>
            <w:pPr>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ascii="黑体" w:hAnsi="黑体" w:eastAsia="黑体" w:cs="黑体"/>
                <w:sz w:val="24"/>
                <w:szCs w:val="24"/>
              </w:rPr>
            </w:pPr>
            <w:r>
              <w:rPr>
                <w:rFonts w:ascii="黑体" w:hAnsi="黑体" w:eastAsia="黑体" w:cs="黑体"/>
                <w:spacing w:val="-8"/>
                <w:sz w:val="24"/>
                <w:szCs w:val="24"/>
              </w:rPr>
              <w:t>单位</w:t>
            </w:r>
          </w:p>
        </w:tc>
        <w:tc>
          <w:tcPr>
            <w:tcW w:w="1217"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ascii="黑体" w:hAnsi="黑体" w:eastAsia="黑体" w:cs="黑体"/>
                <w:sz w:val="24"/>
                <w:szCs w:val="24"/>
              </w:rPr>
            </w:pPr>
            <w:r>
              <w:rPr>
                <w:spacing w:val="-12"/>
                <w:sz w:val="24"/>
                <w:szCs w:val="24"/>
              </w:rPr>
              <w:t>2023</w:t>
            </w:r>
            <w:r>
              <w:rPr>
                <w:spacing w:val="3"/>
                <w:sz w:val="24"/>
                <w:szCs w:val="24"/>
              </w:rPr>
              <w:t xml:space="preserve"> </w:t>
            </w:r>
            <w:r>
              <w:rPr>
                <w:rFonts w:ascii="黑体" w:hAnsi="黑体" w:eastAsia="黑体" w:cs="黑体"/>
                <w:spacing w:val="-12"/>
                <w:sz w:val="24"/>
                <w:szCs w:val="24"/>
              </w:rPr>
              <w:t>年</w:t>
            </w:r>
          </w:p>
        </w:tc>
        <w:tc>
          <w:tcPr>
            <w:tcW w:w="1813"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ascii="黑体" w:hAnsi="黑体" w:eastAsia="黑体" w:cs="黑体"/>
                <w:sz w:val="24"/>
                <w:szCs w:val="24"/>
              </w:rPr>
            </w:pPr>
            <w:r>
              <w:rPr>
                <w:spacing w:val="-13"/>
                <w:sz w:val="24"/>
                <w:szCs w:val="24"/>
              </w:rPr>
              <w:t>2024</w:t>
            </w:r>
            <w:r>
              <w:rPr>
                <w:spacing w:val="8"/>
                <w:sz w:val="24"/>
                <w:szCs w:val="24"/>
              </w:rPr>
              <w:t xml:space="preserve"> </w:t>
            </w:r>
            <w:r>
              <w:rPr>
                <w:rFonts w:ascii="黑体" w:hAnsi="黑体" w:eastAsia="黑体" w:cs="黑体"/>
                <w:spacing w:val="-13"/>
                <w:sz w:val="24"/>
                <w:szCs w:val="24"/>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1038" w:type="dxa"/>
            <w:tcBorders>
              <w:bottom w:val="single" w:color="auto" w:sz="4" w:space="0"/>
            </w:tcBorders>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sz w:val="24"/>
                <w:szCs w:val="24"/>
              </w:rPr>
            </w:pPr>
            <w:r>
              <w:rPr>
                <w:sz w:val="24"/>
                <w:szCs w:val="24"/>
              </w:rPr>
              <w:t>1</w:t>
            </w:r>
          </w:p>
        </w:tc>
        <w:tc>
          <w:tcPr>
            <w:tcW w:w="5008"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sz w:val="24"/>
                <w:szCs w:val="24"/>
                <w:lang w:val="en-US" w:eastAsia="zh-CN"/>
              </w:rPr>
            </w:pPr>
            <w:r>
              <w:rPr>
                <w:rFonts w:hint="eastAsia" w:ascii="仿宋" w:hAnsi="仿宋" w:eastAsia="仿宋" w:cs="仿宋"/>
                <w:sz w:val="24"/>
                <w:szCs w:val="24"/>
                <w:lang w:val="en-US" w:eastAsia="zh-CN"/>
              </w:rPr>
              <w:t>校级精品课程建设数量</w:t>
            </w:r>
          </w:p>
        </w:tc>
        <w:tc>
          <w:tcPr>
            <w:tcW w:w="904" w:type="dxa"/>
            <w:vAlign w:val="top"/>
          </w:tcPr>
          <w:p>
            <w:pPr>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ascii="仿宋" w:hAnsi="仿宋" w:eastAsia="仿宋" w:cs="仿宋"/>
                <w:sz w:val="24"/>
                <w:szCs w:val="24"/>
                <w:lang w:val="en-US" w:eastAsia="zh-CN"/>
              </w:rPr>
            </w:pPr>
            <w:r>
              <w:rPr>
                <w:rFonts w:hint="eastAsia" w:ascii="Arial" w:hAnsi="Arial" w:eastAsia="宋体" w:cs="Arial"/>
                <w:kern w:val="2"/>
                <w:sz w:val="24"/>
                <w:szCs w:val="24"/>
                <w:lang w:val="en-US" w:eastAsia="zh-CN" w:bidi="ar-SA"/>
              </w:rPr>
              <w:t>个</w:t>
            </w:r>
          </w:p>
        </w:tc>
        <w:tc>
          <w:tcPr>
            <w:tcW w:w="1217"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eastAsia="宋体"/>
                <w:lang w:val="en-US" w:eastAsia="zh-CN"/>
              </w:rPr>
            </w:pPr>
            <w:r>
              <w:rPr>
                <w:rFonts w:hint="eastAsia" w:eastAsia="宋体"/>
                <w:lang w:val="en-US" w:eastAsia="zh-CN"/>
              </w:rPr>
              <w:t>0</w:t>
            </w:r>
          </w:p>
        </w:tc>
        <w:tc>
          <w:tcPr>
            <w:tcW w:w="1813"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firstLine="840" w:firstLineChars="400"/>
              <w:jc w:val="both"/>
              <w:textAlignment w:val="auto"/>
              <w:rPr>
                <w:rFonts w:hint="eastAsia" w:eastAsia="宋体"/>
                <w:lang w:val="en-US" w:eastAsia="zh-CN"/>
              </w:rPr>
            </w:pPr>
            <w:r>
              <w:rPr>
                <w:rFonts w:hint="eastAsia" w:eastAsia="宋体"/>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1038" w:type="dxa"/>
            <w:tcBorders>
              <w:top w:val="single" w:color="auto" w:sz="4" w:space="0"/>
              <w:left w:val="single" w:color="auto" w:sz="4" w:space="0"/>
              <w:bottom w:val="single" w:color="auto" w:sz="4" w:space="0"/>
              <w:right w:val="single" w:color="auto" w:sz="4" w:space="0"/>
            </w:tcBorders>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eastAsia="宋体"/>
                <w:sz w:val="24"/>
                <w:szCs w:val="24"/>
                <w:lang w:val="en-US" w:eastAsia="zh-CN"/>
              </w:rPr>
            </w:pPr>
            <w:r>
              <w:rPr>
                <w:rFonts w:hint="eastAsia" w:eastAsia="宋体"/>
                <w:sz w:val="24"/>
                <w:szCs w:val="24"/>
                <w:lang w:val="en-US" w:eastAsia="zh-CN"/>
              </w:rPr>
              <w:t>2</w:t>
            </w:r>
          </w:p>
        </w:tc>
        <w:tc>
          <w:tcPr>
            <w:tcW w:w="5008" w:type="dxa"/>
            <w:tcBorders>
              <w:left w:val="single" w:color="auto" w:sz="4" w:space="0"/>
            </w:tcBorders>
            <w:vAlign w:val="top"/>
          </w:tcPr>
          <w:p>
            <w:pPr>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地区及以上教学能力大赛中获奖数量</w:t>
            </w:r>
          </w:p>
        </w:tc>
        <w:tc>
          <w:tcPr>
            <w:tcW w:w="904"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eastAsia="宋体"/>
                <w:sz w:val="24"/>
                <w:szCs w:val="24"/>
                <w:lang w:val="en-US" w:eastAsia="zh-CN"/>
              </w:rPr>
            </w:pPr>
            <w:r>
              <w:rPr>
                <w:rFonts w:hint="eastAsia" w:eastAsia="宋体"/>
                <w:sz w:val="24"/>
                <w:szCs w:val="24"/>
                <w:lang w:val="en-US" w:eastAsia="zh-CN"/>
              </w:rPr>
              <w:t>个</w:t>
            </w:r>
          </w:p>
        </w:tc>
        <w:tc>
          <w:tcPr>
            <w:tcW w:w="1217"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eastAsia="宋体"/>
                <w:lang w:val="en-US" w:eastAsia="zh-CN"/>
              </w:rPr>
            </w:pPr>
            <w:r>
              <w:rPr>
                <w:rFonts w:hint="eastAsia" w:eastAsia="宋体"/>
                <w:lang w:val="en-US" w:eastAsia="zh-CN"/>
              </w:rPr>
              <w:t>0</w:t>
            </w:r>
          </w:p>
        </w:tc>
        <w:tc>
          <w:tcPr>
            <w:tcW w:w="1813"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lang w:val="en-US" w:eastAsia="zh-CN"/>
              </w:rPr>
            </w:pPr>
            <w:r>
              <w:rPr>
                <w:rFonts w:hint="eastAsia" w:eastAsia="宋体"/>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1038" w:type="dxa"/>
            <w:tcBorders>
              <w:top w:val="single" w:color="auto" w:sz="4" w:space="0"/>
              <w:left w:val="single" w:color="auto" w:sz="4" w:space="0"/>
              <w:bottom w:val="single" w:color="auto" w:sz="4" w:space="0"/>
              <w:right w:val="single" w:color="auto" w:sz="4" w:space="0"/>
            </w:tcBorders>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sz w:val="24"/>
                <w:szCs w:val="24"/>
              </w:rPr>
            </w:pPr>
            <w:r>
              <w:rPr>
                <w:sz w:val="24"/>
                <w:szCs w:val="24"/>
              </w:rPr>
              <w:t>3</w:t>
            </w:r>
          </w:p>
        </w:tc>
        <w:tc>
          <w:tcPr>
            <w:tcW w:w="5008" w:type="dxa"/>
            <w:tcBorders>
              <w:left w:val="single" w:color="auto" w:sz="4" w:space="0"/>
            </w:tcBorders>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sz w:val="24"/>
                <w:szCs w:val="24"/>
                <w:lang w:val="en-US" w:eastAsia="zh-CN"/>
              </w:rPr>
            </w:pPr>
            <w:r>
              <w:rPr>
                <w:rFonts w:hint="eastAsia" w:ascii="仿宋" w:hAnsi="仿宋" w:eastAsia="仿宋" w:cs="仿宋"/>
                <w:kern w:val="2"/>
                <w:sz w:val="24"/>
                <w:szCs w:val="24"/>
                <w:lang w:val="en-US" w:eastAsia="zh-CN" w:bidi="ar-SA"/>
              </w:rPr>
              <w:t>发表相关论文</w:t>
            </w:r>
          </w:p>
        </w:tc>
        <w:tc>
          <w:tcPr>
            <w:tcW w:w="904"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sz w:val="24"/>
                <w:szCs w:val="24"/>
                <w:lang w:val="en-US" w:eastAsia="zh-CN"/>
              </w:rPr>
            </w:pPr>
            <w:r>
              <w:rPr>
                <w:rFonts w:hint="eastAsia" w:eastAsia="宋体"/>
                <w:sz w:val="24"/>
                <w:szCs w:val="24"/>
                <w:lang w:val="en-US" w:eastAsia="zh-CN"/>
              </w:rPr>
              <w:t>篇</w:t>
            </w:r>
          </w:p>
        </w:tc>
        <w:tc>
          <w:tcPr>
            <w:tcW w:w="1217"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eastAsia="宋体"/>
                <w:lang w:val="en-US" w:eastAsia="zh-CN"/>
              </w:rPr>
            </w:pPr>
            <w:r>
              <w:rPr>
                <w:rFonts w:hint="eastAsia" w:eastAsia="宋体"/>
                <w:lang w:val="en-US" w:eastAsia="zh-CN"/>
              </w:rPr>
              <w:t>0</w:t>
            </w:r>
          </w:p>
        </w:tc>
        <w:tc>
          <w:tcPr>
            <w:tcW w:w="1813"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lang w:val="en-US" w:eastAsia="zh-CN"/>
              </w:rPr>
            </w:pPr>
            <w:r>
              <w:rPr>
                <w:rFonts w:hint="eastAsia" w:eastAsia="宋体"/>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1038" w:type="dxa"/>
            <w:tcBorders>
              <w:top w:val="single" w:color="auto" w:sz="4" w:space="0"/>
              <w:left w:val="single" w:color="auto" w:sz="4" w:space="0"/>
              <w:bottom w:val="single" w:color="auto" w:sz="4" w:space="0"/>
              <w:right w:val="single" w:color="auto" w:sz="4" w:space="0"/>
            </w:tcBorders>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eastAsia" w:eastAsia="宋体"/>
                <w:sz w:val="24"/>
                <w:szCs w:val="24"/>
                <w:lang w:val="en-US" w:eastAsia="zh-CN"/>
              </w:rPr>
            </w:pPr>
            <w:r>
              <w:rPr>
                <w:rFonts w:hint="eastAsia" w:eastAsia="宋体"/>
                <w:sz w:val="24"/>
                <w:szCs w:val="24"/>
                <w:lang w:val="en-US" w:eastAsia="zh-CN"/>
              </w:rPr>
              <w:t>4</w:t>
            </w:r>
          </w:p>
        </w:tc>
        <w:tc>
          <w:tcPr>
            <w:tcW w:w="5008" w:type="dxa"/>
            <w:tcBorders>
              <w:left w:val="single" w:color="auto" w:sz="4" w:space="0"/>
            </w:tcBorders>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课证融通</w:t>
            </w:r>
            <w:r>
              <w:rPr>
                <w:rFonts w:hint="default" w:ascii="仿宋" w:hAnsi="仿宋" w:eastAsia="仿宋" w:cs="仿宋"/>
                <w:kern w:val="2"/>
                <w:sz w:val="24"/>
                <w:szCs w:val="24"/>
                <w:lang w:val="en-US" w:eastAsia="zh-CN" w:bidi="ar-SA"/>
              </w:rPr>
              <w:t>“</w:t>
            </w:r>
            <w:r>
              <w:rPr>
                <w:rFonts w:hint="eastAsia" w:ascii="仿宋" w:hAnsi="仿宋" w:eastAsia="仿宋" w:cs="仿宋"/>
                <w:kern w:val="2"/>
                <w:sz w:val="24"/>
                <w:szCs w:val="24"/>
                <w:lang w:val="en-US" w:eastAsia="zh-CN" w:bidi="ar-SA"/>
              </w:rPr>
              <w:t>1+X</w:t>
            </w:r>
            <w:r>
              <w:rPr>
                <w:rFonts w:hint="default" w:ascii="仿宋" w:hAnsi="仿宋" w:eastAsia="仿宋" w:cs="仿宋"/>
                <w:kern w:val="2"/>
                <w:sz w:val="24"/>
                <w:szCs w:val="24"/>
                <w:lang w:val="en-US" w:eastAsia="zh-CN" w:bidi="ar-SA"/>
              </w:rPr>
              <w:t>”</w:t>
            </w:r>
            <w:r>
              <w:rPr>
                <w:rFonts w:hint="eastAsia" w:ascii="仿宋" w:hAnsi="仿宋" w:eastAsia="仿宋" w:cs="仿宋"/>
                <w:kern w:val="2"/>
                <w:sz w:val="24"/>
                <w:szCs w:val="24"/>
                <w:lang w:val="en-US" w:eastAsia="zh-CN" w:bidi="ar-SA"/>
              </w:rPr>
              <w:t>证书试点数量</w:t>
            </w:r>
          </w:p>
        </w:tc>
        <w:tc>
          <w:tcPr>
            <w:tcW w:w="904"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sz w:val="24"/>
                <w:szCs w:val="24"/>
                <w:lang w:val="en-US" w:eastAsia="zh-CN"/>
              </w:rPr>
            </w:pPr>
            <w:r>
              <w:rPr>
                <w:rFonts w:hint="eastAsia" w:eastAsia="宋体"/>
                <w:sz w:val="24"/>
                <w:szCs w:val="24"/>
                <w:lang w:val="en-US" w:eastAsia="zh-CN"/>
              </w:rPr>
              <w:t>个</w:t>
            </w:r>
          </w:p>
        </w:tc>
        <w:tc>
          <w:tcPr>
            <w:tcW w:w="1217"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lang w:val="en-US" w:eastAsia="zh-CN"/>
              </w:rPr>
            </w:pPr>
            <w:r>
              <w:rPr>
                <w:rFonts w:hint="eastAsia" w:eastAsia="宋体"/>
                <w:lang w:val="en-US" w:eastAsia="zh-CN"/>
              </w:rPr>
              <w:t>1</w:t>
            </w:r>
          </w:p>
        </w:tc>
        <w:tc>
          <w:tcPr>
            <w:tcW w:w="1813" w:type="dxa"/>
            <w:vAlign w:val="top"/>
          </w:tcPr>
          <w:p>
            <w:pPr>
              <w:pStyle w:val="20"/>
              <w:pageBreakBefore w:val="0"/>
              <w:widowControl w:val="0"/>
              <w:kinsoku/>
              <w:wordWrap/>
              <w:overflowPunct/>
              <w:topLinePunct w:val="0"/>
              <w:autoSpaceDE/>
              <w:autoSpaceDN/>
              <w:bidi w:val="0"/>
              <w:adjustRightInd/>
              <w:snapToGrid/>
              <w:spacing w:beforeAutospacing="0" w:afterAutospacing="0" w:line="560" w:lineRule="exact"/>
              <w:ind w:left="0"/>
              <w:jc w:val="center"/>
              <w:textAlignment w:val="auto"/>
              <w:rPr>
                <w:rFonts w:hint="default" w:eastAsia="宋体"/>
                <w:lang w:val="en-US" w:eastAsia="zh-CN"/>
              </w:rPr>
            </w:pPr>
            <w:r>
              <w:rPr>
                <w:rFonts w:hint="eastAsia" w:eastAsia="宋体"/>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038" w:type="dxa"/>
            <w:tcBorders>
              <w:top w:val="single" w:color="auto" w:sz="4" w:space="0"/>
              <w:left w:val="single" w:color="auto" w:sz="4" w:space="0"/>
              <w:bottom w:val="single" w:color="auto" w:sz="4" w:space="0"/>
              <w:right w:val="single" w:color="auto" w:sz="4" w:space="0"/>
            </w:tcBorders>
            <w:vAlign w:val="top"/>
          </w:tcPr>
          <w:p>
            <w:pPr>
              <w:pStyle w:val="20"/>
              <w:pageBreakBefore w:val="0"/>
              <w:widowControl w:val="0"/>
              <w:kinsoku/>
              <w:wordWrap/>
              <w:overflowPunct/>
              <w:topLinePunct w:val="0"/>
              <w:autoSpaceDE/>
              <w:autoSpaceDN/>
              <w:bidi w:val="0"/>
              <w:adjustRightInd w:val="0"/>
              <w:snapToGrid w:val="0"/>
              <w:spacing w:beforeAutospacing="0" w:afterAutospacing="0" w:line="560" w:lineRule="exact"/>
              <w:ind w:left="0"/>
              <w:jc w:val="center"/>
              <w:textAlignment w:val="auto"/>
              <w:rPr>
                <w:rFonts w:hint="default" w:eastAsia="宋体"/>
                <w:sz w:val="24"/>
                <w:szCs w:val="24"/>
                <w:lang w:val="en-US" w:eastAsia="zh-CN"/>
              </w:rPr>
            </w:pPr>
            <w:r>
              <w:rPr>
                <w:rFonts w:hint="eastAsia" w:eastAsia="宋体"/>
                <w:sz w:val="24"/>
                <w:szCs w:val="24"/>
                <w:lang w:val="en-US" w:eastAsia="zh-CN"/>
              </w:rPr>
              <w:t>5</w:t>
            </w:r>
          </w:p>
        </w:tc>
        <w:tc>
          <w:tcPr>
            <w:tcW w:w="5008" w:type="dxa"/>
            <w:tcBorders>
              <w:left w:val="single" w:color="auto" w:sz="4" w:space="0"/>
            </w:tcBorders>
            <w:vAlign w:val="top"/>
          </w:tcPr>
          <w:p>
            <w:pPr>
              <w:pStyle w:val="20"/>
              <w:pageBreakBefore w:val="0"/>
              <w:widowControl w:val="0"/>
              <w:kinsoku/>
              <w:wordWrap/>
              <w:overflowPunct/>
              <w:topLinePunct w:val="0"/>
              <w:autoSpaceDE/>
              <w:autoSpaceDN/>
              <w:bidi w:val="0"/>
              <w:adjustRightInd w:val="0"/>
              <w:snapToGrid w:val="0"/>
              <w:spacing w:beforeAutospacing="0" w:afterAutospacing="0" w:line="560" w:lineRule="exact"/>
              <w:ind w:left="0"/>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课题立项及结题数量</w:t>
            </w:r>
          </w:p>
        </w:tc>
        <w:tc>
          <w:tcPr>
            <w:tcW w:w="904" w:type="dxa"/>
            <w:vAlign w:val="top"/>
          </w:tcPr>
          <w:p>
            <w:pPr>
              <w:pStyle w:val="20"/>
              <w:pageBreakBefore w:val="0"/>
              <w:widowControl w:val="0"/>
              <w:kinsoku/>
              <w:wordWrap/>
              <w:overflowPunct/>
              <w:topLinePunct w:val="0"/>
              <w:autoSpaceDE/>
              <w:autoSpaceDN/>
              <w:bidi w:val="0"/>
              <w:adjustRightInd w:val="0"/>
              <w:snapToGrid w:val="0"/>
              <w:spacing w:beforeAutospacing="0" w:afterAutospacing="0" w:line="560" w:lineRule="exact"/>
              <w:ind w:left="0"/>
              <w:jc w:val="center"/>
              <w:textAlignment w:val="auto"/>
              <w:rPr>
                <w:rFonts w:hint="default" w:eastAsia="宋体"/>
                <w:sz w:val="24"/>
                <w:szCs w:val="24"/>
                <w:lang w:val="en-US" w:eastAsia="zh-CN"/>
              </w:rPr>
            </w:pPr>
            <w:r>
              <w:rPr>
                <w:rFonts w:hint="eastAsia" w:eastAsia="宋体"/>
                <w:sz w:val="24"/>
                <w:szCs w:val="24"/>
                <w:lang w:val="en-US" w:eastAsia="zh-CN"/>
              </w:rPr>
              <w:t>个</w:t>
            </w:r>
          </w:p>
        </w:tc>
        <w:tc>
          <w:tcPr>
            <w:tcW w:w="1217" w:type="dxa"/>
            <w:vAlign w:val="top"/>
          </w:tcPr>
          <w:p>
            <w:pPr>
              <w:pStyle w:val="20"/>
              <w:pageBreakBefore w:val="0"/>
              <w:widowControl w:val="0"/>
              <w:kinsoku/>
              <w:wordWrap/>
              <w:overflowPunct/>
              <w:topLinePunct w:val="0"/>
              <w:autoSpaceDE/>
              <w:autoSpaceDN/>
              <w:bidi w:val="0"/>
              <w:adjustRightInd w:val="0"/>
              <w:snapToGrid w:val="0"/>
              <w:spacing w:beforeAutospacing="0" w:afterAutospacing="0" w:line="560" w:lineRule="exact"/>
              <w:ind w:left="0"/>
              <w:jc w:val="center"/>
              <w:textAlignment w:val="auto"/>
              <w:rPr>
                <w:rFonts w:hint="default" w:eastAsia="宋体"/>
                <w:lang w:val="en-US" w:eastAsia="zh-CN"/>
              </w:rPr>
            </w:pPr>
            <w:r>
              <w:rPr>
                <w:rFonts w:hint="eastAsia" w:eastAsia="宋体"/>
                <w:lang w:val="en-US" w:eastAsia="zh-CN"/>
              </w:rPr>
              <w:t>6</w:t>
            </w:r>
          </w:p>
        </w:tc>
        <w:tc>
          <w:tcPr>
            <w:tcW w:w="1813" w:type="dxa"/>
            <w:vAlign w:val="top"/>
          </w:tcPr>
          <w:p>
            <w:pPr>
              <w:pStyle w:val="20"/>
              <w:pageBreakBefore w:val="0"/>
              <w:widowControl w:val="0"/>
              <w:kinsoku/>
              <w:wordWrap/>
              <w:overflowPunct/>
              <w:topLinePunct w:val="0"/>
              <w:autoSpaceDE/>
              <w:autoSpaceDN/>
              <w:bidi w:val="0"/>
              <w:adjustRightInd w:val="0"/>
              <w:snapToGrid w:val="0"/>
              <w:spacing w:beforeAutospacing="0" w:afterAutospacing="0" w:line="560" w:lineRule="exact"/>
              <w:ind w:left="0"/>
              <w:jc w:val="center"/>
              <w:textAlignment w:val="auto"/>
              <w:rPr>
                <w:rFonts w:hint="default" w:eastAsia="宋体"/>
                <w:lang w:val="en-US" w:eastAsia="zh-CN"/>
              </w:rPr>
            </w:pPr>
            <w:r>
              <w:rPr>
                <w:rFonts w:hint="eastAsia" w:eastAsia="宋体"/>
                <w:lang w:val="en-US" w:eastAsia="zh-CN"/>
              </w:rPr>
              <w:t>8</w:t>
            </w:r>
          </w:p>
        </w:tc>
      </w:tr>
    </w:tbl>
    <w:p>
      <w:pPr>
        <w:pageBreakBefore w:val="0"/>
        <w:widowControl w:val="0"/>
        <w:kinsoku/>
        <w:wordWrap/>
        <w:overflowPunct/>
        <w:topLinePunct w:val="0"/>
        <w:autoSpaceDE/>
        <w:autoSpaceDN/>
        <w:bidi w:val="0"/>
        <w:adjustRightInd w:val="0"/>
        <w:snapToGrid w:val="0"/>
        <w:spacing w:beforeAutospacing="0" w:afterAutospacing="0" w:line="560" w:lineRule="exact"/>
        <w:jc w:val="center"/>
        <w:textAlignment w:val="auto"/>
        <w:outlineLvl w:val="9"/>
        <w:rPr>
          <w:rFonts w:hint="eastAsia" w:ascii="微软雅黑" w:hAnsi="微软雅黑" w:eastAsia="微软雅黑" w:cs="微软雅黑"/>
          <w:b w:val="0"/>
          <w:bCs w:val="0"/>
          <w:kern w:val="2"/>
          <w:sz w:val="32"/>
          <w:szCs w:val="32"/>
          <w:lang w:val="en-US" w:eastAsia="zh-CN" w:bidi="ar-SA"/>
        </w:rPr>
      </w:pPr>
      <w:bookmarkStart w:id="106" w:name="_Toc19762"/>
      <w:bookmarkStart w:id="107" w:name="_Toc27875"/>
      <w:r>
        <w:rPr>
          <w:rFonts w:hint="eastAsia" w:ascii="微软雅黑" w:hAnsi="微软雅黑" w:eastAsia="微软雅黑" w:cs="微软雅黑"/>
          <w:b w:val="0"/>
          <w:bCs w:val="0"/>
          <w:kern w:val="2"/>
          <w:sz w:val="32"/>
          <w:szCs w:val="32"/>
          <w:lang w:val="en-US" w:eastAsia="zh-CN" w:bidi="ar-SA"/>
        </w:rPr>
        <w:t>表九  课程质量建设统计表</w:t>
      </w:r>
    </w:p>
    <w:p>
      <w:pPr>
        <w:pageBreakBefore w:val="0"/>
        <w:widowControl w:val="0"/>
        <w:kinsoku/>
        <w:wordWrap/>
        <w:overflowPunct/>
        <w:topLinePunct w:val="0"/>
        <w:autoSpaceDE/>
        <w:autoSpaceDN/>
        <w:bidi w:val="0"/>
        <w:adjustRightInd w:val="0"/>
        <w:snapToGrid w:val="0"/>
        <w:spacing w:beforeAutospacing="0" w:afterAutospacing="0" w:line="560" w:lineRule="exact"/>
        <w:ind w:firstLine="643" w:firstLineChars="200"/>
        <w:textAlignment w:val="auto"/>
        <w:outlineLvl w:val="2"/>
        <w:rPr>
          <w:rFonts w:hint="eastAsia" w:eastAsia="楷体_GB2312" w:asciiTheme="majorHAnsi" w:hAnsiTheme="majorHAnsi" w:cstheme="majorBidi"/>
          <w:b/>
          <w:bCs/>
          <w:color w:val="FF0000"/>
          <w:kern w:val="2"/>
          <w:sz w:val="32"/>
          <w:szCs w:val="32"/>
          <w:lang w:val="en-US" w:eastAsia="zh-CN" w:bidi="ar-SA"/>
        </w:rPr>
      </w:pPr>
      <w:r>
        <w:rPr>
          <w:rFonts w:hint="eastAsia" w:eastAsia="楷体_GB2312" w:asciiTheme="majorHAnsi" w:hAnsiTheme="majorHAnsi" w:cstheme="majorBidi"/>
          <w:b/>
          <w:bCs/>
          <w:kern w:val="2"/>
          <w:sz w:val="32"/>
          <w:szCs w:val="32"/>
          <w:lang w:val="en-US" w:eastAsia="zh-CN" w:bidi="ar-SA"/>
        </w:rPr>
        <w:t>2.3.3教学方法改革</w:t>
      </w:r>
      <w:bookmarkEnd w:id="106"/>
      <w:bookmarkEnd w:id="107"/>
    </w:p>
    <w:p>
      <w:pPr>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包括教学设计与内容改革、教学组织与实施改革、教学方法与手段改革（线上线下混合式教学</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、教学管理与评价改革等。</w:t>
      </w:r>
    </w:p>
    <w:p>
      <w:pPr>
        <w:pageBreakBefore w:val="0"/>
        <w:kinsoku/>
        <w:wordWrap/>
        <w:overflowPunct/>
        <w:topLinePunct w:val="0"/>
        <w:bidi w:val="0"/>
        <w:spacing w:beforeAutospacing="0" w:afterAutospacing="0"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根据全区2024年教育工作</w:t>
      </w:r>
      <w:r>
        <w:rPr>
          <w:rFonts w:hint="eastAsia" w:ascii="仿宋_GB2312" w:eastAsia="仿宋_GB2312"/>
          <w:sz w:val="32"/>
          <w:szCs w:val="32"/>
          <w:lang w:eastAsia="zh-CN"/>
        </w:rPr>
        <w:t>会议</w:t>
      </w:r>
      <w:r>
        <w:rPr>
          <w:rFonts w:hint="eastAsia" w:ascii="仿宋_GB2312" w:eastAsia="仿宋_GB2312"/>
          <w:sz w:val="32"/>
          <w:szCs w:val="32"/>
        </w:rPr>
        <w:t>精神和</w:t>
      </w:r>
      <w:r>
        <w:rPr>
          <w:rFonts w:hint="eastAsia" w:ascii="仿宋_GB2312" w:eastAsia="仿宋_GB2312"/>
          <w:sz w:val="32"/>
          <w:szCs w:val="32"/>
          <w:lang w:val="en-US" w:eastAsia="zh-CN"/>
        </w:rPr>
        <w:t>地区</w:t>
      </w:r>
      <w:r>
        <w:rPr>
          <w:rFonts w:hint="eastAsia" w:ascii="仿宋_GB2312" w:eastAsia="仿宋_GB2312"/>
          <w:sz w:val="32"/>
          <w:szCs w:val="32"/>
        </w:rPr>
        <w:t>2024年工作要点，为了进一步提升中职教育的吸引力，提高人才培养质量，充分满足学生就业有技能、升学有保障的需求，真正把人才培养目标落实落细。</w:t>
      </w:r>
      <w:r>
        <w:rPr>
          <w:rFonts w:hint="eastAsia" w:ascii="仿宋_GB2312" w:eastAsia="仿宋_GB2312"/>
          <w:sz w:val="32"/>
          <w:szCs w:val="32"/>
          <w:lang w:val="en-US" w:eastAsia="zh-CN"/>
        </w:rPr>
        <w:t>具体措施如下：</w:t>
      </w:r>
    </w:p>
    <w:p>
      <w:pPr>
        <w:pageBreakBefore w:val="0"/>
        <w:kinsoku/>
        <w:wordWrap/>
        <w:overflowPunct/>
        <w:topLinePunct w:val="0"/>
        <w:bidi w:val="0"/>
        <w:spacing w:beforeAutospacing="0" w:afterAutospacing="0" w:line="560" w:lineRule="exact"/>
        <w:ind w:firstLine="643" w:firstLineChars="200"/>
        <w:rPr>
          <w:rFonts w:hint="eastAsia" w:ascii="仿宋_GB2312" w:eastAsia="仿宋_GB2312"/>
          <w:sz w:val="32"/>
          <w:szCs w:val="32"/>
        </w:rPr>
      </w:pPr>
      <w:r>
        <w:rPr>
          <w:rFonts w:hint="eastAsia" w:ascii="仿宋_GB2312" w:eastAsia="仿宋_GB2312"/>
          <w:b/>
          <w:bCs/>
          <w:sz w:val="32"/>
          <w:szCs w:val="32"/>
        </w:rPr>
        <w:t>全面推行课程思政。</w:t>
      </w:r>
      <w:r>
        <w:rPr>
          <w:rFonts w:hint="eastAsia" w:ascii="仿宋_GB2312" w:eastAsia="仿宋_GB2312"/>
          <w:sz w:val="32"/>
          <w:szCs w:val="32"/>
        </w:rPr>
        <w:t>要求教师</w:t>
      </w:r>
      <w:r>
        <w:rPr>
          <w:rFonts w:hint="eastAsia" w:ascii="仿宋_GB2312" w:eastAsia="仿宋_GB2312"/>
          <w:sz w:val="32"/>
          <w:szCs w:val="32"/>
          <w:lang w:val="en-US" w:eastAsia="zh-CN"/>
        </w:rPr>
        <w:t>课前5分钟将德育融入教学内容，</w:t>
      </w:r>
      <w:r>
        <w:rPr>
          <w:rFonts w:hint="eastAsia" w:ascii="仿宋_GB2312" w:eastAsia="仿宋_GB2312"/>
          <w:sz w:val="32"/>
          <w:szCs w:val="32"/>
        </w:rPr>
        <w:t>更新教学观念，深挖学科思政因素，利用好每一个教育契机，潜心设计，精心育人，达到润物无声的效果，逐步改变学生学习上认识模糊、动因不足、兴趣不浓的局面，帮助学生明确学习目的、端正学习态度、激发学习动力、点燃理想之灯，让教师真正成为学生锤炼品格的引路人。学校适时开展</w:t>
      </w:r>
      <w:r>
        <w:rPr>
          <w:rFonts w:hint="eastAsia" w:ascii="仿宋_GB2312" w:eastAsia="仿宋_GB2312"/>
          <w:sz w:val="32"/>
          <w:szCs w:val="32"/>
          <w:lang w:val="en-US" w:eastAsia="zh-CN"/>
        </w:rPr>
        <w:t>了</w:t>
      </w:r>
      <w:r>
        <w:rPr>
          <w:rFonts w:hint="eastAsia" w:ascii="仿宋_GB2312" w:eastAsia="仿宋_GB2312"/>
          <w:sz w:val="32"/>
          <w:szCs w:val="32"/>
        </w:rPr>
        <w:t>课程思政大练兵大比拼</w:t>
      </w:r>
      <w:r>
        <w:rPr>
          <w:rFonts w:hint="eastAsia" w:ascii="仿宋_GB2312" w:eastAsia="仿宋_GB2312"/>
          <w:sz w:val="32"/>
          <w:szCs w:val="32"/>
          <w:lang w:eastAsia="zh-CN"/>
        </w:rPr>
        <w:t>。</w:t>
      </w:r>
      <w:r>
        <w:rPr>
          <w:rFonts w:hint="eastAsia" w:ascii="仿宋_GB2312" w:eastAsia="仿宋_GB2312"/>
          <w:sz w:val="32"/>
          <w:szCs w:val="32"/>
        </w:rPr>
        <w:t>让课程思政成为一种教学风格，变为教师自觉行动，坚决纠正和避免重教书、轻育人的现状，让中职生的课堂首先变成育人的主阵地。</w:t>
      </w:r>
    </w:p>
    <w:p>
      <w:pPr>
        <w:pageBreakBefore w:val="0"/>
        <w:kinsoku/>
        <w:wordWrap/>
        <w:overflowPunct/>
        <w:topLinePunct w:val="0"/>
        <w:bidi w:val="0"/>
        <w:spacing w:beforeAutospacing="0" w:afterAutospacing="0" w:line="560" w:lineRule="exact"/>
        <w:ind w:firstLine="643" w:firstLineChars="200"/>
        <w:rPr>
          <w:rFonts w:hint="eastAsia" w:ascii="仿宋_GB2312" w:eastAsia="仿宋_GB2312"/>
          <w:sz w:val="32"/>
          <w:szCs w:val="32"/>
        </w:rPr>
      </w:pPr>
      <w:r>
        <w:rPr>
          <w:rFonts w:hint="eastAsia" w:ascii="仿宋_GB2312" w:eastAsia="仿宋_GB2312"/>
          <w:b/>
          <w:sz w:val="32"/>
          <w:szCs w:val="32"/>
        </w:rPr>
        <w:t>采取得力措施，改进课堂教学组织管理。</w:t>
      </w:r>
      <w:r>
        <w:rPr>
          <w:rFonts w:hint="eastAsia" w:ascii="仿宋_GB2312" w:eastAsia="仿宋_GB2312"/>
          <w:sz w:val="32"/>
          <w:szCs w:val="32"/>
        </w:rPr>
        <w:t>注意调动学习的积极性，采取任务驱动、模块化教学、同伴互助等学习策略，让每个学生学有所获。</w:t>
      </w:r>
    </w:p>
    <w:p>
      <w:pPr>
        <w:pageBreakBefore w:val="0"/>
        <w:kinsoku/>
        <w:wordWrap/>
        <w:overflowPunct/>
        <w:topLinePunct w:val="0"/>
        <w:bidi w:val="0"/>
        <w:spacing w:beforeAutospacing="0" w:afterAutospacing="0" w:line="560" w:lineRule="exact"/>
        <w:ind w:firstLine="643" w:firstLineChars="200"/>
        <w:rPr>
          <w:rFonts w:hint="eastAsia" w:ascii="仿宋_GB2312" w:eastAsia="仿宋_GB2312"/>
          <w:sz w:val="32"/>
          <w:szCs w:val="32"/>
        </w:rPr>
      </w:pPr>
      <w:r>
        <w:rPr>
          <w:rFonts w:hint="eastAsia" w:ascii="仿宋_GB2312" w:eastAsia="仿宋_GB2312"/>
          <w:b/>
          <w:sz w:val="32"/>
          <w:szCs w:val="32"/>
        </w:rPr>
        <w:t>以学定教，大胆取舍，激发兴趣。</w:t>
      </w:r>
      <w:r>
        <w:rPr>
          <w:rFonts w:hint="eastAsia" w:ascii="仿宋_GB2312" w:eastAsia="仿宋_GB2312"/>
          <w:sz w:val="32"/>
          <w:szCs w:val="32"/>
        </w:rPr>
        <w:t>针对中职学生学习积极性不高、主动性不强、内驱力不足，学习兴趣不浓的学情，无论基础文化课，还是专业课紧紧围绕培养学生的学习兴趣，激发学习的兴趣点和内驱力，大胆进行课堂改革，整合教学内容，优化教学设计，精心打造有趣课堂</w:t>
      </w:r>
      <w:r>
        <w:rPr>
          <w:rFonts w:hint="eastAsia" w:ascii="仿宋_GB2312" w:eastAsia="仿宋_GB2312"/>
          <w:sz w:val="32"/>
          <w:szCs w:val="32"/>
          <w:lang w:eastAsia="zh-CN"/>
        </w:rPr>
        <w:t>，</w:t>
      </w:r>
      <w:r>
        <w:rPr>
          <w:rFonts w:hint="eastAsia" w:ascii="仿宋_GB2312" w:eastAsia="仿宋_GB2312"/>
          <w:sz w:val="32"/>
          <w:szCs w:val="32"/>
          <w:lang w:val="en-US" w:eastAsia="zh-CN"/>
        </w:rPr>
        <w:t>如图十</w:t>
      </w:r>
      <w:r>
        <w:rPr>
          <w:rFonts w:hint="eastAsia" w:ascii="仿宋_GB2312" w:eastAsia="仿宋_GB2312"/>
          <w:sz w:val="32"/>
          <w:szCs w:val="32"/>
        </w:rPr>
        <w:t>。</w:t>
      </w:r>
    </w:p>
    <w:p>
      <w:pPr>
        <w:pageBreakBefore w:val="0"/>
        <w:kinsoku/>
        <w:wordWrap/>
        <w:overflowPunct/>
        <w:topLinePunct w:val="0"/>
        <w:bidi w:val="0"/>
        <w:spacing w:beforeAutospacing="0" w:afterAutospacing="0" w:line="560" w:lineRule="exact"/>
        <w:ind w:firstLine="640" w:firstLineChars="200"/>
        <w:rPr>
          <w:rFonts w:hint="eastAsia" w:ascii="仿宋_GB2312" w:eastAsia="仿宋_GB2312"/>
          <w:sz w:val="32"/>
          <w:szCs w:val="32"/>
        </w:rPr>
      </w:pPr>
    </w:p>
    <w:p>
      <w:pPr>
        <w:pageBreakBefore w:val="0"/>
        <w:kinsoku/>
        <w:wordWrap/>
        <w:overflowPunct/>
        <w:topLinePunct w:val="0"/>
        <w:bidi w:val="0"/>
        <w:spacing w:beforeAutospacing="0" w:afterAutospacing="0" w:line="560" w:lineRule="exact"/>
        <w:ind w:firstLine="640" w:firstLineChars="200"/>
        <w:jc w:val="cente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rPr>
        <w:drawing>
          <wp:anchor distT="0" distB="0" distL="114300" distR="114300" simplePos="0" relativeHeight="251667456" behindDoc="0" locked="0" layoutInCell="1" allowOverlap="1">
            <wp:simplePos x="0" y="0"/>
            <wp:positionH relativeFrom="column">
              <wp:posOffset>79375</wp:posOffset>
            </wp:positionH>
            <wp:positionV relativeFrom="paragraph">
              <wp:posOffset>58420</wp:posOffset>
            </wp:positionV>
            <wp:extent cx="6002655" cy="3709035"/>
            <wp:effectExtent l="0" t="0" r="1905" b="9525"/>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8"/>
                    <a:stretch>
                      <a:fillRect/>
                    </a:stretch>
                  </pic:blipFill>
                  <pic:spPr>
                    <a:xfrm>
                      <a:off x="0" y="0"/>
                      <a:ext cx="6002655" cy="3709035"/>
                    </a:xfrm>
                    <a:prstGeom prst="rect">
                      <a:avLst/>
                    </a:prstGeom>
                    <a:noFill/>
                    <a:ln>
                      <a:noFill/>
                    </a:ln>
                  </pic:spPr>
                </pic:pic>
              </a:graphicData>
            </a:graphic>
          </wp:anchor>
        </w:drawing>
      </w:r>
      <w:bookmarkStart w:id="108" w:name="_Toc16517"/>
      <w:r>
        <w:rPr>
          <w:rFonts w:hint="eastAsia" w:ascii="微软雅黑" w:hAnsi="微软雅黑" w:eastAsia="微软雅黑" w:cs="微软雅黑"/>
          <w:sz w:val="32"/>
          <w:szCs w:val="32"/>
          <w:lang w:val="en-US" w:eastAsia="zh-CN"/>
        </w:rPr>
        <w:t>图十  大胆进行课程改革，模块化教学</w:t>
      </w:r>
      <w:bookmarkEnd w:id="108"/>
    </w:p>
    <w:p>
      <w:pPr>
        <w:pageBreakBefore w:val="0"/>
        <w:kinsoku/>
        <w:wordWrap/>
        <w:overflowPunct/>
        <w:topLinePunct w:val="0"/>
        <w:bidi w:val="0"/>
        <w:spacing w:beforeAutospacing="0" w:afterAutospacing="0" w:line="560" w:lineRule="exact"/>
        <w:ind w:firstLine="640" w:firstLineChars="200"/>
        <w:rPr>
          <w:rFonts w:hint="eastAsia" w:ascii="仿宋_GB2312" w:eastAsia="仿宋_GB2312"/>
          <w:sz w:val="32"/>
          <w:szCs w:val="32"/>
        </w:rPr>
      </w:pPr>
      <w:r>
        <w:rPr>
          <w:rFonts w:hint="eastAsia" w:ascii="仿宋_GB2312" w:eastAsia="仿宋_GB2312"/>
          <w:sz w:val="32"/>
          <w:szCs w:val="32"/>
        </w:rPr>
        <w:t>从学科实际出发，围绕人才培养目标，结合生源实际，大胆突出</w:t>
      </w:r>
      <w:r>
        <w:rPr>
          <w:rFonts w:hint="eastAsia" w:ascii="仿宋_GB2312" w:eastAsia="仿宋_GB2312"/>
          <w:sz w:val="32"/>
          <w:szCs w:val="32"/>
          <w:lang w:val="en-US" w:eastAsia="zh-CN"/>
        </w:rPr>
        <w:t>实操</w:t>
      </w:r>
      <w:r>
        <w:rPr>
          <w:rFonts w:hint="eastAsia" w:ascii="仿宋_GB2312" w:eastAsia="仿宋_GB2312"/>
          <w:sz w:val="32"/>
          <w:szCs w:val="32"/>
        </w:rPr>
        <w:t>，避免贪多嚼不烂。教师深入研究学情，研读课标，充分挖掘学科教学的重点和“兴趣点”，想方设法调动学生学习的积极性。坚决摈弃满堂灌、填鸭式教学，教师要通过情景化教学设计，或者任务驱动式教学、模块化教学等，删繁就简，把复杂的学习内容具体化、任务化、简单化、趣味化，让学生愿意而且有能力参与到学习进程中来，发现问题，解决问题。</w:t>
      </w:r>
    </w:p>
    <w:p>
      <w:pPr>
        <w:pageBreakBefore w:val="0"/>
        <w:kinsoku/>
        <w:wordWrap/>
        <w:overflowPunct/>
        <w:topLinePunct w:val="0"/>
        <w:bidi w:val="0"/>
        <w:spacing w:beforeAutospacing="0" w:afterAutospacing="0" w:line="560" w:lineRule="exact"/>
        <w:ind w:firstLine="643" w:firstLineChars="200"/>
        <w:rPr>
          <w:rFonts w:hint="eastAsia" w:ascii="仿宋_GB2312" w:eastAsia="仿宋_GB2312"/>
          <w:sz w:val="32"/>
          <w:szCs w:val="32"/>
        </w:rPr>
      </w:pPr>
      <w:r>
        <w:rPr>
          <w:rFonts w:hint="eastAsia" w:ascii="仿宋_GB2312" w:eastAsia="仿宋_GB2312"/>
          <w:b/>
          <w:sz w:val="32"/>
          <w:szCs w:val="32"/>
        </w:rPr>
        <w:t>以“够用会学”为基本原则，注重基础知识和基本能力培养。</w:t>
      </w:r>
      <w:r>
        <w:rPr>
          <w:rFonts w:hint="eastAsia" w:ascii="仿宋_GB2312" w:eastAsia="仿宋_GB2312"/>
          <w:sz w:val="32"/>
          <w:szCs w:val="32"/>
        </w:rPr>
        <w:t>教师采用现场教学或直观教学，强化教学实践环节，大力开展理实一体化教学，在做中学，在学中做，培养学生动手操作能力和知识迁移应用能力，让课堂教学真正与生产劳动相结合，为生产生活服务，让学生真正“动”起来，让学生充分“用”起来，从中深切体会学以致用和学习带来的“乐趣”。</w:t>
      </w:r>
    </w:p>
    <w:p>
      <w:pPr>
        <w:pageBreakBefore w:val="0"/>
        <w:kinsoku/>
        <w:wordWrap/>
        <w:overflowPunct/>
        <w:topLinePunct w:val="0"/>
        <w:bidi w:val="0"/>
        <w:spacing w:beforeAutospacing="0" w:afterAutospacing="0" w:line="560" w:lineRule="exact"/>
        <w:ind w:firstLine="643" w:firstLineChars="200"/>
        <w:rPr>
          <w:rFonts w:hint="eastAsia" w:ascii="仿宋_GB2312" w:hAnsi="Calibri" w:eastAsia="仿宋_GB2312" w:cs="Times New Roman"/>
          <w:sz w:val="32"/>
          <w:szCs w:val="32"/>
        </w:rPr>
      </w:pPr>
      <w:r>
        <w:rPr>
          <w:rFonts w:hint="eastAsia" w:ascii="仿宋_GB2312" w:eastAsia="仿宋_GB2312"/>
          <w:b/>
          <w:sz w:val="32"/>
          <w:szCs w:val="32"/>
        </w:rPr>
        <w:t>根据课程教学内容，充分利用信息化教学手段和多媒体技术，优化整合教学资源，让课堂变得生动有趣。</w:t>
      </w:r>
      <w:r>
        <w:rPr>
          <w:rFonts w:hint="eastAsia" w:ascii="仿宋_GB2312" w:eastAsia="仿宋_GB2312"/>
          <w:sz w:val="32"/>
          <w:szCs w:val="32"/>
        </w:rPr>
        <w:t>教师通过精心策划和整体设计，让课堂教学内容变得更直观、可体验、能互动，一改课堂往日的单调沉闷，让课堂充满活力，让学生满怀激情，在轻松愉快的课堂氛围中师生共同完成教学内容。</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109" w:name="_Toc23831"/>
      <w:bookmarkStart w:id="110" w:name="_Toc5530"/>
      <w:r>
        <w:rPr>
          <w:rFonts w:hint="eastAsia" w:eastAsia="楷体_GB2312" w:asciiTheme="majorHAnsi" w:hAnsiTheme="majorHAnsi" w:cstheme="majorBidi"/>
          <w:b/>
          <w:bCs/>
          <w:kern w:val="2"/>
          <w:sz w:val="32"/>
          <w:szCs w:val="32"/>
          <w:lang w:val="en-US" w:eastAsia="zh-CN" w:bidi="ar-SA"/>
        </w:rPr>
        <w:t>2.3.4数字化资源建设与应用。</w:t>
      </w:r>
      <w:bookmarkEnd w:id="109"/>
      <w:bookmarkEnd w:id="110"/>
    </w:p>
    <w:p>
      <w:pPr>
        <w:pStyle w:val="2"/>
        <w:pageBreakBefore w:val="0"/>
        <w:kinsoku/>
        <w:wordWrap/>
        <w:overflowPunct/>
        <w:topLinePunct w:val="0"/>
        <w:bidi w:val="0"/>
        <w:spacing w:beforeAutospacing="0" w:after="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学校基于教育部办公厅印发的《关于加快推进现代职业教育体系建设改革重点任务的通知》中的第5项任务“建设职业教育信息化学校”，推动信息技术与职业院校办学深度融合。引入了信息化建设这一概念。</w:t>
      </w:r>
    </w:p>
    <w:p>
      <w:pPr>
        <w:pStyle w:val="2"/>
        <w:pageBreakBefore w:val="0"/>
        <w:kinsoku/>
        <w:wordWrap/>
        <w:overflowPunct/>
        <w:topLinePunct w:val="0"/>
        <w:bidi w:val="0"/>
        <w:spacing w:beforeAutospacing="0" w:after="0" w:afterAutospacing="0" w:line="560" w:lineRule="exact"/>
        <w:ind w:firstLine="640" w:firstLineChars="200"/>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塔城地区乌苏职业技术学校</w:t>
      </w:r>
      <w:r>
        <w:rPr>
          <w:rFonts w:hint="default" w:ascii="仿宋_GB2312" w:hAnsi="Calibri" w:eastAsia="仿宋_GB2312" w:cs="Times New Roman"/>
          <w:sz w:val="32"/>
          <w:szCs w:val="32"/>
          <w:lang w:val="en-US" w:eastAsia="zh-CN"/>
        </w:rPr>
        <w:t>作为</w:t>
      </w:r>
      <w:r>
        <w:rPr>
          <w:rFonts w:hint="eastAsia" w:ascii="仿宋_GB2312" w:hAnsi="Calibri" w:eastAsia="仿宋_GB2312" w:cs="Times New Roman"/>
          <w:sz w:val="32"/>
          <w:szCs w:val="32"/>
          <w:lang w:val="en-US" w:eastAsia="zh-CN"/>
        </w:rPr>
        <w:t>地区</w:t>
      </w:r>
      <w:r>
        <w:rPr>
          <w:rFonts w:hint="default" w:ascii="仿宋_GB2312" w:hAnsi="Calibri" w:eastAsia="仿宋_GB2312" w:cs="Times New Roman"/>
          <w:sz w:val="32"/>
          <w:szCs w:val="32"/>
          <w:lang w:val="en-US" w:eastAsia="zh-CN"/>
        </w:rPr>
        <w:t>中等职业教育改革发</w:t>
      </w:r>
      <w:r>
        <w:rPr>
          <w:rFonts w:hint="eastAsia" w:ascii="仿宋_GB2312" w:hAnsi="Calibri" w:eastAsia="仿宋_GB2312" w:cs="Times New Roman"/>
          <w:sz w:val="32"/>
          <w:szCs w:val="32"/>
          <w:lang w:val="en-US" w:eastAsia="zh-CN"/>
        </w:rPr>
        <w:t>展的</w:t>
      </w:r>
      <w:r>
        <w:rPr>
          <w:rFonts w:hint="default" w:ascii="仿宋_GB2312" w:hAnsi="Calibri" w:eastAsia="仿宋_GB2312" w:cs="Times New Roman"/>
          <w:sz w:val="32"/>
          <w:szCs w:val="32"/>
          <w:lang w:val="en-US" w:eastAsia="zh-CN"/>
        </w:rPr>
        <w:t>学校、充分认识到教育信息化是国家信息化建设的重要组成部分，信息技术在推动教育的改革和发展、培养适应信息社会要求的创新人才、促进教育现代化等方面发挥越来越重要的作用。</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textAlignment w:val="auto"/>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塔城地区乌苏职业技术学校</w:t>
      </w:r>
      <w:r>
        <w:rPr>
          <w:rFonts w:hint="default" w:ascii="仿宋_GB2312" w:hAnsi="Calibri" w:eastAsia="仿宋_GB2312" w:cs="Times New Roman"/>
          <w:sz w:val="32"/>
          <w:szCs w:val="32"/>
          <w:lang w:val="en-US" w:eastAsia="zh-CN"/>
        </w:rPr>
        <w:t>按照《教育部办公厅关于加快推进现代职业教育体系建设改革重点任务的通知》提出的新任务、新要求，遵循职业教育发展规律，以提高办学水平、提升教学质量为目标，以促进信息技术与教育教学、学校治理深度融合为主线，以互联网+改造专业、课程及课堂为核心，以体制机制创新及考核激励为抓手，以师生信息素养提升为保障，打造感知化教学环境、丰富数字化教育资源、普适个性化学习空间、构筑智能化校园治理，打造学校信息化特色的品牌，树立信息化标杆学校。</w:t>
      </w:r>
    </w:p>
    <w:p>
      <w:pPr>
        <w:pageBreakBefore w:val="0"/>
        <w:kinsoku/>
        <w:wordWrap/>
        <w:overflowPunct/>
        <w:topLinePunct w:val="0"/>
        <w:autoSpaceDE/>
        <w:autoSpaceDN/>
        <w:bidi w:val="0"/>
        <w:adjustRightInd/>
        <w:snapToGrid/>
        <w:spacing w:beforeAutospacing="0" w:afterAutospacing="0" w:line="560" w:lineRule="exact"/>
        <w:ind w:firstLine="643" w:firstLineChars="200"/>
        <w:jc w:val="left"/>
        <w:textAlignment w:val="auto"/>
        <w:outlineLvl w:val="3"/>
        <w:rPr>
          <w:rFonts w:hint="eastAsia" w:ascii="仿宋_GB2312" w:hAnsi="Calibri" w:eastAsia="仿宋_GB2312" w:cs="Times New Roman"/>
          <w:b/>
          <w:bCs/>
          <w:kern w:val="2"/>
          <w:sz w:val="32"/>
          <w:szCs w:val="32"/>
          <w:lang w:val="en-US" w:eastAsia="zh-CN" w:bidi="ar-SA"/>
        </w:rPr>
      </w:pPr>
      <w:bookmarkStart w:id="111" w:name="_Toc18325"/>
      <w:bookmarkStart w:id="112" w:name="_Toc8923"/>
      <w:r>
        <w:rPr>
          <w:rFonts w:hint="eastAsia" w:ascii="仿宋_GB2312" w:hAnsi="Calibri" w:eastAsia="仿宋_GB2312" w:cs="Times New Roman"/>
          <w:b/>
          <w:bCs/>
          <w:kern w:val="2"/>
          <w:sz w:val="32"/>
          <w:szCs w:val="32"/>
          <w:lang w:val="en-US" w:eastAsia="zh-CN" w:bidi="ar-SA"/>
        </w:rPr>
        <w:t>【案例七】“超星学习通”信息化教育平台</w:t>
      </w:r>
      <w:bookmarkEnd w:id="111"/>
      <w:bookmarkEnd w:id="112"/>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textAlignment w:val="auto"/>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t>2024年，学校首次引入“超星学习通”信息化教育平台，为全校教师提供信息化建设解决方案，解决学校排课、排考、调课、请销假、学生信息库、学校试卷库等多项与教育教学有关的问题。同时该平台还提供精品课程录制、发布、上传等服务，学校也将继续加深与该平台的合作，加快信息化建设脚步。</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firstLine="640" w:firstLineChars="200"/>
        <w:textAlignment w:val="auto"/>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t>学校信息化发展维度包括学工系统、就业系统、党建、教科研、人事系统、大数据中心等多个信息化系统。学校计划与该平台继续深入合作，不断完善学校信息化建设。</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13" w:name="_Toc10085"/>
      <w:bookmarkStart w:id="114" w:name="_Toc25810"/>
      <w:bookmarkStart w:id="115" w:name="_Toc18095"/>
      <w:r>
        <w:rPr>
          <w:rFonts w:hint="eastAsia" w:eastAsia="楷体_GB2312" w:asciiTheme="majorHAnsi" w:hAnsiTheme="majorHAnsi" w:cstheme="majorBidi"/>
          <w:b/>
          <w:bCs/>
          <w:kern w:val="2"/>
          <w:sz w:val="32"/>
          <w:szCs w:val="32"/>
          <w:lang w:val="en-US" w:eastAsia="zh-CN" w:bidi="ar-SA"/>
        </w:rPr>
        <w:t>2.4教师队伍</w:t>
      </w:r>
      <w:bookmarkEnd w:id="113"/>
      <w:bookmarkEnd w:id="114"/>
      <w:bookmarkEnd w:id="115"/>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116" w:name="_Toc27716"/>
      <w:bookmarkStart w:id="117" w:name="_Toc9967"/>
      <w:r>
        <w:rPr>
          <w:rFonts w:hint="eastAsia" w:eastAsia="楷体_GB2312" w:asciiTheme="majorHAnsi" w:hAnsiTheme="majorHAnsi" w:cstheme="majorBidi"/>
          <w:b/>
          <w:bCs/>
          <w:kern w:val="2"/>
          <w:sz w:val="32"/>
          <w:szCs w:val="32"/>
          <w:lang w:val="en-US" w:eastAsia="zh-CN" w:bidi="ar-SA"/>
        </w:rPr>
        <w:t>2.4.1师德师风建设</w:t>
      </w:r>
      <w:bookmarkEnd w:id="116"/>
      <w:bookmarkEnd w:id="117"/>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rPr>
        <w:t>为全面贯彻党的教育方针，进一步加强教职工职业道德建设，不断提高师资队伍整体素质，规范职业教育行为，提高育人质量。根据《中等职业学校教师职业道德规范》</w:t>
      </w:r>
      <w:r>
        <w:rPr>
          <w:rFonts w:hint="eastAsia" w:ascii="仿宋_GB2312" w:hAnsi="Calibri" w:eastAsia="仿宋_GB2312" w:cs="Times New Roman"/>
          <w:color w:val="auto"/>
          <w:sz w:val="32"/>
          <w:szCs w:val="32"/>
          <w:highlight w:val="none"/>
          <w:lang w:eastAsia="zh-CN"/>
        </w:rPr>
        <w:t>和《塔城地区乌苏职业技术学校绩效考核方案》，</w:t>
      </w:r>
      <w:r>
        <w:rPr>
          <w:rFonts w:hint="eastAsia" w:ascii="仿宋_GB2312" w:hAnsi="Calibri" w:eastAsia="仿宋_GB2312" w:cs="Times New Roman"/>
          <w:color w:val="auto"/>
          <w:sz w:val="32"/>
          <w:szCs w:val="32"/>
          <w:highlight w:val="none"/>
        </w:rPr>
        <w:t>结合</w:t>
      </w:r>
      <w:r>
        <w:rPr>
          <w:rFonts w:hint="eastAsia" w:ascii="仿宋_GB2312" w:eastAsia="仿宋_GB2312" w:cs="Times New Roman"/>
          <w:color w:val="auto"/>
          <w:sz w:val="32"/>
          <w:szCs w:val="32"/>
          <w:highlight w:val="none"/>
          <w:lang w:val="en-US" w:eastAsia="zh-CN"/>
        </w:rPr>
        <w:t>学</w:t>
      </w:r>
      <w:r>
        <w:rPr>
          <w:rFonts w:hint="eastAsia" w:ascii="仿宋_GB2312" w:hAnsi="Calibri" w:eastAsia="仿宋_GB2312" w:cs="Times New Roman"/>
          <w:color w:val="auto"/>
          <w:sz w:val="32"/>
          <w:szCs w:val="32"/>
          <w:highlight w:val="none"/>
        </w:rPr>
        <w:t>校实际情况，从坚持正确方向、热爱职业教育、关心爱护学生、刻苦钻研业务、善于团结协作、自觉为人师表六个方面制定此考核办法</w:t>
      </w:r>
      <w:r>
        <w:rPr>
          <w:rFonts w:hint="eastAsia" w:ascii="仿宋_GB2312" w:hAnsi="Calibri" w:eastAsia="仿宋_GB2312" w:cs="Times New Roman"/>
          <w:color w:val="auto"/>
          <w:sz w:val="32"/>
          <w:szCs w:val="32"/>
          <w:highlight w:val="none"/>
          <w:lang w:eastAsia="zh-CN"/>
        </w:rPr>
        <w:t>，用于量化考核</w:t>
      </w:r>
      <w:r>
        <w:rPr>
          <w:rFonts w:hint="eastAsia" w:ascii="仿宋_GB2312" w:hAnsi="Calibri" w:eastAsia="仿宋_GB2312" w:cs="Times New Roman"/>
          <w:color w:val="auto"/>
          <w:sz w:val="32"/>
          <w:szCs w:val="32"/>
          <w:highlight w:val="none"/>
        </w:rPr>
        <w:t>。另外对严重违规行为实行一票否决。</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rPr>
        <w:t>领导小组由校纪检部门、办公室、教务科</w:t>
      </w:r>
      <w:r>
        <w:rPr>
          <w:rFonts w:hint="eastAsia" w:ascii="仿宋_GB2312" w:hAnsi="Calibri" w:eastAsia="仿宋_GB2312" w:cs="Times New Roman"/>
          <w:color w:val="auto"/>
          <w:sz w:val="32"/>
          <w:szCs w:val="32"/>
          <w:highlight w:val="none"/>
          <w:lang w:eastAsia="zh-CN"/>
        </w:rPr>
        <w:t>、学生科</w:t>
      </w:r>
      <w:r>
        <w:rPr>
          <w:rFonts w:hint="eastAsia" w:ascii="仿宋_GB2312" w:hAnsi="Calibri" w:eastAsia="仿宋_GB2312" w:cs="Times New Roman"/>
          <w:color w:val="auto"/>
          <w:sz w:val="32"/>
          <w:szCs w:val="32"/>
          <w:highlight w:val="none"/>
        </w:rPr>
        <w:t>等部门主要负责人组成，具体负责教职工师德师风的督查、考核、评审工作。</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根据《塔城地区教育系统不正之风和腐败问题师德师风专项整治实施方案》文件要求，学校党委高度重视，及时召开党委扩大会议。通过教师填写《自治区中职学校师德师风档案》“自己找、学生和家长提、同事互相评、上级点”，通过认真梳理没有发现任何违反师德师风的问题。</w:t>
      </w: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118" w:name="_Toc3112"/>
      <w:bookmarkStart w:id="119" w:name="_Toc31148"/>
      <w:r>
        <w:rPr>
          <w:rFonts w:hint="eastAsia" w:eastAsia="楷体_GB2312" w:asciiTheme="majorHAnsi" w:hAnsiTheme="majorHAnsi" w:cstheme="majorBidi"/>
          <w:b/>
          <w:bCs/>
          <w:kern w:val="2"/>
          <w:sz w:val="32"/>
          <w:szCs w:val="32"/>
          <w:lang w:val="en-US" w:eastAsia="zh-CN" w:bidi="ar-SA"/>
        </w:rPr>
        <w:t>2.4.2“双师型”教师队伍情况。</w:t>
      </w:r>
      <w:bookmarkEnd w:id="118"/>
      <w:bookmarkEnd w:id="119"/>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_GB2312" w:hAnsi="Calibri" w:eastAsia="仿宋_GB2312" w:cs="Times New Roman"/>
          <w:color w:val="auto"/>
          <w:sz w:val="32"/>
          <w:szCs w:val="32"/>
          <w:highlight w:val="none"/>
          <w:lang w:val="en-US" w:eastAsia="zh-CN"/>
        </w:rPr>
        <w:t>现有在编在岗教职工</w:t>
      </w:r>
      <w:r>
        <w:rPr>
          <w:rFonts w:hint="eastAsia" w:ascii="仿宋_GB2312" w:eastAsia="仿宋_GB2312" w:cs="Times New Roman"/>
          <w:color w:val="auto"/>
          <w:sz w:val="32"/>
          <w:szCs w:val="32"/>
          <w:highlight w:val="none"/>
          <w:lang w:val="en-US" w:eastAsia="zh-CN"/>
        </w:rPr>
        <w:t>69</w:t>
      </w:r>
      <w:r>
        <w:rPr>
          <w:rFonts w:hint="eastAsia" w:ascii="仿宋_GB2312" w:hAnsi="Calibri" w:eastAsia="仿宋_GB2312" w:cs="Times New Roman"/>
          <w:color w:val="auto"/>
          <w:sz w:val="32"/>
          <w:szCs w:val="32"/>
          <w:highlight w:val="none"/>
          <w:lang w:val="en-US" w:eastAsia="zh-CN"/>
        </w:rPr>
        <w:t>人，外聘教师6人，其中专任教师61人。2024年通过自治区级认定的“双师型”教师1</w:t>
      </w:r>
      <w:r>
        <w:rPr>
          <w:rFonts w:hint="eastAsia" w:ascii="仿宋_GB2312" w:eastAsia="仿宋_GB2312" w:cs="Times New Roman"/>
          <w:color w:val="auto"/>
          <w:sz w:val="32"/>
          <w:szCs w:val="32"/>
          <w:highlight w:val="none"/>
          <w:lang w:val="en-US" w:eastAsia="zh-CN"/>
        </w:rPr>
        <w:t>0</w:t>
      </w:r>
      <w:r>
        <w:rPr>
          <w:rFonts w:hint="eastAsia" w:ascii="仿宋_GB2312" w:hAnsi="Calibri" w:eastAsia="仿宋_GB2312" w:cs="Times New Roman"/>
          <w:color w:val="auto"/>
          <w:sz w:val="32"/>
          <w:szCs w:val="32"/>
          <w:highlight w:val="none"/>
          <w:lang w:val="en-US" w:eastAsia="zh-CN"/>
        </w:rPr>
        <w:t>人，目前学校拥有</w:t>
      </w:r>
      <w:r>
        <w:rPr>
          <w:rFonts w:hint="eastAsia" w:ascii="仿宋" w:hAnsi="仿宋" w:eastAsia="仿宋" w:cs="仿宋"/>
          <w:color w:val="000000"/>
          <w:kern w:val="0"/>
          <w:sz w:val="32"/>
          <w:szCs w:val="32"/>
          <w:lang w:val="en-US" w:eastAsia="zh-CN"/>
        </w:rPr>
        <w:t>自治区级“双师型”教师23人，</w:t>
      </w:r>
      <w:r>
        <w:rPr>
          <w:rFonts w:hint="eastAsia" w:ascii="仿宋_GB2312" w:hAnsi="Calibri" w:eastAsia="仿宋_GB2312" w:cs="Times New Roman"/>
          <w:color w:val="auto"/>
          <w:sz w:val="32"/>
          <w:szCs w:val="32"/>
          <w:highlight w:val="none"/>
          <w:lang w:val="en-US" w:eastAsia="zh-CN"/>
        </w:rPr>
        <w:t>专任教师双师型比例为37%。“双师型”教师</w:t>
      </w:r>
      <w:r>
        <w:rPr>
          <w:rFonts w:hint="eastAsia" w:ascii="仿宋" w:hAnsi="仿宋" w:eastAsia="仿宋" w:cs="仿宋"/>
          <w:color w:val="000000"/>
          <w:kern w:val="0"/>
          <w:sz w:val="32"/>
          <w:szCs w:val="32"/>
          <w:lang w:val="en-US" w:eastAsia="zh-CN"/>
        </w:rPr>
        <w:t>数量同比2023年增长15%，见表十、表十一。</w:t>
      </w:r>
    </w:p>
    <w:tbl>
      <w:tblPr>
        <w:tblStyle w:val="14"/>
        <w:tblW w:w="96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8"/>
        <w:gridCol w:w="3614"/>
        <w:gridCol w:w="3018"/>
        <w:gridCol w:w="1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所在学校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姓名</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认定层级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庄磊</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刘鹏举</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刘妍初</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徐璐璐</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罗嘉禾</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李传恩</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初级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努尔比亚·吾甫尔</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韩永宏</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居玛古丽·再那</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塔城地区乌苏职业技术学校</w:t>
            </w:r>
          </w:p>
        </w:tc>
        <w:tc>
          <w:tcPr>
            <w:tcW w:w="3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朱新斌</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pageBreakBefore w:val="0"/>
              <w:widowControl/>
              <w:suppressLineNumbers w:val="0"/>
              <w:kinsoku/>
              <w:wordWrap/>
              <w:overflowPunct/>
              <w:topLinePunct/>
              <w:autoSpaceDE/>
              <w:autoSpaceDN/>
              <w:bidi w:val="0"/>
              <w:adjustRightInd/>
              <w:snapToGrid/>
              <w:spacing w:beforeAutospacing="0" w:afterAutospacing="0" w:line="560" w:lineRule="exact"/>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中级</w:t>
            </w:r>
          </w:p>
        </w:tc>
      </w:tr>
    </w:tbl>
    <w:p>
      <w:pPr>
        <w:pStyle w:val="4"/>
        <w:keepNext/>
        <w:keepLines/>
        <w:pageBreakBefore w:val="0"/>
        <w:widowControl/>
        <w:kinsoku/>
        <w:wordWrap/>
        <w:overflowPunct/>
        <w:topLinePunct/>
        <w:autoSpaceDE/>
        <w:autoSpaceDN/>
        <w:bidi w:val="0"/>
        <w:adjustRightInd/>
        <w:snapToGrid/>
        <w:spacing w:beforeAutospacing="0" w:afterAutospacing="0" w:line="560" w:lineRule="exact"/>
        <w:ind w:firstLine="640" w:firstLineChars="200"/>
        <w:jc w:val="center"/>
        <w:outlineLvl w:val="9"/>
        <w:rPr>
          <w:rFonts w:hint="eastAsia"/>
          <w:lang w:val="en-US" w:eastAsia="zh-CN"/>
        </w:rPr>
      </w:pPr>
      <w:bookmarkStart w:id="120" w:name="_Toc18225"/>
      <w:bookmarkStart w:id="121" w:name="_Toc3977"/>
      <w:r>
        <w:rPr>
          <w:rFonts w:hint="eastAsia"/>
          <w:lang w:val="en-US" w:eastAsia="zh-CN"/>
        </w:rPr>
        <w:t>表十 2024年自治区“双师型”教师认定名单</w:t>
      </w:r>
    </w:p>
    <w:p>
      <w:pPr>
        <w:pStyle w:val="4"/>
        <w:pageBreakBefore w:val="0"/>
        <w:kinsoku/>
        <w:wordWrap/>
        <w:overflowPunct/>
        <w:topLinePunct w:val="0"/>
        <w:bidi w:val="0"/>
        <w:spacing w:beforeAutospacing="0" w:afterAutospacing="0" w:line="560" w:lineRule="exact"/>
        <w:ind w:firstLine="640" w:firstLineChars="200"/>
        <w:jc w:val="center"/>
        <w:outlineLvl w:val="9"/>
        <w:rPr>
          <w:rFonts w:hint="eastAsia"/>
          <w:lang w:val="en-US" w:eastAsia="zh-CN"/>
        </w:rPr>
      </w:pPr>
    </w:p>
    <w:bookmarkEnd w:id="120"/>
    <w:bookmarkEnd w:id="121"/>
    <w:p>
      <w:pPr>
        <w:pageBreakBefore w:val="0"/>
        <w:kinsoku/>
        <w:wordWrap/>
        <w:overflowPunct/>
        <w:topLinePunct w:val="0"/>
        <w:bidi w:val="0"/>
        <w:spacing w:beforeAutospacing="0" w:afterAutospacing="0" w:line="560" w:lineRule="exact"/>
      </w:pPr>
    </w:p>
    <w:p>
      <w:pPr>
        <w:pStyle w:val="2"/>
      </w:pPr>
    </w:p>
    <w:p/>
    <w:tbl>
      <w:tblPr>
        <w:tblStyle w:val="19"/>
        <w:tblW w:w="9460"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5363"/>
        <w:gridCol w:w="969"/>
        <w:gridCol w:w="1197"/>
        <w:gridCol w:w="1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18" w:type="dxa"/>
            <w:vAlign w:val="top"/>
          </w:tcPr>
          <w:p>
            <w:pPr>
              <w:pageBreakBefore w:val="0"/>
              <w:kinsoku/>
              <w:wordWrap/>
              <w:overflowPunct/>
              <w:topLinePunct w:val="0"/>
              <w:bidi w:val="0"/>
              <w:spacing w:beforeAutospacing="0" w:afterAutospacing="0" w:line="560" w:lineRule="exact"/>
              <w:ind w:left="134"/>
              <w:rPr>
                <w:rFonts w:ascii="黑体" w:hAnsi="黑体" w:eastAsia="黑体" w:cs="黑体"/>
                <w:sz w:val="24"/>
                <w:szCs w:val="24"/>
              </w:rPr>
            </w:pPr>
            <w:r>
              <w:rPr>
                <w:rFonts w:ascii="黑体" w:hAnsi="黑体" w:eastAsia="黑体" w:cs="黑体"/>
                <w:spacing w:val="-5"/>
                <w:sz w:val="24"/>
                <w:szCs w:val="24"/>
              </w:rPr>
              <w:t>序号</w:t>
            </w:r>
          </w:p>
        </w:tc>
        <w:tc>
          <w:tcPr>
            <w:tcW w:w="5363" w:type="dxa"/>
            <w:vAlign w:val="top"/>
          </w:tcPr>
          <w:p>
            <w:pPr>
              <w:pageBreakBefore w:val="0"/>
              <w:kinsoku/>
              <w:wordWrap/>
              <w:overflowPunct/>
              <w:topLinePunct w:val="0"/>
              <w:bidi w:val="0"/>
              <w:spacing w:beforeAutospacing="0" w:afterAutospacing="0" w:line="560" w:lineRule="exact"/>
              <w:ind w:left="2177"/>
              <w:rPr>
                <w:rFonts w:ascii="黑体" w:hAnsi="黑体" w:eastAsia="黑体" w:cs="黑体"/>
                <w:sz w:val="24"/>
                <w:szCs w:val="24"/>
              </w:rPr>
            </w:pPr>
            <w:r>
              <w:rPr>
                <w:rFonts w:ascii="黑体" w:hAnsi="黑体" w:eastAsia="黑体" w:cs="黑体"/>
                <w:spacing w:val="-5"/>
                <w:sz w:val="24"/>
                <w:szCs w:val="24"/>
              </w:rPr>
              <w:t>指标</w:t>
            </w:r>
          </w:p>
        </w:tc>
        <w:tc>
          <w:tcPr>
            <w:tcW w:w="969" w:type="dxa"/>
            <w:vAlign w:val="top"/>
          </w:tcPr>
          <w:p>
            <w:pPr>
              <w:pageBreakBefore w:val="0"/>
              <w:kinsoku/>
              <w:wordWrap/>
              <w:overflowPunct/>
              <w:topLinePunct w:val="0"/>
              <w:bidi w:val="0"/>
              <w:spacing w:beforeAutospacing="0" w:afterAutospacing="0" w:line="560" w:lineRule="exact"/>
              <w:ind w:left="209"/>
              <w:rPr>
                <w:rFonts w:ascii="黑体" w:hAnsi="黑体" w:eastAsia="黑体" w:cs="黑体"/>
                <w:sz w:val="24"/>
                <w:szCs w:val="24"/>
              </w:rPr>
            </w:pPr>
            <w:r>
              <w:rPr>
                <w:rFonts w:ascii="黑体" w:hAnsi="黑体" w:eastAsia="黑体" w:cs="黑体"/>
                <w:spacing w:val="-8"/>
                <w:sz w:val="24"/>
                <w:szCs w:val="24"/>
              </w:rPr>
              <w:t>单位</w:t>
            </w:r>
          </w:p>
        </w:tc>
        <w:tc>
          <w:tcPr>
            <w:tcW w:w="1197" w:type="dxa"/>
            <w:vAlign w:val="top"/>
          </w:tcPr>
          <w:p>
            <w:pPr>
              <w:pStyle w:val="20"/>
              <w:pageBreakBefore w:val="0"/>
              <w:kinsoku/>
              <w:wordWrap/>
              <w:overflowPunct/>
              <w:topLinePunct w:val="0"/>
              <w:bidi w:val="0"/>
              <w:spacing w:beforeAutospacing="0" w:afterAutospacing="0" w:line="560" w:lineRule="exact"/>
              <w:ind w:left="153"/>
              <w:rPr>
                <w:rFonts w:ascii="黑体" w:hAnsi="黑体" w:eastAsia="黑体" w:cs="黑体"/>
                <w:sz w:val="24"/>
                <w:szCs w:val="24"/>
              </w:rPr>
            </w:pPr>
            <w:r>
              <w:rPr>
                <w:spacing w:val="-12"/>
                <w:sz w:val="24"/>
                <w:szCs w:val="24"/>
              </w:rPr>
              <w:t>2023</w:t>
            </w:r>
            <w:r>
              <w:rPr>
                <w:spacing w:val="3"/>
                <w:sz w:val="24"/>
                <w:szCs w:val="24"/>
              </w:rPr>
              <w:t xml:space="preserve"> </w:t>
            </w:r>
            <w:r>
              <w:rPr>
                <w:rFonts w:ascii="黑体" w:hAnsi="黑体" w:eastAsia="黑体" w:cs="黑体"/>
                <w:spacing w:val="-12"/>
                <w:sz w:val="24"/>
                <w:szCs w:val="24"/>
              </w:rPr>
              <w:t>年</w:t>
            </w:r>
          </w:p>
        </w:tc>
        <w:tc>
          <w:tcPr>
            <w:tcW w:w="1113" w:type="dxa"/>
            <w:vAlign w:val="top"/>
          </w:tcPr>
          <w:p>
            <w:pPr>
              <w:pStyle w:val="20"/>
              <w:pageBreakBefore w:val="0"/>
              <w:kinsoku/>
              <w:wordWrap/>
              <w:overflowPunct/>
              <w:topLinePunct w:val="0"/>
              <w:bidi w:val="0"/>
              <w:spacing w:beforeAutospacing="0" w:afterAutospacing="0" w:line="560" w:lineRule="exact"/>
              <w:ind w:left="113"/>
              <w:rPr>
                <w:rFonts w:ascii="黑体" w:hAnsi="黑体" w:eastAsia="黑体" w:cs="黑体"/>
                <w:sz w:val="24"/>
                <w:szCs w:val="24"/>
              </w:rPr>
            </w:pPr>
            <w:r>
              <w:rPr>
                <w:spacing w:val="-13"/>
                <w:sz w:val="24"/>
                <w:szCs w:val="24"/>
              </w:rPr>
              <w:t>2024</w:t>
            </w:r>
            <w:r>
              <w:rPr>
                <w:spacing w:val="8"/>
                <w:sz w:val="24"/>
                <w:szCs w:val="24"/>
              </w:rPr>
              <w:t xml:space="preserve"> </w:t>
            </w:r>
            <w:r>
              <w:rPr>
                <w:rFonts w:ascii="黑体" w:hAnsi="黑体" w:eastAsia="黑体" w:cs="黑体"/>
                <w:spacing w:val="-13"/>
                <w:sz w:val="24"/>
                <w:szCs w:val="24"/>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18" w:type="dxa"/>
            <w:tcBorders>
              <w:bottom w:val="single" w:color="auto" w:sz="4" w:space="0"/>
            </w:tcBorders>
            <w:vAlign w:val="top"/>
          </w:tcPr>
          <w:p>
            <w:pPr>
              <w:pStyle w:val="20"/>
              <w:pageBreakBefore w:val="0"/>
              <w:kinsoku/>
              <w:wordWrap/>
              <w:overflowPunct/>
              <w:topLinePunct w:val="0"/>
              <w:bidi w:val="0"/>
              <w:spacing w:beforeAutospacing="0" w:afterAutospacing="0" w:line="560" w:lineRule="exact"/>
              <w:ind w:left="333"/>
              <w:jc w:val="both"/>
              <w:rPr>
                <w:sz w:val="24"/>
                <w:szCs w:val="24"/>
              </w:rPr>
            </w:pPr>
            <w:r>
              <w:rPr>
                <w:sz w:val="24"/>
                <w:szCs w:val="24"/>
              </w:rPr>
              <w:t>1</w:t>
            </w:r>
          </w:p>
        </w:tc>
        <w:tc>
          <w:tcPr>
            <w:tcW w:w="5363" w:type="dxa"/>
            <w:vAlign w:val="top"/>
          </w:tcPr>
          <w:p>
            <w:pPr>
              <w:pStyle w:val="20"/>
              <w:pageBreakBefore w:val="0"/>
              <w:kinsoku/>
              <w:wordWrap/>
              <w:overflowPunct/>
              <w:topLinePunct w:val="0"/>
              <w:bidi w:val="0"/>
              <w:spacing w:beforeAutospacing="0" w:afterAutospacing="0" w:line="560" w:lineRule="exact"/>
              <w:rPr>
                <w:rFonts w:hint="default" w:eastAsia="宋体"/>
                <w:sz w:val="24"/>
                <w:szCs w:val="24"/>
                <w:lang w:val="en-US" w:eastAsia="zh-CN"/>
              </w:rPr>
            </w:pPr>
            <w:r>
              <w:rPr>
                <w:rFonts w:hint="eastAsia" w:ascii="仿宋" w:hAnsi="仿宋" w:eastAsia="仿宋" w:cs="仿宋"/>
                <w:sz w:val="24"/>
                <w:szCs w:val="24"/>
                <w:lang w:val="en-US" w:eastAsia="zh-CN"/>
              </w:rPr>
              <w:t>自治区级“双师型”教师数量</w:t>
            </w:r>
          </w:p>
        </w:tc>
        <w:tc>
          <w:tcPr>
            <w:tcW w:w="969" w:type="dxa"/>
            <w:vAlign w:val="top"/>
          </w:tcPr>
          <w:p>
            <w:pPr>
              <w:pageBreakBefore w:val="0"/>
              <w:kinsoku/>
              <w:wordWrap/>
              <w:overflowPunct/>
              <w:topLinePunct w:val="0"/>
              <w:bidi w:val="0"/>
              <w:spacing w:beforeAutospacing="0" w:afterAutospacing="0"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1197" w:type="dxa"/>
            <w:vAlign w:val="top"/>
          </w:tcPr>
          <w:p>
            <w:pPr>
              <w:pStyle w:val="20"/>
              <w:pageBreakBefore w:val="0"/>
              <w:kinsoku/>
              <w:wordWrap/>
              <w:overflowPunct/>
              <w:topLinePunct w:val="0"/>
              <w:bidi w:val="0"/>
              <w:spacing w:beforeAutospacing="0" w:afterAutospacing="0" w:line="560" w:lineRule="exact"/>
              <w:jc w:val="center"/>
              <w:rPr>
                <w:rFonts w:hint="default" w:eastAsia="宋体"/>
                <w:lang w:val="en-US" w:eastAsia="zh-CN"/>
              </w:rPr>
            </w:pPr>
            <w:r>
              <w:rPr>
                <w:rFonts w:hint="eastAsia" w:eastAsia="宋体"/>
                <w:lang w:val="en-US" w:eastAsia="zh-CN"/>
              </w:rPr>
              <w:t>14</w:t>
            </w:r>
          </w:p>
        </w:tc>
        <w:tc>
          <w:tcPr>
            <w:tcW w:w="1113" w:type="dxa"/>
            <w:vAlign w:val="top"/>
          </w:tcPr>
          <w:p>
            <w:pPr>
              <w:pStyle w:val="20"/>
              <w:pageBreakBefore w:val="0"/>
              <w:kinsoku/>
              <w:wordWrap/>
              <w:overflowPunct/>
              <w:topLinePunct w:val="0"/>
              <w:bidi w:val="0"/>
              <w:spacing w:beforeAutospacing="0" w:afterAutospacing="0" w:line="560" w:lineRule="exact"/>
              <w:ind w:firstLine="420" w:firstLineChars="200"/>
              <w:jc w:val="both"/>
              <w:rPr>
                <w:rFonts w:hint="default" w:eastAsia="宋体"/>
                <w:lang w:val="en-US" w:eastAsia="zh-CN"/>
              </w:rPr>
            </w:pPr>
            <w:r>
              <w:rPr>
                <w:rFonts w:hint="eastAsia" w:eastAsia="宋体"/>
                <w:lang w:val="en-US" w:eastAsia="zh-CN"/>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818"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jc w:val="center"/>
              <w:rPr>
                <w:rFonts w:hint="eastAsia" w:eastAsia="宋体"/>
                <w:sz w:val="24"/>
                <w:szCs w:val="24"/>
                <w:lang w:val="en-US" w:eastAsia="zh-CN"/>
              </w:rPr>
            </w:pPr>
            <w:r>
              <w:rPr>
                <w:rFonts w:hint="eastAsia" w:eastAsia="宋体"/>
                <w:sz w:val="24"/>
                <w:szCs w:val="24"/>
                <w:lang w:val="en-US" w:eastAsia="zh-CN"/>
              </w:rPr>
              <w:t>2</w:t>
            </w:r>
          </w:p>
        </w:tc>
        <w:tc>
          <w:tcPr>
            <w:tcW w:w="5363" w:type="dxa"/>
            <w:tcBorders>
              <w:left w:val="single" w:color="auto" w:sz="4" w:space="0"/>
            </w:tcBorders>
            <w:vAlign w:val="top"/>
          </w:tcPr>
          <w:p>
            <w:pPr>
              <w:pageBreakBefore w:val="0"/>
              <w:kinsoku/>
              <w:wordWrap/>
              <w:overflowPunct/>
              <w:topLinePunct w:val="0"/>
              <w:bidi w:val="0"/>
              <w:spacing w:beforeAutospacing="0" w:afterAutospacing="0" w:line="560" w:lineRule="exact"/>
              <w:ind w:left="129"/>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“双师型”教师比例</w:t>
            </w:r>
          </w:p>
        </w:tc>
        <w:tc>
          <w:tcPr>
            <w:tcW w:w="969" w:type="dxa"/>
            <w:vAlign w:val="top"/>
          </w:tcPr>
          <w:p>
            <w:pPr>
              <w:pStyle w:val="20"/>
              <w:pageBreakBefore w:val="0"/>
              <w:kinsoku/>
              <w:wordWrap/>
              <w:overflowPunct/>
              <w:topLinePunct w:val="0"/>
              <w:bidi w:val="0"/>
              <w:spacing w:beforeAutospacing="0" w:afterAutospacing="0" w:line="560" w:lineRule="exact"/>
              <w:ind w:left="341"/>
              <w:rPr>
                <w:rFonts w:hint="eastAsia" w:eastAsia="宋体"/>
                <w:sz w:val="24"/>
                <w:szCs w:val="24"/>
                <w:lang w:val="en-US" w:eastAsia="zh-CN"/>
              </w:rPr>
            </w:pPr>
            <w:r>
              <w:rPr>
                <w:rFonts w:hint="eastAsia" w:eastAsia="宋体"/>
                <w:sz w:val="24"/>
                <w:szCs w:val="24"/>
                <w:lang w:val="en-US" w:eastAsia="zh-CN"/>
              </w:rPr>
              <w:t>个</w:t>
            </w:r>
          </w:p>
        </w:tc>
        <w:tc>
          <w:tcPr>
            <w:tcW w:w="1197" w:type="dxa"/>
            <w:vAlign w:val="top"/>
          </w:tcPr>
          <w:p>
            <w:pPr>
              <w:pStyle w:val="20"/>
              <w:pageBreakBefore w:val="0"/>
              <w:kinsoku/>
              <w:wordWrap/>
              <w:overflowPunct/>
              <w:topLinePunct w:val="0"/>
              <w:bidi w:val="0"/>
              <w:spacing w:beforeAutospacing="0" w:afterAutospacing="0" w:line="560" w:lineRule="exact"/>
              <w:ind w:firstLine="420" w:firstLineChars="200"/>
              <w:rPr>
                <w:rFonts w:hint="default" w:eastAsia="宋体"/>
                <w:lang w:val="en-US" w:eastAsia="zh-CN"/>
              </w:rPr>
            </w:pPr>
            <w:r>
              <w:rPr>
                <w:rFonts w:hint="eastAsia" w:eastAsia="宋体"/>
                <w:lang w:val="en-US" w:eastAsia="zh-CN"/>
              </w:rPr>
              <w:t>22%</w:t>
            </w:r>
          </w:p>
        </w:tc>
        <w:tc>
          <w:tcPr>
            <w:tcW w:w="1113" w:type="dxa"/>
            <w:vAlign w:val="top"/>
          </w:tcPr>
          <w:p>
            <w:pPr>
              <w:pStyle w:val="20"/>
              <w:pageBreakBefore w:val="0"/>
              <w:kinsoku/>
              <w:wordWrap/>
              <w:overflowPunct/>
              <w:topLinePunct w:val="0"/>
              <w:bidi w:val="0"/>
              <w:spacing w:beforeAutospacing="0" w:afterAutospacing="0" w:line="560" w:lineRule="exact"/>
              <w:ind w:firstLine="420" w:firstLineChars="200"/>
              <w:rPr>
                <w:rFonts w:hint="default" w:eastAsia="宋体"/>
                <w:lang w:val="en-US" w:eastAsia="zh-CN"/>
              </w:rPr>
            </w:pPr>
            <w:r>
              <w:rPr>
                <w:rFonts w:hint="eastAsia" w:eastAsia="宋体"/>
                <w:lang w:val="en-US" w:eastAsia="zh-CN"/>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818"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ind w:left="315"/>
              <w:jc w:val="both"/>
              <w:rPr>
                <w:sz w:val="24"/>
                <w:szCs w:val="24"/>
              </w:rPr>
            </w:pPr>
            <w:r>
              <w:rPr>
                <w:sz w:val="24"/>
                <w:szCs w:val="24"/>
              </w:rPr>
              <w:t>3</w:t>
            </w:r>
          </w:p>
        </w:tc>
        <w:tc>
          <w:tcPr>
            <w:tcW w:w="5363" w:type="dxa"/>
            <w:tcBorders>
              <w:left w:val="single" w:color="auto" w:sz="4" w:space="0"/>
            </w:tcBorders>
            <w:vAlign w:val="top"/>
          </w:tcPr>
          <w:p>
            <w:pPr>
              <w:pStyle w:val="20"/>
              <w:pageBreakBefore w:val="0"/>
              <w:kinsoku/>
              <w:wordWrap/>
              <w:overflowPunct/>
              <w:topLinePunct w:val="0"/>
              <w:bidi w:val="0"/>
              <w:spacing w:beforeAutospacing="0" w:afterAutospacing="0" w:line="560" w:lineRule="exact"/>
              <w:ind w:left="124"/>
              <w:rPr>
                <w:sz w:val="24"/>
                <w:szCs w:val="24"/>
              </w:rPr>
            </w:pPr>
            <w:r>
              <w:rPr>
                <w:rFonts w:hint="default" w:ascii="仿宋" w:hAnsi="仿宋" w:eastAsia="仿宋" w:cs="仿宋"/>
                <w:kern w:val="2"/>
                <w:sz w:val="24"/>
                <w:szCs w:val="24"/>
                <w:lang w:val="en-US" w:eastAsia="zh-CN" w:bidi="ar-SA"/>
              </w:rPr>
              <w:t>高级“双师型”教师比例</w:t>
            </w:r>
          </w:p>
        </w:tc>
        <w:tc>
          <w:tcPr>
            <w:tcW w:w="969" w:type="dxa"/>
            <w:vAlign w:val="top"/>
          </w:tcPr>
          <w:p>
            <w:pPr>
              <w:pStyle w:val="20"/>
              <w:pageBreakBefore w:val="0"/>
              <w:kinsoku/>
              <w:wordWrap/>
              <w:overflowPunct/>
              <w:topLinePunct w:val="0"/>
              <w:bidi w:val="0"/>
              <w:spacing w:beforeAutospacing="0" w:afterAutospacing="0" w:line="560" w:lineRule="exact"/>
              <w:jc w:val="center"/>
              <w:rPr>
                <w:rFonts w:hint="default" w:eastAsia="宋体"/>
                <w:sz w:val="24"/>
                <w:szCs w:val="24"/>
                <w:lang w:val="en-US" w:eastAsia="zh-CN"/>
              </w:rPr>
            </w:pPr>
            <w:r>
              <w:rPr>
                <w:rFonts w:hint="eastAsia" w:eastAsia="宋体"/>
                <w:sz w:val="24"/>
                <w:szCs w:val="24"/>
                <w:lang w:val="en-US" w:eastAsia="zh-CN"/>
              </w:rPr>
              <w:t>人</w:t>
            </w:r>
          </w:p>
        </w:tc>
        <w:tc>
          <w:tcPr>
            <w:tcW w:w="1197" w:type="dxa"/>
            <w:vAlign w:val="top"/>
          </w:tcPr>
          <w:p>
            <w:pPr>
              <w:pStyle w:val="20"/>
              <w:pageBreakBefore w:val="0"/>
              <w:kinsoku/>
              <w:wordWrap/>
              <w:overflowPunct/>
              <w:topLinePunct w:val="0"/>
              <w:bidi w:val="0"/>
              <w:spacing w:beforeAutospacing="0" w:afterAutospacing="0" w:line="560" w:lineRule="exact"/>
              <w:jc w:val="center"/>
              <w:rPr>
                <w:rFonts w:hint="default" w:eastAsia="宋体"/>
                <w:lang w:val="en-US" w:eastAsia="zh-CN"/>
              </w:rPr>
            </w:pPr>
            <w:r>
              <w:rPr>
                <w:rFonts w:hint="eastAsia" w:eastAsia="宋体"/>
                <w:lang w:val="en-US" w:eastAsia="zh-CN"/>
              </w:rPr>
              <w:t>7%</w:t>
            </w:r>
          </w:p>
        </w:tc>
        <w:tc>
          <w:tcPr>
            <w:tcW w:w="1113" w:type="dxa"/>
            <w:vAlign w:val="top"/>
          </w:tcPr>
          <w:p>
            <w:pPr>
              <w:pStyle w:val="20"/>
              <w:pageBreakBefore w:val="0"/>
              <w:kinsoku/>
              <w:wordWrap/>
              <w:overflowPunct/>
              <w:topLinePunct w:val="0"/>
              <w:bidi w:val="0"/>
              <w:spacing w:beforeAutospacing="0" w:afterAutospacing="0" w:line="560" w:lineRule="exact"/>
              <w:jc w:val="center"/>
              <w:rPr>
                <w:rFonts w:hint="default" w:eastAsia="宋体"/>
                <w:lang w:val="en-US" w:eastAsia="zh-CN"/>
              </w:rPr>
            </w:pPr>
            <w:r>
              <w:rPr>
                <w:rFonts w:hint="eastAsia" w:eastAsia="宋体"/>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18" w:type="dxa"/>
            <w:tcBorders>
              <w:top w:val="single" w:color="auto" w:sz="4" w:space="0"/>
              <w:left w:val="single" w:color="auto" w:sz="4" w:space="0"/>
              <w:bottom w:val="single" w:color="auto" w:sz="4" w:space="0"/>
              <w:right w:val="single" w:color="auto" w:sz="4" w:space="0"/>
            </w:tcBorders>
            <w:vAlign w:val="top"/>
          </w:tcPr>
          <w:p>
            <w:pPr>
              <w:pStyle w:val="20"/>
              <w:pageBreakBefore w:val="0"/>
              <w:kinsoku/>
              <w:wordWrap/>
              <w:overflowPunct/>
              <w:topLinePunct w:val="0"/>
              <w:bidi w:val="0"/>
              <w:spacing w:beforeAutospacing="0" w:afterAutospacing="0" w:line="560" w:lineRule="exact"/>
              <w:ind w:left="315"/>
              <w:jc w:val="both"/>
              <w:rPr>
                <w:sz w:val="24"/>
                <w:szCs w:val="24"/>
              </w:rPr>
            </w:pPr>
          </w:p>
        </w:tc>
        <w:tc>
          <w:tcPr>
            <w:tcW w:w="5363" w:type="dxa"/>
            <w:tcBorders>
              <w:left w:val="single" w:color="auto" w:sz="4" w:space="0"/>
            </w:tcBorders>
            <w:vAlign w:val="top"/>
          </w:tcPr>
          <w:p>
            <w:pPr>
              <w:pStyle w:val="20"/>
              <w:pageBreakBefore w:val="0"/>
              <w:kinsoku/>
              <w:wordWrap/>
              <w:overflowPunct/>
              <w:topLinePunct w:val="0"/>
              <w:bidi w:val="0"/>
              <w:spacing w:beforeAutospacing="0" w:afterAutospacing="0" w:line="560" w:lineRule="exact"/>
              <w:ind w:left="124"/>
              <w:rPr>
                <w:rFonts w:hint="default" w:ascii="仿宋" w:hAnsi="仿宋" w:eastAsia="仿宋" w:cs="仿宋"/>
                <w:kern w:val="2"/>
                <w:sz w:val="24"/>
                <w:szCs w:val="24"/>
                <w:lang w:val="en-US" w:eastAsia="zh-CN" w:bidi="ar-SA"/>
              </w:rPr>
            </w:pPr>
          </w:p>
        </w:tc>
        <w:tc>
          <w:tcPr>
            <w:tcW w:w="969" w:type="dxa"/>
            <w:vAlign w:val="top"/>
          </w:tcPr>
          <w:p>
            <w:pPr>
              <w:pStyle w:val="20"/>
              <w:pageBreakBefore w:val="0"/>
              <w:kinsoku/>
              <w:wordWrap/>
              <w:overflowPunct/>
              <w:topLinePunct w:val="0"/>
              <w:bidi w:val="0"/>
              <w:spacing w:beforeAutospacing="0" w:afterAutospacing="0" w:line="560" w:lineRule="exact"/>
              <w:jc w:val="center"/>
              <w:rPr>
                <w:rFonts w:hint="eastAsia" w:eastAsia="宋体"/>
                <w:sz w:val="24"/>
                <w:szCs w:val="24"/>
                <w:lang w:val="en-US" w:eastAsia="zh-CN"/>
              </w:rPr>
            </w:pPr>
          </w:p>
        </w:tc>
        <w:tc>
          <w:tcPr>
            <w:tcW w:w="1197" w:type="dxa"/>
            <w:vAlign w:val="top"/>
          </w:tcPr>
          <w:p>
            <w:pPr>
              <w:pStyle w:val="20"/>
              <w:pageBreakBefore w:val="0"/>
              <w:kinsoku/>
              <w:wordWrap/>
              <w:overflowPunct/>
              <w:topLinePunct w:val="0"/>
              <w:bidi w:val="0"/>
              <w:spacing w:beforeAutospacing="0" w:afterAutospacing="0" w:line="560" w:lineRule="exact"/>
              <w:jc w:val="center"/>
              <w:rPr>
                <w:rFonts w:hint="eastAsia" w:eastAsia="宋体"/>
                <w:lang w:val="en-US" w:eastAsia="zh-CN"/>
              </w:rPr>
            </w:pPr>
          </w:p>
        </w:tc>
        <w:tc>
          <w:tcPr>
            <w:tcW w:w="1113" w:type="dxa"/>
            <w:vAlign w:val="top"/>
          </w:tcPr>
          <w:p>
            <w:pPr>
              <w:pStyle w:val="20"/>
              <w:pageBreakBefore w:val="0"/>
              <w:kinsoku/>
              <w:wordWrap/>
              <w:overflowPunct/>
              <w:topLinePunct w:val="0"/>
              <w:bidi w:val="0"/>
              <w:spacing w:beforeAutospacing="0" w:afterAutospacing="0" w:line="560" w:lineRule="exact"/>
              <w:jc w:val="center"/>
              <w:rPr>
                <w:rFonts w:hint="eastAsia" w:eastAsia="宋体"/>
                <w:lang w:val="en-US" w:eastAsia="zh-CN"/>
              </w:rPr>
            </w:pPr>
          </w:p>
        </w:tc>
      </w:tr>
    </w:tbl>
    <w:p>
      <w:pPr>
        <w:pageBreakBefore w:val="0"/>
        <w:kinsoku/>
        <w:wordWrap/>
        <w:overflowPunct/>
        <w:topLinePunct w:val="0"/>
        <w:bidi w:val="0"/>
        <w:snapToGrid w:val="0"/>
        <w:spacing w:beforeAutospacing="0" w:afterAutospacing="0" w:line="560" w:lineRule="exact"/>
        <w:jc w:val="center"/>
        <w:rPr>
          <w:rFonts w:hint="eastAsia" w:ascii="微软雅黑" w:hAnsi="微软雅黑" w:eastAsia="微软雅黑" w:cs="微软雅黑"/>
          <w:spacing w:val="-8"/>
          <w:sz w:val="32"/>
          <w:szCs w:val="32"/>
          <w:lang w:val="en-US" w:eastAsia="zh-CN"/>
        </w:rPr>
      </w:pPr>
      <w:r>
        <w:rPr>
          <w:rFonts w:hint="eastAsia" w:ascii="仿宋_GB2312" w:hAnsi="Calibri" w:eastAsia="仿宋_GB2312" w:cs="Times New Roman"/>
          <w:sz w:val="32"/>
          <w:szCs w:val="32"/>
          <w:lang w:eastAsia="zh-CN"/>
        </w:rPr>
        <w:drawing>
          <wp:anchor distT="0" distB="0" distL="114300" distR="114300" simplePos="0" relativeHeight="251674624" behindDoc="0" locked="0" layoutInCell="1" allowOverlap="1">
            <wp:simplePos x="0" y="0"/>
            <wp:positionH relativeFrom="column">
              <wp:posOffset>102235</wp:posOffset>
            </wp:positionH>
            <wp:positionV relativeFrom="paragraph">
              <wp:posOffset>46990</wp:posOffset>
            </wp:positionV>
            <wp:extent cx="6035040" cy="3401695"/>
            <wp:effectExtent l="4445" t="4445" r="10795" b="7620"/>
            <wp:wrapTopAndBottom/>
            <wp:docPr id="67" name="图表 67" descr="7b0a202020202263686172745265734964223a20223435353633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hint="eastAsia" w:ascii="微软雅黑" w:hAnsi="微软雅黑" w:eastAsia="微软雅黑" w:cs="微软雅黑"/>
          <w:sz w:val="32"/>
          <w:szCs w:val="32"/>
          <w:lang w:val="en-US" w:eastAsia="zh-CN"/>
        </w:rPr>
        <w:t>表十一</w:t>
      </w:r>
      <w:r>
        <w:rPr>
          <w:rFonts w:hint="eastAsia" w:ascii="微软雅黑" w:hAnsi="微软雅黑" w:eastAsia="微软雅黑" w:cs="微软雅黑"/>
          <w:spacing w:val="-8"/>
          <w:sz w:val="32"/>
          <w:szCs w:val="32"/>
          <w:lang w:val="en-US" w:eastAsia="zh-CN"/>
        </w:rPr>
        <w:t>“双师型”教师分布统计表</w:t>
      </w:r>
    </w:p>
    <w:p>
      <w:pPr>
        <w:pageBreakBefore w:val="0"/>
        <w:kinsoku/>
        <w:wordWrap/>
        <w:overflowPunct/>
        <w:topLinePunct w:val="0"/>
        <w:bidi w:val="0"/>
        <w:snapToGrid w:val="0"/>
        <w:spacing w:beforeAutospacing="0" w:afterAutospacing="0" w:line="560" w:lineRule="exact"/>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122" w:name="_Toc10056"/>
      <w:bookmarkStart w:id="123" w:name="_Toc30753"/>
      <w:r>
        <w:rPr>
          <w:rFonts w:hint="eastAsia" w:eastAsia="楷体_GB2312" w:asciiTheme="majorHAnsi" w:hAnsiTheme="majorHAnsi" w:cstheme="majorBidi"/>
          <w:b/>
          <w:bCs/>
          <w:kern w:val="2"/>
          <w:sz w:val="32"/>
          <w:szCs w:val="32"/>
          <w:lang w:val="en-US" w:eastAsia="zh-CN" w:bidi="ar-SA"/>
        </w:rPr>
        <w:t>2.4.3教师团队建设</w:t>
      </w:r>
      <w:bookmarkEnd w:id="122"/>
      <w:bookmarkEnd w:id="123"/>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b/>
          <w:bCs/>
          <w:sz w:val="32"/>
          <w:szCs w:val="32"/>
          <w:lang w:val="en-US" w:eastAsia="zh-CN"/>
        </w:rPr>
        <w:t>一是</w:t>
      </w:r>
      <w:r>
        <w:rPr>
          <w:rFonts w:hint="eastAsia" w:ascii="仿宋_GB2312" w:hAnsi="Calibri" w:eastAsia="仿宋_GB2312" w:cs="Times New Roman"/>
          <w:sz w:val="32"/>
          <w:szCs w:val="32"/>
          <w:lang w:val="en-US" w:eastAsia="zh-CN"/>
        </w:rPr>
        <w:t>加强师资队伍</w:t>
      </w:r>
      <w:r>
        <w:rPr>
          <w:rFonts w:hint="eastAsia" w:ascii="仿宋_GB2312" w:hAnsi="Calibri" w:eastAsia="仿宋_GB2312" w:cs="Times New Roman"/>
          <w:sz w:val="32"/>
          <w:szCs w:val="32"/>
        </w:rPr>
        <w:t>培</w:t>
      </w:r>
      <w:r>
        <w:rPr>
          <w:rFonts w:hint="eastAsia" w:ascii="仿宋_GB2312" w:hAnsi="Calibri" w:eastAsia="仿宋_GB2312" w:cs="Times New Roman"/>
          <w:sz w:val="32"/>
          <w:szCs w:val="32"/>
          <w:lang w:eastAsia="zh-CN"/>
        </w:rPr>
        <w:t>养和</w:t>
      </w:r>
      <w:r>
        <w:rPr>
          <w:rFonts w:hint="eastAsia" w:ascii="仿宋_GB2312" w:hAnsi="Calibri" w:eastAsia="仿宋_GB2312" w:cs="Times New Roman"/>
          <w:sz w:val="32"/>
          <w:szCs w:val="32"/>
        </w:rPr>
        <w:t>培训</w:t>
      </w:r>
      <w:r>
        <w:rPr>
          <w:rFonts w:hint="eastAsia" w:ascii="仿宋_GB2312" w:hAnsi="Calibri" w:eastAsia="仿宋_GB2312" w:cs="Times New Roman"/>
          <w:sz w:val="32"/>
          <w:szCs w:val="32"/>
          <w:lang w:val="en-US" w:eastAsia="zh-CN"/>
        </w:rPr>
        <w:t>建设。2024年申请15个编制解决教师不足的问题。一年来组织教师参加疆内外各类培训120人次。何晓疆、李辉、唐琳、朝乐蒙、蔡红霞、柳林、白雪、朱世军8名教师参加了自治区、辽宁德育培训，德育课教师外派学习人数同比增长167%。鼓励33名教师参加研究生考试，14名教师申报地区、自治区课题，4名教师申报地区、自治区大师工作室。</w:t>
      </w:r>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b/>
          <w:bCs/>
          <w:sz w:val="32"/>
          <w:szCs w:val="32"/>
          <w:lang w:val="en-US" w:eastAsia="zh-CN"/>
        </w:rPr>
        <w:t>二是</w:t>
      </w:r>
      <w:r>
        <w:rPr>
          <w:rFonts w:hint="eastAsia" w:ascii="仿宋_GB2312" w:hAnsi="Calibri" w:eastAsia="仿宋_GB2312" w:cs="Times New Roman"/>
          <w:sz w:val="32"/>
          <w:szCs w:val="32"/>
          <w:lang w:val="en-US" w:eastAsia="zh-CN"/>
        </w:rPr>
        <w:t>2024年学校党委协调教育工委、地区人社局审批，“以人设岗”落实了14名教师长期未兑现职称工资的问题，解决了25名教师职级晋升的问题，极大提升了教师工作积极性。</w:t>
      </w:r>
    </w:p>
    <w:p>
      <w:pPr>
        <w:pageBreakBefore w:val="0"/>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三是</w:t>
      </w:r>
      <w:r>
        <w:rPr>
          <w:rFonts w:hint="eastAsia" w:ascii="仿宋_GB2312" w:hAnsi="Calibri" w:eastAsia="仿宋_GB2312" w:cs="Times New Roman"/>
          <w:color w:val="auto"/>
          <w:sz w:val="32"/>
          <w:szCs w:val="32"/>
          <w:highlight w:val="none"/>
          <w:lang w:val="en-US" w:eastAsia="zh-CN"/>
        </w:rPr>
        <w:t>2024年6月学校举办了塔城地区第三届“辽塔杯”职业技能大赛15个赛项，500余名参赛选手参加，塔城地区乌苏职业技术学校53名学生获奖，8万余人在线观看，获得了社会各界的广泛关注与认可。2024年全年师生在自治区、地区级获奖人数为65人。（其中，自治区“黄炎培”创新创业大赛教师指导学生获奖1人，教学能力大赛教师获奖1人，地区创新创业大赛教师指导学生获奖1人，地区级技能大赛教师获奖7人，学生获奖53人，地区级其他比赛活动获奖2人），师生获奖数量上同比2023年增长50%。</w:t>
      </w:r>
    </w:p>
    <w:p>
      <w:pPr>
        <w:pageBreakBefore w:val="0"/>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b/>
          <w:bCs/>
          <w:color w:val="auto"/>
          <w:sz w:val="32"/>
          <w:szCs w:val="32"/>
          <w:highlight w:val="none"/>
          <w:lang w:val="en-US" w:eastAsia="zh-CN"/>
        </w:rPr>
        <w:t>四是</w:t>
      </w:r>
      <w:r>
        <w:rPr>
          <w:rFonts w:hint="eastAsia" w:ascii="仿宋_GB2312" w:hAnsi="Calibri" w:eastAsia="仿宋_GB2312" w:cs="Times New Roman"/>
          <w:color w:val="auto"/>
          <w:sz w:val="32"/>
          <w:szCs w:val="32"/>
          <w:highlight w:val="none"/>
          <w:lang w:val="en-US" w:eastAsia="zh-CN"/>
        </w:rPr>
        <w:t>为进一步提高科研水平，鼓励和支持有突出业绩的教师充分发挥示范带头作用，提升科技与社会服务能力，培养拔尖科研创新人才，打造优秀学术团队，根据《塔城地区乌苏职业技术学校科研团队建设管理办法》的规定，根据实际需要，2024年学校再次调整完善了科研团队，确定10名校内教师为学术带头人并成立10个科研团队，同比2023年增加了1个科研团队，见表十二。</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p>
    <w:p>
      <w:pPr>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ascii="仿宋" w:hAnsi="仿宋" w:eastAsia="仿宋" w:cs="仿宋"/>
          <w:color w:val="auto"/>
          <w:sz w:val="32"/>
          <w:szCs w:val="32"/>
          <w:highlight w:val="none"/>
        </w:rPr>
      </w:pPr>
    </w:p>
    <w:p>
      <w:pPr>
        <w:rPr>
          <w:rFonts w:hint="eastAsia"/>
        </w:rPr>
      </w:pPr>
    </w:p>
    <w:tbl>
      <w:tblPr>
        <w:tblStyle w:val="14"/>
        <w:tblW w:w="9504" w:type="dxa"/>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38"/>
        <w:gridCol w:w="1675"/>
        <w:gridCol w:w="2445"/>
        <w:gridCol w:w="4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138"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仿宋" w:hAnsi="仿宋" w:eastAsia="仿宋" w:cs="仿宋"/>
                <w:sz w:val="28"/>
                <w:szCs w:val="28"/>
              </w:rPr>
            </w:pPr>
            <w:r>
              <w:rPr>
                <w:rStyle w:val="17"/>
                <w:rFonts w:hint="eastAsia" w:ascii="仿宋" w:hAnsi="仿宋" w:eastAsia="仿宋" w:cs="仿宋"/>
                <w:color w:val="333333"/>
                <w:sz w:val="28"/>
                <w:szCs w:val="28"/>
              </w:rPr>
              <w:t>编号</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rPr>
            </w:pPr>
            <w:r>
              <w:rPr>
                <w:rStyle w:val="17"/>
                <w:rFonts w:hint="eastAsia" w:ascii="仿宋" w:hAnsi="仿宋" w:eastAsia="仿宋" w:cs="仿宋"/>
                <w:color w:val="333333"/>
                <w:sz w:val="28"/>
                <w:szCs w:val="28"/>
                <w:lang w:val="en-US" w:eastAsia="zh-CN"/>
              </w:rPr>
              <w:t>科研</w:t>
            </w:r>
            <w:r>
              <w:rPr>
                <w:rStyle w:val="17"/>
                <w:rFonts w:hint="eastAsia" w:ascii="仿宋" w:hAnsi="仿宋" w:eastAsia="仿宋" w:cs="仿宋"/>
                <w:color w:val="333333"/>
                <w:sz w:val="28"/>
                <w:szCs w:val="28"/>
              </w:rPr>
              <w:t>带头人</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rPr>
            </w:pPr>
            <w:r>
              <w:rPr>
                <w:rStyle w:val="17"/>
                <w:rFonts w:hint="eastAsia" w:ascii="仿宋" w:hAnsi="仿宋" w:eastAsia="仿宋" w:cs="仿宋"/>
                <w:color w:val="333333"/>
                <w:sz w:val="28"/>
                <w:szCs w:val="28"/>
              </w:rPr>
              <w:t>团队名称</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rPr>
            </w:pPr>
            <w:r>
              <w:rPr>
                <w:rStyle w:val="17"/>
                <w:rFonts w:hint="eastAsia" w:ascii="仿宋" w:hAnsi="仿宋" w:eastAsia="仿宋" w:cs="仿宋"/>
                <w:color w:val="333333"/>
                <w:sz w:val="28"/>
                <w:szCs w:val="28"/>
              </w:rPr>
              <w:t>团队成员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9"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rPr>
            </w:pPr>
            <w:r>
              <w:rPr>
                <w:rFonts w:hint="eastAsia" w:ascii="仿宋" w:hAnsi="仿宋" w:eastAsia="仿宋" w:cs="仿宋"/>
                <w:color w:val="333333"/>
                <w:sz w:val="28"/>
                <w:szCs w:val="28"/>
                <w:lang w:val="en-US"/>
              </w:rPr>
              <w:t>1</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柳林</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rPr>
            </w:pPr>
            <w:r>
              <w:rPr>
                <w:rFonts w:hint="eastAsia" w:ascii="仿宋" w:hAnsi="仿宋" w:eastAsia="仿宋" w:cs="仿宋"/>
                <w:color w:val="333333"/>
                <w:sz w:val="28"/>
                <w:szCs w:val="28"/>
                <w:lang w:val="en-US" w:eastAsia="zh-CN"/>
              </w:rPr>
              <w:t>学生心理健康科研团队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林璐璐、徐璐璐、阿娜尔、王卫莉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9"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2</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张莉</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职业教育思政研究科研团队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涵盖所有思政教师队伍成员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陈人杰</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机加工应用研发科研团队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张妮娜、罗嘉禾、徐璐璐、阿娜尔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9"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杨学斌</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新能源汽修科研团队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王明、李兴强、胡光耀、杨燕、努尔比亚、韩金祥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675" w:type="dxa"/>
            <w:tcBorders>
              <w:tl2br w:val="nil"/>
              <w:tr2bl w:val="nil"/>
            </w:tcBorders>
            <w:shd w:val="clear" w:color="auto" w:fill="auto"/>
            <w:noWrap/>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杜军</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AI应用科研团队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罗嘉禾、王永芳、王卫莉、韩永宏、何晓疆、布爱介·艾则孜、李传恩、安玉婷、高建蓉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任桂华</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汉语言科研团队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李琴、高伟芳、陶林、韩红梅、唐琳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朱新斌</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机电技术应用科研团队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居玛古丽、庄磊、刘妍初、加依合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8</w:t>
            </w:r>
          </w:p>
        </w:tc>
        <w:tc>
          <w:tcPr>
            <w:tcW w:w="167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任煜明</w:t>
            </w:r>
          </w:p>
        </w:tc>
        <w:tc>
          <w:tcPr>
            <w:tcW w:w="2445"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数学科研团队</w:t>
            </w:r>
          </w:p>
        </w:tc>
        <w:tc>
          <w:tcPr>
            <w:tcW w:w="4646" w:type="dxa"/>
            <w:tcBorders>
              <w:tl2br w:val="nil"/>
              <w:tr2bl w:val="nil"/>
            </w:tcBorders>
            <w:shd w:val="clear" w:color="auto" w:fill="auto"/>
            <w:tcMar>
              <w:left w:w="84" w:type="dxa"/>
              <w:right w:w="84" w:type="dxa"/>
            </w:tcMar>
            <w:vAlign w:val="center"/>
          </w:tcPr>
          <w:p>
            <w:pPr>
              <w:pStyle w:val="1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沈捷、鲁秀芹、加依合、刘文亮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61"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1675"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邢晓峰</w:t>
            </w:r>
          </w:p>
        </w:tc>
        <w:tc>
          <w:tcPr>
            <w:tcW w:w="2445"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文化润疆科研团队</w:t>
            </w:r>
          </w:p>
        </w:tc>
        <w:tc>
          <w:tcPr>
            <w:tcW w:w="4646"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涵盖所有班主任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blCellSpacing w:w="0" w:type="dxa"/>
          <w:jc w:val="center"/>
        </w:trPr>
        <w:tc>
          <w:tcPr>
            <w:tcW w:w="738"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675"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刘鹏举</w:t>
            </w:r>
          </w:p>
        </w:tc>
        <w:tc>
          <w:tcPr>
            <w:tcW w:w="2445"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无人机科研团队</w:t>
            </w:r>
          </w:p>
        </w:tc>
        <w:tc>
          <w:tcPr>
            <w:tcW w:w="4646" w:type="dxa"/>
            <w:tcBorders>
              <w:tl2br w:val="nil"/>
              <w:tr2bl w:val="nil"/>
            </w:tcBorders>
            <w:shd w:val="clear" w:color="auto" w:fill="auto"/>
            <w:tcMar>
              <w:left w:w="84" w:type="dxa"/>
              <w:right w:w="84" w:type="dxa"/>
            </w:tcMar>
            <w:vAlign w:val="center"/>
          </w:tcPr>
          <w:p>
            <w:pPr>
              <w:pStyle w:val="13"/>
              <w:keepNext/>
              <w:keepLines/>
              <w:pageBreakBefore w:val="0"/>
              <w:widowControl/>
              <w:suppressLineNumbers w:val="0"/>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李培青、王红斌、史晓燕</w:t>
            </w:r>
          </w:p>
        </w:tc>
      </w:tr>
    </w:tbl>
    <w:p>
      <w:pPr>
        <w:pStyle w:val="4"/>
        <w:keepLines/>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outlineLvl w:val="9"/>
        <w:rPr>
          <w:rFonts w:hint="eastAsia" w:ascii="微软雅黑" w:hAnsi="微软雅黑" w:eastAsia="微软雅黑" w:cs="微软雅黑"/>
          <w:lang w:val="en-US" w:eastAsia="zh-CN"/>
        </w:rPr>
      </w:pPr>
      <w:bookmarkStart w:id="124" w:name="_Toc22755"/>
      <w:bookmarkStart w:id="125" w:name="_Toc27493"/>
      <w:bookmarkStart w:id="126" w:name="_Toc25200"/>
      <w:r>
        <w:rPr>
          <w:rFonts w:hint="eastAsia" w:ascii="微软雅黑" w:hAnsi="微软雅黑" w:eastAsia="微软雅黑" w:cs="微软雅黑"/>
          <w:lang w:val="en-US" w:eastAsia="zh-CN"/>
        </w:rPr>
        <w:t>表十二  2024年科研带头人、科研团队成员汇总表</w:t>
      </w:r>
    </w:p>
    <w:p>
      <w:pPr>
        <w:pStyle w:val="4"/>
        <w:pageBreakBefore w:val="0"/>
        <w:kinsoku/>
        <w:wordWrap/>
        <w:overflowPunct/>
        <w:topLinePunct w:val="0"/>
        <w:bidi w:val="0"/>
        <w:spacing w:beforeAutospacing="0" w:afterAutospacing="0" w:line="560" w:lineRule="exact"/>
        <w:ind w:firstLine="640" w:firstLineChars="200"/>
        <w:outlineLvl w:val="9"/>
        <w:rPr>
          <w:rFonts w:hint="eastAsia"/>
        </w:rPr>
      </w:pPr>
    </w:p>
    <w:p>
      <w:pPr>
        <w:rPr>
          <w:rFonts w:hint="eastAsia"/>
        </w:rPr>
      </w:pPr>
    </w:p>
    <w:p>
      <w:pPr>
        <w:pStyle w:val="2"/>
        <w:rPr>
          <w:rFonts w:hint="eastAsia"/>
        </w:rPr>
      </w:pPr>
    </w:p>
    <w:p>
      <w:pPr>
        <w:pStyle w:val="4"/>
        <w:pageBreakBefore w:val="0"/>
        <w:kinsoku/>
        <w:wordWrap/>
        <w:overflowPunct/>
        <w:topLinePunct w:val="0"/>
        <w:bidi w:val="0"/>
        <w:spacing w:beforeAutospacing="0" w:afterAutospacing="0" w:line="560" w:lineRule="exact"/>
        <w:ind w:firstLine="640"/>
        <w:rPr>
          <w:rFonts w:hint="eastAsia"/>
        </w:rPr>
      </w:pPr>
      <w:bookmarkStart w:id="127" w:name="_Toc3721"/>
      <w:r>
        <w:rPr>
          <w:rFonts w:hint="eastAsia"/>
        </w:rPr>
        <w:t>3.服务贡献质量</w:t>
      </w:r>
      <w:bookmarkEnd w:id="124"/>
      <w:bookmarkEnd w:id="125"/>
      <w:bookmarkEnd w:id="126"/>
      <w:bookmarkEnd w:id="127"/>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28" w:name="_Toc24745"/>
      <w:bookmarkStart w:id="129" w:name="_Toc12410"/>
      <w:bookmarkStart w:id="130" w:name="_Toc28210"/>
      <w:r>
        <w:rPr>
          <w:rFonts w:hint="eastAsia" w:eastAsia="楷体_GB2312" w:asciiTheme="majorHAnsi" w:hAnsiTheme="majorHAnsi" w:cstheme="majorBidi"/>
          <w:b/>
          <w:bCs/>
          <w:kern w:val="2"/>
          <w:sz w:val="32"/>
          <w:szCs w:val="32"/>
          <w:lang w:val="en-US" w:eastAsia="zh-CN" w:bidi="ar-SA"/>
        </w:rPr>
        <w:t>3.1服务行业企业。</w:t>
      </w:r>
      <w:bookmarkEnd w:id="128"/>
      <w:bookmarkEnd w:id="129"/>
      <w:bookmarkEnd w:id="130"/>
    </w:p>
    <w:p>
      <w:pPr>
        <w:pageBreakBefore w:val="0"/>
        <w:kinsoku/>
        <w:wordWrap/>
        <w:overflowPunct/>
        <w:topLinePunct w:val="0"/>
        <w:bidi w:val="0"/>
        <w:snapToGrid w:val="0"/>
        <w:spacing w:beforeAutospacing="0" w:afterAutospacing="0" w:line="560" w:lineRule="exact"/>
        <w:ind w:firstLine="640" w:firstLineChars="200"/>
        <w:outlineLvl w:val="2"/>
        <w:rPr>
          <w:rFonts w:hint="eastAsia" w:ascii="仿宋_GB2312" w:hAnsi="仿宋" w:eastAsia="仿宋_GB2312" w:cs="仿宋"/>
          <w:color w:val="auto"/>
          <w:sz w:val="32"/>
          <w:szCs w:val="32"/>
        </w:rPr>
      </w:pPr>
      <w:bookmarkStart w:id="131" w:name="_Toc1131"/>
      <w:bookmarkStart w:id="132" w:name="_Toc23182"/>
      <w:r>
        <w:rPr>
          <w:rFonts w:hint="eastAsia" w:ascii="仿宋_GB2312" w:hAnsi="仿宋" w:eastAsia="仿宋_GB2312" w:cs="仿宋"/>
          <w:color w:val="auto"/>
          <w:sz w:val="32"/>
          <w:szCs w:val="32"/>
          <w:lang w:val="en-US" w:eastAsia="zh-CN"/>
        </w:rPr>
        <w:t>3.1.1</w:t>
      </w:r>
      <w:r>
        <w:rPr>
          <w:rFonts w:hint="eastAsia" w:ascii="仿宋_GB2312" w:hAnsi="仿宋" w:eastAsia="仿宋_GB2312" w:cs="仿宋"/>
          <w:color w:val="auto"/>
          <w:sz w:val="32"/>
          <w:szCs w:val="32"/>
        </w:rPr>
        <w:t>发挥专业优势，精准对接企业需求</w:t>
      </w:r>
      <w:bookmarkEnd w:id="131"/>
      <w:bookmarkEnd w:id="132"/>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仿宋" w:eastAsia="仿宋_GB2312" w:cs="仿宋"/>
          <w:color w:val="auto"/>
          <w:sz w:val="32"/>
          <w:szCs w:val="32"/>
        </w:rPr>
      </w:pPr>
      <w:r>
        <w:rPr>
          <w:rFonts w:hint="eastAsia" w:ascii="仿宋_GB2312" w:hAnsi="仿宋" w:eastAsia="仿宋_GB2312" w:cs="仿宋"/>
          <w:color w:val="auto"/>
          <w:sz w:val="32"/>
          <w:szCs w:val="32"/>
        </w:rPr>
        <w:t>学校深入分析当地行业企业特点，依据自身专业设置，主动出击，与</w:t>
      </w:r>
      <w:r>
        <w:rPr>
          <w:rFonts w:hint="eastAsia" w:ascii="仿宋_GB2312" w:hAnsi="仿宋" w:eastAsia="仿宋_GB2312" w:cs="仿宋"/>
          <w:color w:val="auto"/>
          <w:sz w:val="32"/>
          <w:szCs w:val="32"/>
          <w:lang w:val="en-US" w:eastAsia="zh-CN"/>
        </w:rPr>
        <w:t>合作</w:t>
      </w:r>
      <w:r>
        <w:rPr>
          <w:rFonts w:hint="eastAsia" w:ascii="仿宋_GB2312" w:hAnsi="仿宋" w:eastAsia="仿宋_GB2312" w:cs="仿宋"/>
          <w:color w:val="auto"/>
          <w:sz w:val="32"/>
          <w:szCs w:val="32"/>
        </w:rPr>
        <w:t>企业建立紧密合作关系。</w:t>
      </w:r>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仿宋" w:eastAsia="仿宋_GB2312" w:cs="仿宋"/>
          <w:b/>
          <w:bCs/>
          <w:color w:val="auto"/>
          <w:sz w:val="32"/>
          <w:szCs w:val="32"/>
          <w:lang w:val="en-US" w:eastAsia="zh-CN"/>
        </w:rPr>
      </w:pPr>
      <w:bookmarkStart w:id="133" w:name="_Toc17614"/>
      <w:r>
        <w:rPr>
          <w:rFonts w:hint="eastAsia" w:ascii="仿宋_GB2312" w:hAnsi="仿宋" w:eastAsia="仿宋_GB2312" w:cs="仿宋"/>
          <w:b/>
          <w:bCs/>
          <w:color w:val="auto"/>
          <w:sz w:val="32"/>
          <w:szCs w:val="32"/>
          <w:lang w:val="en-US" w:eastAsia="zh-CN"/>
        </w:rPr>
        <w:t>【案例八】职业技能竞赛交流会</w:t>
      </w:r>
      <w:bookmarkEnd w:id="133"/>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仿宋" w:eastAsia="仿宋_GB2312" w:cs="仿宋"/>
          <w:color w:val="auto"/>
          <w:sz w:val="32"/>
          <w:szCs w:val="32"/>
          <w:lang w:val="en-US" w:eastAsia="zh-CN"/>
        </w:rPr>
      </w:pPr>
      <w:r>
        <w:rPr>
          <w:rFonts w:hint="eastAsia" w:ascii="仿宋_GB2312" w:hAnsi="仿宋" w:eastAsia="仿宋_GB2312" w:cs="仿宋"/>
          <w:color w:val="auto"/>
          <w:sz w:val="32"/>
          <w:szCs w:val="32"/>
          <w:lang w:val="en-US" w:eastAsia="zh-CN"/>
        </w:rPr>
        <w:drawing>
          <wp:anchor distT="0" distB="0" distL="114935" distR="114935" simplePos="0" relativeHeight="251675648" behindDoc="0" locked="0" layoutInCell="1" allowOverlap="1">
            <wp:simplePos x="0" y="0"/>
            <wp:positionH relativeFrom="column">
              <wp:posOffset>50165</wp:posOffset>
            </wp:positionH>
            <wp:positionV relativeFrom="paragraph">
              <wp:posOffset>2514600</wp:posOffset>
            </wp:positionV>
            <wp:extent cx="6172200" cy="3442335"/>
            <wp:effectExtent l="0" t="0" r="0" b="190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6172200" cy="3442335"/>
                    </a:xfrm>
                    <a:prstGeom prst="rect">
                      <a:avLst/>
                    </a:prstGeom>
                    <a:noFill/>
                    <a:ln>
                      <a:noFill/>
                    </a:ln>
                  </pic:spPr>
                </pic:pic>
              </a:graphicData>
            </a:graphic>
          </wp:anchor>
        </w:drawing>
      </w:r>
      <w:r>
        <w:rPr>
          <w:rFonts w:hint="eastAsia" w:ascii="仿宋_GB2312" w:hAnsi="仿宋" w:eastAsia="仿宋_GB2312" w:cs="仿宋"/>
          <w:color w:val="auto"/>
          <w:sz w:val="32"/>
          <w:szCs w:val="32"/>
          <w:lang w:val="en-US" w:eastAsia="zh-CN"/>
        </w:rPr>
        <w:t>2024年6月召开“塔城地区第三届职业技能竞赛暨‘辽塔杯’职业技能竞赛”专题交流座谈会，并于2024年10月召开政校企座谈会。座谈中，政府、企业、学校展开了深入交流，企业代表纷纷发言，提出企业在人才招聘、培养、使用等方面的需求和想法，并对人才工作提出了建议。学校对企业提出的需求和建议逐一进行了回应和解答，表示将继续加大对企业技能人才培养的支持力度，为企业发展提供人才保障，如图十一。</w:t>
      </w:r>
      <w:bookmarkStart w:id="134" w:name="_Toc25786"/>
    </w:p>
    <w:p>
      <w:pPr>
        <w:pageBreakBefore w:val="0"/>
        <w:kinsoku/>
        <w:wordWrap/>
        <w:overflowPunct/>
        <w:topLinePunct w:val="0"/>
        <w:bidi w:val="0"/>
        <w:snapToGrid w:val="0"/>
        <w:spacing w:beforeAutospacing="0" w:afterAutospacing="0" w:line="560" w:lineRule="exact"/>
        <w:ind w:firstLine="560" w:firstLineChars="20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图十一 “塔城地区第三届职业技能竞赛暨‘辽塔杯’职业技能竞赛”专题交流座谈会</w:t>
      </w:r>
    </w:p>
    <w:bookmarkEnd w:id="134"/>
    <w:p>
      <w:pPr>
        <w:pageBreakBefore w:val="0"/>
        <w:kinsoku/>
        <w:wordWrap/>
        <w:overflowPunct/>
        <w:topLinePunct w:val="0"/>
        <w:bidi w:val="0"/>
        <w:snapToGrid w:val="0"/>
        <w:spacing w:beforeAutospacing="0" w:afterAutospacing="0" w:line="560" w:lineRule="exact"/>
        <w:ind w:firstLine="643" w:firstLineChars="200"/>
        <w:outlineLvl w:val="2"/>
        <w:rPr>
          <w:rFonts w:hint="eastAsia" w:eastAsia="楷体_GB2312" w:asciiTheme="majorHAnsi" w:hAnsiTheme="majorHAnsi" w:cstheme="majorBidi"/>
          <w:b/>
          <w:bCs/>
          <w:kern w:val="2"/>
          <w:sz w:val="32"/>
          <w:szCs w:val="32"/>
          <w:lang w:val="en-US" w:eastAsia="zh-CN" w:bidi="ar-SA"/>
        </w:rPr>
      </w:pPr>
      <w:bookmarkStart w:id="135" w:name="_Toc7986"/>
      <w:bookmarkStart w:id="136" w:name="_Toc1739"/>
      <w:r>
        <w:rPr>
          <w:rFonts w:hint="eastAsia" w:eastAsia="楷体_GB2312" w:asciiTheme="majorHAnsi" w:hAnsiTheme="majorHAnsi" w:cstheme="majorBidi"/>
          <w:b/>
          <w:bCs/>
          <w:kern w:val="2"/>
          <w:sz w:val="32"/>
          <w:szCs w:val="32"/>
          <w:lang w:val="en-US" w:eastAsia="zh-CN" w:bidi="ar-SA"/>
        </w:rPr>
        <w:t>3.1.2人才优势助力，打造企业智力引擎</w:t>
      </w:r>
      <w:bookmarkEnd w:id="135"/>
      <w:bookmarkEnd w:id="136"/>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仿宋" w:eastAsia="仿宋_GB2312" w:cs="仿宋"/>
          <w:color w:val="auto"/>
          <w:sz w:val="32"/>
          <w:szCs w:val="32"/>
          <w:lang w:val="en-US" w:eastAsia="zh-CN"/>
        </w:rPr>
      </w:pPr>
      <w:r>
        <w:rPr>
          <w:rFonts w:hint="eastAsia" w:ascii="仿宋_GB2312" w:hAnsi="仿宋" w:eastAsia="仿宋_GB2312" w:cs="仿宋"/>
          <w:color w:val="auto"/>
          <w:sz w:val="32"/>
          <w:szCs w:val="32"/>
          <w:lang w:val="en-US" w:eastAsia="zh-CN"/>
        </w:rPr>
        <w:t>学校充分发挥人才资源优势，积极向企业输送高素质专业人才，并为企业员工提供定制化培训服务。在与乌苏市明星企业新疆钵施然智能农机股份有限公司合作中，学校食品工艺专业的优秀毕业生叶斯波勒进入企业关键岗位，凭借扎实的理论基础和熟练的操作技能，迅速融入企业生产研发环节，参与新产品研发与工艺改进。同时，学校与乌苏市华泰石油化工有限公司开展新型学徒制合作，为企业在职员工开展技能提升培训，通过培训，企业员工整体技能水平显著提升，中高级技术职称人员占比提高了 10%，为企业的长远发展注入了强劲的智力动力。</w:t>
      </w:r>
    </w:p>
    <w:p>
      <w:pPr>
        <w:pageBreakBefore w:val="0"/>
        <w:kinsoku/>
        <w:wordWrap/>
        <w:overflowPunct/>
        <w:topLinePunct w:val="0"/>
        <w:bidi w:val="0"/>
        <w:snapToGrid w:val="0"/>
        <w:spacing w:beforeAutospacing="0" w:afterAutospacing="0" w:line="560" w:lineRule="exact"/>
        <w:ind w:firstLine="640" w:firstLineChars="200"/>
        <w:outlineLvl w:val="2"/>
        <w:rPr>
          <w:rFonts w:hint="eastAsia" w:ascii="华文楷体" w:hAnsi="华文楷体" w:eastAsia="华文楷体" w:cs="华文楷体"/>
          <w:b/>
          <w:bCs/>
          <w:kern w:val="2"/>
          <w:sz w:val="32"/>
          <w:szCs w:val="32"/>
          <w:lang w:val="en-US" w:eastAsia="zh-CN" w:bidi="ar-SA"/>
        </w:rPr>
      </w:pPr>
      <w:r>
        <w:rPr>
          <w:rFonts w:hint="eastAsia" w:ascii="华文楷体" w:hAnsi="华文楷体" w:eastAsia="华文楷体" w:cs="华文楷体"/>
          <w:color w:val="auto"/>
          <w:sz w:val="32"/>
          <w:szCs w:val="32"/>
          <w:lang w:val="en-US" w:eastAsia="zh-CN"/>
        </w:rPr>
        <w:t xml:space="preserve"> </w:t>
      </w:r>
      <w:bookmarkStart w:id="137" w:name="_Toc32605"/>
      <w:bookmarkStart w:id="138" w:name="_Toc5264"/>
      <w:r>
        <w:rPr>
          <w:rFonts w:hint="eastAsia" w:ascii="华文楷体" w:hAnsi="华文楷体" w:eastAsia="华文楷体" w:cs="华文楷体"/>
          <w:b/>
          <w:bCs/>
          <w:kern w:val="2"/>
          <w:sz w:val="32"/>
          <w:szCs w:val="32"/>
          <w:lang w:val="en-US" w:eastAsia="zh-CN" w:bidi="ar-SA"/>
        </w:rPr>
        <w:t>3.1.3横向科研服务，解决企业实际痛点</w:t>
      </w:r>
      <w:bookmarkEnd w:id="137"/>
      <w:bookmarkEnd w:id="138"/>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仿宋" w:eastAsia="仿宋_GB2312" w:cs="仿宋"/>
          <w:color w:val="auto"/>
          <w:sz w:val="32"/>
          <w:szCs w:val="32"/>
          <w:lang w:val="en-US" w:eastAsia="zh-CN"/>
        </w:rPr>
      </w:pPr>
      <w:r>
        <w:rPr>
          <w:rFonts w:hint="eastAsia" w:ascii="仿宋_GB2312" w:hAnsi="仿宋" w:eastAsia="仿宋_GB2312" w:cs="仿宋"/>
          <w:color w:val="auto"/>
          <w:sz w:val="32"/>
          <w:szCs w:val="32"/>
          <w:lang w:val="en-US" w:eastAsia="zh-CN"/>
        </w:rPr>
        <w:t xml:space="preserve"> 学校积极开展横向科研服务，聚焦企业生产过程中的技术瓶颈问题，并致力于将科研成果转化为实际生产力。与乌苏市北方新科有限公司合作的课题《校企合作背景下进口DC生物300发酵罐蜗轮桨叶国产化的可行性研究》已获塔城地区科技局批准立项。项目完成后，乌苏市北方新科有限公司实现年生产1000套DC生物300发酵罐蜗轮桨叶能力，实现国产化替代；可大幅度降低生产成本约25%，提升企业和学校智能制造技术水平，技术创新；促进塔城地区智能制造产业升级，生物制造产业链的发展和完善，提高产品质量和生产效率和促进地方经济发展；依托学校，实现大量的智能制造技术人才培养，有助于培养一批高素质的技术人才和研发团队，保障国家安全。</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39" w:name="_Toc26551"/>
      <w:bookmarkStart w:id="140" w:name="_Toc14188"/>
      <w:bookmarkStart w:id="141" w:name="_Toc21933"/>
      <w:r>
        <w:rPr>
          <w:rFonts w:hint="eastAsia" w:eastAsia="楷体_GB2312" w:asciiTheme="majorHAnsi" w:hAnsiTheme="majorHAnsi" w:cstheme="majorBidi"/>
          <w:b/>
          <w:bCs/>
          <w:kern w:val="2"/>
          <w:sz w:val="32"/>
          <w:szCs w:val="32"/>
          <w:lang w:val="en-US" w:eastAsia="zh-CN" w:bidi="ar-SA"/>
        </w:rPr>
        <w:t>3.2服务区域发展</w:t>
      </w:r>
      <w:bookmarkEnd w:id="139"/>
      <w:bookmarkEnd w:id="140"/>
      <w:bookmarkEnd w:id="141"/>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学校扎根新疆，聚焦塔城地区及乌苏市用工需求，紧跟行业发展，通过与企业深度合作，举办校园招聘会、企业宣讲会等活动，积极推荐毕业生在本地就业。近三年，本地就业率逐年攀升，从98%提升至99.5%。如数控加工专业毕业生大部分进入本地对口企业，充实了区域企业人才队伍，缓解了人才外流现象。</w:t>
      </w:r>
      <w:r>
        <w:rPr>
          <w:rFonts w:hint="eastAsia" w:ascii="仿宋" w:hAnsi="仿宋" w:eastAsia="仿宋" w:cs="仿宋"/>
          <w:sz w:val="32"/>
          <w:szCs w:val="32"/>
          <w:lang w:val="en-US" w:eastAsia="zh-CN"/>
        </w:rPr>
        <w:t>学校紧紧围绕自治区九大产业集群</w:t>
      </w:r>
      <w:r>
        <w:rPr>
          <w:rFonts w:hint="eastAsia" w:ascii="仿宋" w:hAnsi="仿宋" w:eastAsia="仿宋" w:cs="仿宋"/>
          <w:b w:val="0"/>
          <w:i w:val="0"/>
          <w:color w:val="000000"/>
          <w:sz w:val="32"/>
          <w:szCs w:val="32"/>
          <w:lang w:val="en-US" w:eastAsia="zh-CN"/>
        </w:rPr>
        <w:t>，依托中国（新疆）自贸区和塔城开发开放试验区发展机遇，</w:t>
      </w:r>
      <w:r>
        <w:rPr>
          <w:rFonts w:hint="eastAsia" w:ascii="仿宋_GB2312" w:hAnsi="Calibri" w:eastAsia="仿宋_GB2312" w:cs="Times New Roman"/>
          <w:sz w:val="32"/>
          <w:szCs w:val="32"/>
          <w:lang w:val="en-US" w:eastAsia="zh-CN"/>
        </w:rPr>
        <w:t>依据区域产业布局调整专业设置与招生计划，使专业人才供给结构与区域产业人才需求结构高度契合。在新疆旅游业产业占比较重的区域背景下，加强涉农专业建设，新增高星级酒店运营与管理、旅游管理、现代通信技术应用专业，并扩大招生规模。与乌苏市沂疆大酒店、中国移动通信集团塔城分公司合作开展订单式培养，根据企业需求制定课程内容与教学标准，为企业现代化发展精准培育专业人才。</w:t>
      </w:r>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Calibri" w:eastAsia="仿宋_GB2312" w:cs="Times New Roman"/>
          <w:b/>
          <w:bCs/>
          <w:sz w:val="32"/>
          <w:szCs w:val="32"/>
          <w:lang w:val="en-US" w:eastAsia="zh-CN"/>
        </w:rPr>
      </w:pPr>
      <w:bookmarkStart w:id="142" w:name="_Toc28334"/>
      <w:bookmarkStart w:id="143" w:name="_Toc4849"/>
      <w:r>
        <w:rPr>
          <w:rFonts w:hint="eastAsia" w:ascii="仿宋_GB2312" w:hAnsi="Calibri" w:eastAsia="仿宋_GB2312" w:cs="Times New Roman"/>
          <w:b/>
          <w:bCs/>
          <w:sz w:val="32"/>
          <w:szCs w:val="32"/>
          <w:lang w:val="en-US" w:eastAsia="zh-CN"/>
        </w:rPr>
        <w:t>【案例九】 “校企合作 产教融合 协同育人 合作共赢”座谈会</w:t>
      </w:r>
      <w:bookmarkEnd w:id="142"/>
      <w:bookmarkEnd w:id="143"/>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10月23日，由塔城地区乌苏职业技术学校、乌苏工业园区管委会主办的“校企合作 产教融合 协同育人 合作共赢”政校企座谈会在地区乌苏职业技术学校召开。此次座谈会邀请了乌苏工业园区、市商工信局、市人社局、市教育局等政府部门和乌苏市北方新科有限公司、新疆钵施然智能农机股份有限公司等13家企业代表以及学校的师生代表，共同探讨如何构建更加紧密的政校企合作关系，为学生的成长和发展提供更多的机会和平台，如图十二。</w:t>
      </w:r>
    </w:p>
    <w:p>
      <w:pPr>
        <w:pStyle w:val="2"/>
        <w:rPr>
          <w:rFonts w:hint="eastAsia"/>
          <w:lang w:val="en-US" w:eastAsia="zh-CN"/>
        </w:rPr>
      </w:pPr>
      <w:r>
        <w:rPr>
          <w:rFonts w:hint="eastAsia"/>
          <w:lang w:val="en-US" w:eastAsia="zh-CN"/>
        </w:rPr>
        <w:drawing>
          <wp:anchor distT="0" distB="0" distL="114935" distR="114935" simplePos="0" relativeHeight="251683840" behindDoc="0" locked="0" layoutInCell="1" allowOverlap="1">
            <wp:simplePos x="0" y="0"/>
            <wp:positionH relativeFrom="column">
              <wp:posOffset>-243840</wp:posOffset>
            </wp:positionH>
            <wp:positionV relativeFrom="page">
              <wp:posOffset>710565</wp:posOffset>
            </wp:positionV>
            <wp:extent cx="6294755" cy="4197350"/>
            <wp:effectExtent l="0" t="0" r="14605" b="8890"/>
            <wp:wrapTopAndBottom/>
            <wp:docPr id="6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IMG_256"/>
                    <pic:cNvPicPr>
                      <a:picLocks noChangeAspect="1"/>
                    </pic:cNvPicPr>
                  </pic:nvPicPr>
                  <pic:blipFill>
                    <a:blip r:embed="rId31"/>
                    <a:stretch>
                      <a:fillRect/>
                    </a:stretch>
                  </pic:blipFill>
                  <pic:spPr>
                    <a:xfrm>
                      <a:off x="0" y="0"/>
                      <a:ext cx="6294755" cy="4197350"/>
                    </a:xfrm>
                    <a:prstGeom prst="rect">
                      <a:avLst/>
                    </a:prstGeom>
                    <a:noFill/>
                    <a:ln w="9525">
                      <a:noFill/>
                    </a:ln>
                  </pic:spPr>
                </pic:pic>
              </a:graphicData>
            </a:graphic>
          </wp:anchor>
        </w:drawing>
      </w:r>
    </w:p>
    <w:p>
      <w:pPr>
        <w:pStyle w:val="5"/>
        <w:pageBreakBefore w:val="0"/>
        <w:kinsoku/>
        <w:wordWrap/>
        <w:overflowPunct/>
        <w:topLinePunct w:val="0"/>
        <w:bidi w:val="0"/>
        <w:spacing w:beforeAutospacing="0" w:afterAutospacing="0" w:line="560" w:lineRule="exact"/>
        <w:ind w:firstLine="560" w:firstLineChars="200"/>
        <w:jc w:val="center"/>
        <w:outlineLvl w:val="9"/>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图十二  政校企座谈会上的校企合作实训基地授牌仪式</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44" w:name="_Toc17372"/>
      <w:bookmarkStart w:id="145" w:name="_Toc6817"/>
      <w:bookmarkStart w:id="146" w:name="_Toc26857"/>
      <w:r>
        <w:rPr>
          <w:rFonts w:hint="eastAsia" w:eastAsia="楷体_GB2312" w:asciiTheme="majorHAnsi" w:hAnsiTheme="majorHAnsi" w:cstheme="majorBidi"/>
          <w:b/>
          <w:bCs/>
          <w:kern w:val="2"/>
          <w:sz w:val="32"/>
          <w:szCs w:val="32"/>
          <w:lang w:val="en-US" w:eastAsia="zh-CN" w:bidi="ar-SA"/>
        </w:rPr>
        <w:t>3.3服务乡村振兴</w:t>
      </w:r>
      <w:bookmarkEnd w:id="144"/>
      <w:bookmarkEnd w:id="145"/>
      <w:bookmarkEnd w:id="146"/>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学校深入调研农村产业发展趋势，</w:t>
      </w:r>
      <w:r>
        <w:rPr>
          <w:rFonts w:hint="eastAsia" w:ascii="仿宋_GB2312" w:hAnsi="Calibri" w:eastAsia="仿宋_GB2312" w:cs="Times New Roman"/>
          <w:sz w:val="32"/>
          <w:szCs w:val="32"/>
          <w:lang w:val="en-US" w:eastAsia="zh-CN"/>
        </w:rPr>
        <w:t>以无人机操控与维护</w:t>
      </w:r>
      <w:r>
        <w:rPr>
          <w:rFonts w:hint="eastAsia" w:ascii="仿宋_GB2312" w:hAnsi="Calibri" w:eastAsia="仿宋_GB2312" w:cs="Times New Roman"/>
          <w:sz w:val="32"/>
          <w:szCs w:val="32"/>
        </w:rPr>
        <w:t>专业为例，</w:t>
      </w:r>
      <w:r>
        <w:rPr>
          <w:rFonts w:hint="eastAsia" w:ascii="仿宋_GB2312" w:hAnsi="Calibri" w:eastAsia="仿宋_GB2312" w:cs="Times New Roman"/>
          <w:sz w:val="32"/>
          <w:szCs w:val="32"/>
          <w:lang w:val="en-US" w:eastAsia="zh-CN"/>
        </w:rPr>
        <w:t>招生时，按照《塔城地区推进“未升学初高中毕业生”职业教育和毕业后就业创业工作实施方案》（塔行办法）〔2017〕37号）</w:t>
      </w:r>
      <w:r>
        <w:rPr>
          <w:rFonts w:hint="eastAsia" w:ascii="仿宋_GB2312" w:hAnsi="Calibri" w:eastAsia="仿宋_GB2312" w:cs="Times New Roman"/>
          <w:sz w:val="32"/>
          <w:szCs w:val="32"/>
        </w:rPr>
        <w:t>对</w:t>
      </w:r>
      <w:r>
        <w:rPr>
          <w:rFonts w:hint="eastAsia" w:ascii="仿宋_GB2312" w:hAnsi="Calibri" w:eastAsia="仿宋_GB2312" w:cs="Times New Roman"/>
          <w:sz w:val="32"/>
          <w:szCs w:val="32"/>
          <w:lang w:val="en-US" w:eastAsia="zh-CN"/>
        </w:rPr>
        <w:t>塔城地区</w:t>
      </w:r>
      <w:r>
        <w:rPr>
          <w:rFonts w:hint="eastAsia" w:ascii="仿宋_GB2312" w:hAnsi="Calibri" w:eastAsia="仿宋_GB2312" w:cs="Times New Roman"/>
          <w:sz w:val="32"/>
          <w:szCs w:val="32"/>
        </w:rPr>
        <w:t>户籍学生给予学费减免、奖学金等优惠政策，吸引优秀农村学子就读。</w:t>
      </w:r>
      <w:r>
        <w:rPr>
          <w:rFonts w:hint="eastAsia" w:ascii="仿宋_GB2312" w:hAnsi="Calibri" w:eastAsia="仿宋_GB2312" w:cs="Times New Roman"/>
          <w:sz w:val="32"/>
          <w:szCs w:val="32"/>
          <w:lang w:val="en-US" w:eastAsia="zh-CN"/>
        </w:rPr>
        <w:t>教学中</w:t>
      </w:r>
      <w:r>
        <w:rPr>
          <w:rFonts w:hint="eastAsia" w:ascii="仿宋_GB2312" w:hAnsi="Calibri" w:eastAsia="仿宋_GB2312" w:cs="Times New Roman"/>
          <w:sz w:val="32"/>
          <w:szCs w:val="32"/>
        </w:rPr>
        <w:t>学校配备先进的</w:t>
      </w:r>
      <w:r>
        <w:rPr>
          <w:rFonts w:hint="eastAsia" w:ascii="仿宋_GB2312" w:hAnsi="Calibri" w:eastAsia="仿宋_GB2312" w:cs="Times New Roman"/>
          <w:sz w:val="32"/>
          <w:szCs w:val="32"/>
          <w:lang w:val="en-US" w:eastAsia="zh-CN"/>
        </w:rPr>
        <w:t>无人机</w:t>
      </w:r>
      <w:r>
        <w:rPr>
          <w:rFonts w:hint="eastAsia" w:ascii="仿宋_GB2312" w:hAnsi="Calibri" w:eastAsia="仿宋_GB2312" w:cs="Times New Roman"/>
          <w:sz w:val="32"/>
          <w:szCs w:val="32"/>
        </w:rPr>
        <w:t>设备模型与实训场地，</w:t>
      </w:r>
      <w:r>
        <w:rPr>
          <w:rFonts w:hint="eastAsia" w:ascii="仿宋_GB2312" w:hAnsi="Calibri" w:eastAsia="仿宋_GB2312" w:cs="Times New Roman"/>
          <w:sz w:val="32"/>
          <w:szCs w:val="32"/>
          <w:lang w:eastAsia="zh-CN"/>
        </w:rPr>
        <w:t>理论与实践相结合</w:t>
      </w:r>
      <w:r>
        <w:rPr>
          <w:rFonts w:hint="eastAsia" w:ascii="仿宋_GB2312" w:hAnsi="Calibri" w:eastAsia="仿宋_GB2312" w:cs="Times New Roman"/>
          <w:sz w:val="32"/>
          <w:szCs w:val="32"/>
        </w:rPr>
        <w:t>教学，使学生熟练掌握</w:t>
      </w:r>
      <w:r>
        <w:rPr>
          <w:rFonts w:hint="eastAsia" w:ascii="仿宋_GB2312" w:hAnsi="Calibri" w:eastAsia="仿宋_GB2312" w:cs="Times New Roman"/>
          <w:sz w:val="32"/>
          <w:szCs w:val="32"/>
          <w:lang w:val="en-US" w:eastAsia="zh-CN"/>
        </w:rPr>
        <w:t>无人机操作</w:t>
      </w:r>
      <w:r>
        <w:rPr>
          <w:rFonts w:hint="eastAsia" w:ascii="仿宋_GB2312" w:hAnsi="Calibri" w:eastAsia="仿宋_GB2312" w:cs="Times New Roman"/>
          <w:sz w:val="32"/>
          <w:szCs w:val="32"/>
        </w:rPr>
        <w:t>、</w:t>
      </w:r>
      <w:r>
        <w:rPr>
          <w:rFonts w:hint="eastAsia" w:ascii="仿宋_GB2312" w:hAnsi="Calibri" w:eastAsia="仿宋_GB2312" w:cs="Times New Roman"/>
          <w:sz w:val="32"/>
          <w:szCs w:val="32"/>
          <w:lang w:val="en-US" w:eastAsia="zh-CN"/>
        </w:rPr>
        <w:t>无人机植保及</w:t>
      </w:r>
      <w:r>
        <w:rPr>
          <w:rFonts w:hint="eastAsia" w:ascii="仿宋_GB2312" w:hAnsi="Calibri" w:eastAsia="仿宋_GB2312" w:cs="Times New Roman"/>
          <w:sz w:val="32"/>
          <w:szCs w:val="32"/>
        </w:rPr>
        <w:t>维修技能，为农村机械化生产培育专业人才。邀请成功的农村创业典型回校分享经验，激发学生毕业后返乡创业就业的热情。</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eastAsia="zh-CN"/>
        </w:rPr>
      </w:pPr>
      <w:r>
        <w:rPr>
          <w:rFonts w:hint="eastAsia" w:ascii="仿宋_GB2312" w:hAnsi="Calibri" w:eastAsia="仿宋_GB2312" w:cs="Times New Roman"/>
          <w:color w:val="auto"/>
          <w:sz w:val="32"/>
          <w:szCs w:val="32"/>
          <w:highlight w:val="none"/>
        </w:rPr>
        <w:t>积极参与</w:t>
      </w:r>
      <w:r>
        <w:rPr>
          <w:rFonts w:hint="eastAsia" w:ascii="仿宋_GB2312" w:hAnsi="Calibri" w:eastAsia="仿宋_GB2312" w:cs="Times New Roman"/>
          <w:color w:val="auto"/>
          <w:sz w:val="32"/>
          <w:szCs w:val="32"/>
          <w:highlight w:val="none"/>
          <w:lang w:val="en-US" w:eastAsia="zh-CN"/>
        </w:rPr>
        <w:t>乡村振兴</w:t>
      </w:r>
      <w:r>
        <w:rPr>
          <w:rFonts w:hint="eastAsia" w:ascii="仿宋_GB2312" w:hAnsi="Calibri" w:eastAsia="仿宋_GB2312" w:cs="Times New Roman"/>
          <w:color w:val="auto"/>
          <w:sz w:val="32"/>
          <w:szCs w:val="32"/>
          <w:highlight w:val="none"/>
        </w:rPr>
        <w:t>教育与培训，推进新</w:t>
      </w:r>
      <w:r>
        <w:rPr>
          <w:rFonts w:hint="eastAsia" w:ascii="仿宋_GB2312" w:hAnsi="Calibri" w:eastAsia="仿宋_GB2312" w:cs="Times New Roman"/>
          <w:color w:val="auto"/>
          <w:sz w:val="32"/>
          <w:szCs w:val="32"/>
          <w:highlight w:val="none"/>
          <w:lang w:val="en-US" w:eastAsia="zh-CN"/>
        </w:rPr>
        <w:t>农村</w:t>
      </w:r>
      <w:r>
        <w:rPr>
          <w:rFonts w:hint="eastAsia" w:ascii="仿宋_GB2312" w:hAnsi="Calibri" w:eastAsia="仿宋_GB2312" w:cs="Times New Roman"/>
          <w:color w:val="auto"/>
          <w:sz w:val="32"/>
          <w:szCs w:val="32"/>
          <w:highlight w:val="none"/>
        </w:rPr>
        <w:t>建设进程。学校积极开展社会</w:t>
      </w:r>
      <w:r>
        <w:rPr>
          <w:rFonts w:hint="eastAsia" w:ascii="仿宋_GB2312" w:hAnsi="Calibri" w:eastAsia="仿宋_GB2312" w:cs="Times New Roman"/>
          <w:color w:val="auto"/>
          <w:sz w:val="32"/>
          <w:szCs w:val="32"/>
          <w:highlight w:val="none"/>
          <w:lang w:eastAsia="zh-CN"/>
        </w:rPr>
        <w:t>化</w:t>
      </w:r>
      <w:r>
        <w:rPr>
          <w:rFonts w:hint="eastAsia" w:ascii="仿宋_GB2312" w:hAnsi="Calibri" w:eastAsia="仿宋_GB2312" w:cs="Times New Roman"/>
          <w:color w:val="auto"/>
          <w:sz w:val="32"/>
          <w:szCs w:val="32"/>
          <w:highlight w:val="none"/>
        </w:rPr>
        <w:t>服务功能，广开培训渠道。利用现有</w:t>
      </w:r>
      <w:r>
        <w:rPr>
          <w:rFonts w:hint="eastAsia" w:ascii="仿宋_GB2312" w:hAnsi="Calibri" w:eastAsia="仿宋_GB2312" w:cs="Times New Roman"/>
          <w:color w:val="auto"/>
          <w:sz w:val="32"/>
          <w:szCs w:val="32"/>
          <w:highlight w:val="none"/>
          <w:lang w:eastAsia="zh-CN"/>
        </w:rPr>
        <w:t>实训设备和专业教师</w:t>
      </w:r>
      <w:r>
        <w:rPr>
          <w:rFonts w:hint="eastAsia" w:ascii="仿宋_GB2312" w:hAnsi="Calibri" w:eastAsia="仿宋_GB2312" w:cs="Times New Roman"/>
          <w:color w:val="auto"/>
          <w:sz w:val="32"/>
          <w:szCs w:val="32"/>
          <w:highlight w:val="none"/>
        </w:rPr>
        <w:t>资源，</w:t>
      </w:r>
      <w:r>
        <w:rPr>
          <w:rFonts w:hint="eastAsia" w:ascii="仿宋_GB2312" w:hAnsi="Calibri" w:eastAsia="仿宋_GB2312" w:cs="Times New Roman"/>
          <w:color w:val="auto"/>
          <w:sz w:val="32"/>
          <w:szCs w:val="32"/>
          <w:highlight w:val="none"/>
          <w:lang w:eastAsia="zh-CN"/>
        </w:rPr>
        <w:t>承担市里急缺专业</w:t>
      </w:r>
      <w:r>
        <w:rPr>
          <w:rFonts w:hint="eastAsia" w:ascii="仿宋_GB2312" w:hAnsi="Calibri" w:eastAsia="仿宋_GB2312" w:cs="Times New Roman"/>
          <w:color w:val="auto"/>
          <w:sz w:val="32"/>
          <w:szCs w:val="32"/>
          <w:highlight w:val="none"/>
        </w:rPr>
        <w:t>职业技能培训</w:t>
      </w:r>
      <w:r>
        <w:rPr>
          <w:rFonts w:hint="eastAsia" w:ascii="仿宋_GB2312" w:hAnsi="Calibri" w:eastAsia="仿宋_GB2312" w:cs="Times New Roman"/>
          <w:color w:val="auto"/>
          <w:sz w:val="32"/>
          <w:szCs w:val="32"/>
          <w:highlight w:val="none"/>
          <w:lang w:val="en-US" w:eastAsia="zh-CN"/>
        </w:rPr>
        <w:t>。举办塔城地区第三届职业技能竞赛暨“辽塔杯”职业技能竞赛，</w:t>
      </w:r>
      <w:r>
        <w:rPr>
          <w:rFonts w:hint="eastAsia" w:ascii="仿宋_GB2312" w:hAnsi="Calibri" w:eastAsia="仿宋_GB2312" w:cs="Times New Roman"/>
          <w:color w:val="auto"/>
          <w:sz w:val="32"/>
          <w:szCs w:val="32"/>
          <w:highlight w:val="none"/>
        </w:rPr>
        <w:t>增强实</w:t>
      </w:r>
      <w:r>
        <w:rPr>
          <w:rFonts w:hint="eastAsia" w:ascii="仿宋_GB2312" w:hAnsi="Calibri" w:eastAsia="仿宋_GB2312" w:cs="Times New Roman"/>
          <w:color w:val="auto"/>
          <w:sz w:val="32"/>
          <w:szCs w:val="32"/>
          <w:highlight w:val="none"/>
          <w:lang w:eastAsia="zh-CN"/>
        </w:rPr>
        <w:t>战</w:t>
      </w:r>
      <w:r>
        <w:rPr>
          <w:rFonts w:hint="eastAsia" w:ascii="仿宋_GB2312" w:hAnsi="Calibri" w:eastAsia="仿宋_GB2312" w:cs="Times New Roman"/>
          <w:color w:val="auto"/>
          <w:sz w:val="32"/>
          <w:szCs w:val="32"/>
          <w:highlight w:val="none"/>
        </w:rPr>
        <w:t>技能</w:t>
      </w:r>
      <w:r>
        <w:rPr>
          <w:rFonts w:hint="eastAsia" w:ascii="仿宋_GB2312" w:hAnsi="Calibri" w:eastAsia="仿宋_GB2312" w:cs="Times New Roman"/>
          <w:color w:val="auto"/>
          <w:sz w:val="32"/>
          <w:szCs w:val="32"/>
          <w:highlight w:val="none"/>
          <w:lang w:eastAsia="zh-CN"/>
        </w:rPr>
        <w:t>，助力农民拓展增收渠道。</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47" w:name="_Toc22381"/>
      <w:bookmarkStart w:id="148" w:name="_Toc23334"/>
      <w:bookmarkStart w:id="149" w:name="_Toc31498"/>
      <w:r>
        <w:rPr>
          <w:rFonts w:hint="eastAsia" w:eastAsia="楷体_GB2312" w:asciiTheme="majorHAnsi" w:hAnsiTheme="majorHAnsi" w:cstheme="majorBidi"/>
          <w:b/>
          <w:bCs/>
          <w:kern w:val="2"/>
          <w:sz w:val="32"/>
          <w:szCs w:val="32"/>
          <w:lang w:val="en-US" w:eastAsia="zh-CN" w:bidi="ar-SA"/>
        </w:rPr>
        <w:t>3.4具有本校特色的服务。</w:t>
      </w:r>
      <w:bookmarkEnd w:id="147"/>
      <w:bookmarkEnd w:id="148"/>
      <w:bookmarkEnd w:id="149"/>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lang w:eastAsia="zh-CN"/>
        </w:rPr>
        <w:t xml:space="preserve"> “点菜就餐式”</w:t>
      </w:r>
      <w:r>
        <w:rPr>
          <w:rFonts w:hint="eastAsia" w:ascii="仿宋_GB2312" w:hAnsi="Calibri" w:eastAsia="仿宋_GB2312" w:cs="Times New Roman"/>
          <w:sz w:val="32"/>
          <w:szCs w:val="32"/>
          <w:lang w:val="en-US" w:eastAsia="zh-CN"/>
        </w:rPr>
        <w:t>教学，</w:t>
      </w:r>
      <w:r>
        <w:rPr>
          <w:rFonts w:hint="eastAsia" w:ascii="仿宋_GB2312" w:hAnsi="Calibri" w:eastAsia="仿宋_GB2312" w:cs="Times New Roman"/>
          <w:sz w:val="32"/>
          <w:szCs w:val="32"/>
          <w:lang w:eastAsia="zh-CN"/>
        </w:rPr>
        <w:t>按照“缺什么、补什么”“发展什么、培训什么”的原则，</w:t>
      </w:r>
      <w:r>
        <w:rPr>
          <w:rFonts w:hint="eastAsia" w:ascii="仿宋_GB2312" w:hAnsi="Calibri" w:eastAsia="仿宋_GB2312" w:cs="Times New Roman"/>
          <w:sz w:val="32"/>
          <w:szCs w:val="32"/>
          <w:lang w:val="en-US" w:eastAsia="zh-CN"/>
        </w:rPr>
        <w:t>进行个性化分层教学，</w:t>
      </w:r>
      <w:r>
        <w:rPr>
          <w:rFonts w:hint="eastAsia" w:ascii="仿宋_GB2312" w:hAnsi="Calibri" w:eastAsia="仿宋_GB2312" w:cs="Times New Roman"/>
          <w:sz w:val="32"/>
          <w:szCs w:val="32"/>
          <w:lang w:eastAsia="zh-CN"/>
        </w:rPr>
        <w:t>整合资源</w:t>
      </w:r>
      <w:r>
        <w:rPr>
          <w:rFonts w:hint="eastAsia" w:ascii="仿宋_GB2312" w:hAnsi="Calibri" w:eastAsia="仿宋_GB2312" w:cs="Times New Roman"/>
          <w:sz w:val="32"/>
          <w:szCs w:val="32"/>
          <w:lang w:val="en-US" w:eastAsia="zh-CN"/>
        </w:rPr>
        <w:t>新成立</w:t>
      </w:r>
      <w:r>
        <w:rPr>
          <w:rFonts w:hint="eastAsia" w:ascii="仿宋_GB2312" w:hAnsi="Calibri" w:eastAsia="仿宋_GB2312" w:cs="Times New Roman"/>
          <w:sz w:val="32"/>
          <w:szCs w:val="32"/>
          <w:lang w:eastAsia="zh-CN"/>
        </w:rPr>
        <w:t>了</w:t>
      </w:r>
      <w:r>
        <w:rPr>
          <w:rFonts w:hint="eastAsia" w:ascii="仿宋_GB2312" w:hAnsi="Calibri" w:eastAsia="仿宋_GB2312" w:cs="Times New Roman"/>
          <w:sz w:val="32"/>
          <w:szCs w:val="32"/>
          <w:lang w:val="en-US" w:eastAsia="zh-CN"/>
        </w:rPr>
        <w:t>旅游教学部</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并在2024年申报并获批智能网联汽车技术、工业机器人技术应用、智能制造技术应用三个</w:t>
      </w:r>
      <w:r>
        <w:rPr>
          <w:rFonts w:hint="eastAsia" w:ascii="仿宋_GB2312" w:hAnsi="Calibri" w:eastAsia="仿宋_GB2312" w:cs="Times New Roman"/>
          <w:sz w:val="32"/>
          <w:szCs w:val="32"/>
          <w:lang w:eastAsia="zh-CN"/>
        </w:rPr>
        <w:t>专业，</w:t>
      </w:r>
      <w:r>
        <w:rPr>
          <w:rFonts w:hint="eastAsia" w:ascii="仿宋_GB2312" w:hAnsi="Calibri" w:eastAsia="仿宋_GB2312" w:cs="Times New Roman"/>
          <w:sz w:val="32"/>
          <w:szCs w:val="32"/>
          <w:lang w:val="en-US" w:eastAsia="zh-CN"/>
        </w:rPr>
        <w:t>2025年开始招生</w:t>
      </w:r>
      <w:r>
        <w:rPr>
          <w:rFonts w:hint="eastAsia" w:ascii="仿宋_GB2312" w:hAnsi="Calibri" w:eastAsia="仿宋_GB2312" w:cs="Times New Roman"/>
          <w:sz w:val="32"/>
          <w:szCs w:val="32"/>
          <w:lang w:eastAsia="zh-CN"/>
        </w:rPr>
        <w:t xml:space="preserve">。 </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借助塔城地区乌苏职业技术学校举办的塔城地区第三届职业技能竞赛暨“辽塔杯”职业技能竞赛平台，与校企合作企业开展深度交流合作。有12家企业助力此次大赛，为学校节省成本近5万元。邀请30多名企业家进行了现场15个赛项的比赛观摩、研讨，与凯达商贸、</w:t>
      </w:r>
      <w:r>
        <w:rPr>
          <w:rFonts w:hint="default" w:ascii="仿宋_GB2312" w:eastAsia="仿宋_GB2312"/>
          <w:sz w:val="32"/>
          <w:szCs w:val="32"/>
          <w:lang w:val="en-US" w:eastAsia="zh-CN"/>
        </w:rPr>
        <w:t>艾伦科技</w:t>
      </w:r>
      <w:r>
        <w:rPr>
          <w:rFonts w:hint="eastAsia" w:ascii="仿宋_GB2312" w:eastAsia="仿宋_GB2312"/>
          <w:sz w:val="32"/>
          <w:szCs w:val="32"/>
          <w:lang w:val="en-US" w:eastAsia="zh-CN"/>
        </w:rPr>
        <w:t>、</w:t>
      </w:r>
      <w:r>
        <w:rPr>
          <w:rFonts w:hint="default" w:ascii="仿宋_GB2312" w:eastAsia="仿宋_GB2312"/>
          <w:sz w:val="32"/>
          <w:szCs w:val="32"/>
          <w:lang w:val="en-US" w:eastAsia="zh-CN"/>
        </w:rPr>
        <w:t>龙泽科技</w:t>
      </w:r>
      <w:r>
        <w:rPr>
          <w:rFonts w:hint="eastAsia" w:ascii="仿宋_GB2312" w:eastAsia="仿宋_GB2312"/>
          <w:sz w:val="32"/>
          <w:szCs w:val="32"/>
          <w:lang w:val="en-US" w:eastAsia="zh-CN"/>
        </w:rPr>
        <w:t>、</w:t>
      </w:r>
      <w:r>
        <w:rPr>
          <w:rFonts w:hint="default" w:ascii="仿宋_GB2312" w:eastAsia="仿宋_GB2312"/>
          <w:sz w:val="32"/>
          <w:szCs w:val="32"/>
          <w:lang w:val="en-US" w:eastAsia="zh-CN"/>
        </w:rPr>
        <w:t>行云科技</w:t>
      </w:r>
      <w:r>
        <w:rPr>
          <w:rFonts w:hint="eastAsia" w:ascii="仿宋_GB2312" w:eastAsia="仿宋_GB2312"/>
          <w:sz w:val="32"/>
          <w:szCs w:val="32"/>
          <w:lang w:val="en-US" w:eastAsia="zh-CN"/>
        </w:rPr>
        <w:t>、</w:t>
      </w:r>
      <w:r>
        <w:rPr>
          <w:rFonts w:hint="default" w:ascii="仿宋_GB2312" w:eastAsia="仿宋_GB2312"/>
          <w:sz w:val="32"/>
          <w:szCs w:val="32"/>
          <w:lang w:val="en-US" w:eastAsia="zh-CN"/>
        </w:rPr>
        <w:t>移动公司</w:t>
      </w:r>
      <w:r>
        <w:rPr>
          <w:rFonts w:hint="eastAsia" w:ascii="仿宋_GB2312" w:eastAsia="仿宋_GB2312"/>
          <w:sz w:val="32"/>
          <w:szCs w:val="32"/>
          <w:lang w:val="en-US" w:eastAsia="zh-CN"/>
        </w:rPr>
        <w:t xml:space="preserve">等6家知名企业进行了座谈研讨，并签订了战略合作框架协议。 </w:t>
      </w:r>
    </w:p>
    <w:p>
      <w:pPr>
        <w:pageBreakBefore w:val="0"/>
        <w:kinsoku/>
        <w:wordWrap/>
        <w:overflowPunct/>
        <w:topLinePunct w:val="0"/>
        <w:bidi w:val="0"/>
        <w:snapToGrid w:val="0"/>
        <w:spacing w:beforeAutospacing="0" w:afterAutospacing="0" w:line="560" w:lineRule="exact"/>
        <w:ind w:firstLine="640" w:firstLineChars="200"/>
        <w:rPr>
          <w:rFonts w:hint="eastAsia"/>
          <w:lang w:val="en-US" w:eastAsia="zh-CN"/>
        </w:rPr>
      </w:pPr>
      <w:r>
        <w:rPr>
          <w:rFonts w:hint="eastAsia" w:ascii="仿宋_GB2312" w:hAnsi="Calibri" w:eastAsia="仿宋_GB2312" w:cs="Times New Roman"/>
          <w:sz w:val="32"/>
          <w:szCs w:val="32"/>
          <w:lang w:eastAsia="zh-CN"/>
        </w:rPr>
        <w:t>学生服务资助与帮扶</w:t>
      </w:r>
      <w:r>
        <w:rPr>
          <w:rFonts w:hint="eastAsia" w:ascii="仿宋_GB2312" w:hAnsi="Calibri" w:eastAsia="仿宋_GB2312" w:cs="Times New Roman"/>
          <w:sz w:val="32"/>
          <w:szCs w:val="32"/>
          <w:lang w:val="en-US" w:eastAsia="zh-CN"/>
        </w:rPr>
        <w:t>中，</w:t>
      </w:r>
      <w:r>
        <w:rPr>
          <w:rFonts w:hint="eastAsia" w:ascii="仿宋_GB2312" w:hAnsi="Calibri" w:eastAsia="仿宋_GB2312" w:cs="Times New Roman"/>
          <w:sz w:val="32"/>
          <w:szCs w:val="32"/>
          <w:lang w:eastAsia="zh-CN"/>
        </w:rPr>
        <w:t>为家庭经济困难学生设有勤工助学岗，党员教师每月给贫困生捐款，保障贫困生顺利完成学业。</w:t>
      </w:r>
    </w:p>
    <w:p>
      <w:pPr>
        <w:pStyle w:val="4"/>
        <w:pageBreakBefore w:val="0"/>
        <w:kinsoku/>
        <w:wordWrap/>
        <w:overflowPunct/>
        <w:topLinePunct w:val="0"/>
        <w:bidi w:val="0"/>
        <w:spacing w:beforeAutospacing="0" w:afterAutospacing="0" w:line="560" w:lineRule="exact"/>
        <w:ind w:firstLine="640"/>
        <w:rPr>
          <w:rFonts w:hint="eastAsia"/>
        </w:rPr>
      </w:pPr>
      <w:bookmarkStart w:id="150" w:name="_Toc14616"/>
      <w:bookmarkStart w:id="151" w:name="_Toc29029"/>
      <w:bookmarkStart w:id="152" w:name="_Toc24303"/>
      <w:bookmarkStart w:id="153" w:name="_Toc5149"/>
      <w:r>
        <w:rPr>
          <w:rFonts w:hint="eastAsia"/>
        </w:rPr>
        <w:t>4.文化传承质量</w:t>
      </w:r>
      <w:bookmarkEnd w:id="150"/>
      <w:bookmarkEnd w:id="151"/>
      <w:bookmarkEnd w:id="152"/>
      <w:bookmarkEnd w:id="153"/>
    </w:p>
    <w:p>
      <w:pPr>
        <w:pageBreakBefore w:val="0"/>
        <w:kinsoku/>
        <w:wordWrap/>
        <w:overflowPunct/>
        <w:topLinePunct w:val="0"/>
        <w:bidi w:val="0"/>
        <w:snapToGrid w:val="0"/>
        <w:spacing w:beforeAutospacing="0" w:afterAutospacing="0" w:line="560" w:lineRule="exact"/>
        <w:ind w:firstLine="641" w:firstLineChars="200"/>
        <w:outlineLvl w:val="1"/>
        <w:rPr>
          <w:rFonts w:hint="eastAsia" w:ascii="华文楷体" w:hAnsi="华文楷体" w:eastAsia="华文楷体" w:cs="华文楷体"/>
          <w:b/>
          <w:bCs/>
          <w:kern w:val="2"/>
          <w:sz w:val="32"/>
          <w:szCs w:val="32"/>
          <w:lang w:val="en-US" w:eastAsia="zh-CN" w:bidi="ar-SA"/>
        </w:rPr>
      </w:pPr>
      <w:bookmarkStart w:id="154" w:name="_Toc9346"/>
      <w:bookmarkStart w:id="155" w:name="_Toc27073"/>
      <w:bookmarkStart w:id="156" w:name="_Toc22990"/>
      <w:r>
        <w:rPr>
          <w:rFonts w:hint="eastAsia" w:ascii="华文楷体" w:hAnsi="华文楷体" w:eastAsia="华文楷体" w:cs="华文楷体"/>
          <w:b/>
          <w:bCs/>
          <w:kern w:val="2"/>
          <w:sz w:val="32"/>
          <w:szCs w:val="32"/>
          <w:lang w:val="en-US" w:eastAsia="zh-CN" w:bidi="ar-SA"/>
        </w:rPr>
        <w:t>4.1弘扬中华优秀传统文化</w:t>
      </w:r>
      <w:bookmarkEnd w:id="154"/>
      <w:bookmarkEnd w:id="155"/>
      <w:bookmarkEnd w:id="156"/>
    </w:p>
    <w:p>
      <w:pPr>
        <w:pageBreakBefore w:val="0"/>
        <w:kinsoku/>
        <w:wordWrap/>
        <w:overflowPunct/>
        <w:topLinePunct w:val="0"/>
        <w:bidi w:val="0"/>
        <w:snapToGrid w:val="0"/>
        <w:spacing w:beforeAutospacing="0" w:afterAutospacing="0" w:line="560" w:lineRule="exact"/>
        <w:ind w:firstLine="561" w:firstLineChars="200"/>
        <w:outlineLvl w:val="2"/>
        <w:rPr>
          <w:rFonts w:hint="eastAsia" w:ascii="华文楷体" w:hAnsi="华文楷体" w:eastAsia="华文楷体" w:cs="华文楷体"/>
          <w:b/>
          <w:bCs/>
          <w:kern w:val="2"/>
          <w:sz w:val="28"/>
          <w:szCs w:val="28"/>
          <w:lang w:val="en-US" w:eastAsia="zh-CN" w:bidi="ar-SA"/>
        </w:rPr>
      </w:pPr>
      <w:bookmarkStart w:id="157" w:name="_Toc22252"/>
      <w:bookmarkStart w:id="158" w:name="_Toc30130"/>
      <w:bookmarkStart w:id="159" w:name="_Toc32519"/>
      <w:bookmarkStart w:id="160" w:name="_Toc24898"/>
      <w:r>
        <w:rPr>
          <w:rFonts w:hint="eastAsia" w:ascii="华文楷体" w:hAnsi="华文楷体" w:eastAsia="华文楷体" w:cs="华文楷体"/>
          <w:b/>
          <w:bCs/>
          <w:kern w:val="2"/>
          <w:sz w:val="28"/>
          <w:szCs w:val="28"/>
          <w:lang w:val="en-US" w:eastAsia="zh-CN" w:bidi="ar-SA"/>
        </w:rPr>
        <w:t>4.1.1中华优秀传统文化课程设置和课堂教学</w:t>
      </w:r>
      <w:bookmarkEnd w:id="157"/>
      <w:bookmarkEnd w:id="158"/>
      <w:bookmarkEnd w:id="159"/>
      <w:bookmarkEnd w:id="160"/>
    </w:p>
    <w:p>
      <w:pPr>
        <w:pageBreakBefore w:val="0"/>
        <w:kinsoku/>
        <w:wordWrap/>
        <w:overflowPunct/>
        <w:topLinePunct w:val="0"/>
        <w:bidi w:val="0"/>
        <w:snapToGrid w:val="0"/>
        <w:spacing w:beforeAutospacing="0" w:afterAutospacing="0"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bCs/>
          <w:sz w:val="32"/>
          <w:szCs w:val="32"/>
          <w:lang w:val="en-US" w:eastAsia="zh-CN"/>
        </w:rPr>
        <w:t>一是</w:t>
      </w:r>
      <w:r>
        <w:rPr>
          <w:rFonts w:hint="eastAsia" w:ascii="仿宋_GB2312" w:hAnsi="Calibri" w:eastAsia="仿宋_GB2312" w:cs="Times New Roman"/>
          <w:sz w:val="32"/>
          <w:szCs w:val="32"/>
        </w:rPr>
        <w:t>课程设置</w:t>
      </w:r>
      <w:r>
        <w:rPr>
          <w:rFonts w:hint="eastAsia" w:ascii="仿宋_GB2312" w:hAnsi="Calibri" w:eastAsia="仿宋_GB2312" w:cs="Times New Roman"/>
          <w:sz w:val="32"/>
          <w:szCs w:val="32"/>
          <w:lang w:val="en-US" w:eastAsia="zh-CN"/>
        </w:rPr>
        <w:t>方面</w:t>
      </w:r>
      <w:r>
        <w:rPr>
          <w:rFonts w:hint="eastAsia" w:ascii="仿宋_GB2312" w:hAnsi="Calibri" w:eastAsia="仿宋_GB2312" w:cs="Times New Roman"/>
          <w:sz w:val="32"/>
          <w:szCs w:val="32"/>
        </w:rPr>
        <w:t>：学校开设</w:t>
      </w:r>
      <w:r>
        <w:rPr>
          <w:rFonts w:hint="eastAsia" w:ascii="仿宋_GB2312" w:hAnsi="Calibri" w:eastAsia="仿宋_GB2312" w:cs="Times New Roman"/>
          <w:sz w:val="32"/>
          <w:szCs w:val="32"/>
          <w:lang w:val="en-US" w:eastAsia="zh-CN"/>
        </w:rPr>
        <w:t>了</w:t>
      </w:r>
      <w:r>
        <w:rPr>
          <w:rFonts w:hint="eastAsia" w:ascii="仿宋_GB2312" w:hAnsi="Calibri" w:eastAsia="仿宋_GB2312" w:cs="Times New Roman"/>
          <w:sz w:val="32"/>
          <w:szCs w:val="32"/>
        </w:rPr>
        <w:t>一系列与中华优秀传统文化相关的课程，如中华优秀传统文化</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第二课堂中的</w:t>
      </w:r>
      <w:r>
        <w:rPr>
          <w:rFonts w:hint="eastAsia" w:ascii="仿宋_GB2312" w:hAnsi="Calibri" w:eastAsia="仿宋_GB2312" w:cs="Times New Roman"/>
          <w:sz w:val="32"/>
          <w:szCs w:val="32"/>
        </w:rPr>
        <w:t>国学经典、书法、国画、民族音乐与舞蹈等，以丰富学生的文化体验，培养他们的文化素养。</w:t>
      </w:r>
    </w:p>
    <w:p>
      <w:pPr>
        <w:pageBreakBefore w:val="0"/>
        <w:kinsoku/>
        <w:wordWrap/>
        <w:overflowPunct/>
        <w:topLinePunct w:val="0"/>
        <w:bidi w:val="0"/>
        <w:snapToGrid w:val="0"/>
        <w:spacing w:beforeAutospacing="0" w:afterAutospacing="0" w:line="560" w:lineRule="exact"/>
        <w:ind w:firstLine="643" w:firstLineChars="200"/>
        <w:rPr>
          <w:rFonts w:hint="eastAsia" w:ascii="宋体" w:hAnsi="宋体" w:eastAsia="宋体" w:cs="宋体"/>
          <w:b/>
          <w:bCs/>
          <w:kern w:val="0"/>
          <w:sz w:val="27"/>
          <w:szCs w:val="27"/>
          <w:lang w:val="en-US" w:eastAsia="zh-CN" w:bidi="ar"/>
        </w:rPr>
      </w:pPr>
      <w:r>
        <w:rPr>
          <w:rFonts w:hint="eastAsia" w:ascii="仿宋_GB2312" w:hAnsi="Calibri" w:eastAsia="仿宋_GB2312" w:cs="Times New Roman"/>
          <w:b/>
          <w:bCs/>
          <w:sz w:val="32"/>
          <w:szCs w:val="32"/>
          <w:lang w:val="en-US" w:eastAsia="zh-CN"/>
        </w:rPr>
        <w:t>二是</w:t>
      </w:r>
      <w:r>
        <w:rPr>
          <w:rFonts w:hint="eastAsia" w:ascii="仿宋_GB2312" w:hAnsi="Calibri" w:eastAsia="仿宋_GB2312" w:cs="Times New Roman"/>
          <w:sz w:val="32"/>
          <w:szCs w:val="32"/>
        </w:rPr>
        <w:t>课堂教学：在教学过程中，教师注重引导学生深入理解中华优秀传统文化的内涵与价值，通过</w:t>
      </w:r>
      <w:r>
        <w:rPr>
          <w:rFonts w:hint="eastAsia" w:ascii="仿宋_GB2312" w:hAnsi="Calibri" w:eastAsia="仿宋_GB2312" w:cs="Times New Roman"/>
          <w:sz w:val="32"/>
          <w:szCs w:val="32"/>
          <w:lang w:val="en-US" w:eastAsia="zh-CN"/>
        </w:rPr>
        <w:t>对</w:t>
      </w:r>
      <w:r>
        <w:rPr>
          <w:rFonts w:hint="eastAsia" w:ascii="仿宋_GB2312" w:hAnsi="Calibri" w:eastAsia="仿宋_GB2312" w:cs="Times New Roman"/>
          <w:sz w:val="32"/>
          <w:szCs w:val="32"/>
        </w:rPr>
        <w:t>中华优秀传统文化</w:t>
      </w:r>
      <w:r>
        <w:rPr>
          <w:rFonts w:hint="eastAsia" w:ascii="仿宋_GB2312" w:hAnsi="Calibri" w:eastAsia="仿宋_GB2312" w:cs="Times New Roman"/>
          <w:sz w:val="32"/>
          <w:szCs w:val="32"/>
          <w:lang w:val="en-US" w:eastAsia="zh-CN"/>
        </w:rPr>
        <w:t>课的</w:t>
      </w:r>
      <w:r>
        <w:rPr>
          <w:rFonts w:hint="eastAsia" w:ascii="仿宋_GB2312" w:hAnsi="Calibri" w:eastAsia="仿宋_GB2312" w:cs="Times New Roman"/>
          <w:sz w:val="32"/>
          <w:szCs w:val="32"/>
        </w:rPr>
        <w:t>讲解、讨论、实践等多种方式，激发学生的学习兴趣，提高他们的文化素养和审美能力</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如图十三</w:t>
      </w:r>
      <w:r>
        <w:rPr>
          <w:rFonts w:hint="eastAsia" w:ascii="仿宋_GB2312" w:hAnsi="Calibri" w:eastAsia="仿宋_GB2312" w:cs="Times New Roman"/>
          <w:sz w:val="32"/>
          <w:szCs w:val="32"/>
        </w:rPr>
        <w:t>。</w:t>
      </w:r>
    </w:p>
    <w:p>
      <w:pPr>
        <w:pStyle w:val="5"/>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b w:val="0"/>
          <w:bCs w:val="0"/>
          <w:lang w:val="en-US" w:eastAsia="zh-CN"/>
        </w:rPr>
      </w:pPr>
      <w:bookmarkStart w:id="161" w:name="_Toc19216"/>
      <w:r>
        <w:rPr>
          <w:rFonts w:hint="eastAsia" w:ascii="微软雅黑" w:hAnsi="微软雅黑" w:eastAsia="微软雅黑" w:cs="微软雅黑"/>
          <w:b w:val="0"/>
          <w:bCs w:val="0"/>
          <w:lang w:val="en-US" w:eastAsia="zh-CN"/>
        </w:rPr>
        <w:drawing>
          <wp:anchor distT="0" distB="0" distL="114300" distR="114300" simplePos="0" relativeHeight="251676672" behindDoc="0" locked="0" layoutInCell="1" allowOverlap="1">
            <wp:simplePos x="0" y="0"/>
            <wp:positionH relativeFrom="column">
              <wp:posOffset>-17145</wp:posOffset>
            </wp:positionH>
            <wp:positionV relativeFrom="paragraph">
              <wp:posOffset>144145</wp:posOffset>
            </wp:positionV>
            <wp:extent cx="6118860" cy="4361815"/>
            <wp:effectExtent l="0" t="0" r="7620" b="12065"/>
            <wp:wrapTopAndBottom/>
            <wp:docPr id="44" name="图片 44" descr="e1774507e33ba7f3858896f751c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1774507e33ba7f3858896f751c4573"/>
                    <pic:cNvPicPr>
                      <a:picLocks noChangeAspect="1"/>
                    </pic:cNvPicPr>
                  </pic:nvPicPr>
                  <pic:blipFill>
                    <a:blip r:embed="rId32"/>
                    <a:stretch>
                      <a:fillRect/>
                    </a:stretch>
                  </pic:blipFill>
                  <pic:spPr>
                    <a:xfrm>
                      <a:off x="0" y="0"/>
                      <a:ext cx="6118860" cy="4361815"/>
                    </a:xfrm>
                    <a:prstGeom prst="rect">
                      <a:avLst/>
                    </a:prstGeom>
                  </pic:spPr>
                </pic:pic>
              </a:graphicData>
            </a:graphic>
          </wp:anchor>
        </w:drawing>
      </w:r>
      <w:r>
        <w:rPr>
          <w:rFonts w:hint="eastAsia" w:ascii="微软雅黑" w:hAnsi="微软雅黑" w:eastAsia="微软雅黑" w:cs="微软雅黑"/>
          <w:b w:val="0"/>
          <w:bCs w:val="0"/>
          <w:lang w:val="en-US" w:eastAsia="zh-CN"/>
        </w:rPr>
        <w:t>图十三  开展第二课堂活动</w:t>
      </w:r>
      <w:bookmarkEnd w:id="161"/>
    </w:p>
    <w:p>
      <w:pPr>
        <w:pageBreakBefore w:val="0"/>
        <w:kinsoku/>
        <w:wordWrap/>
        <w:overflowPunct/>
        <w:topLinePunct w:val="0"/>
        <w:bidi w:val="0"/>
        <w:snapToGrid w:val="0"/>
        <w:spacing w:beforeAutospacing="0" w:afterAutospacing="0" w:line="560" w:lineRule="exact"/>
        <w:ind w:firstLine="641" w:firstLineChars="200"/>
        <w:outlineLvl w:val="2"/>
        <w:rPr>
          <w:rFonts w:hint="eastAsia" w:ascii="华文楷体" w:hAnsi="华文楷体" w:eastAsia="华文楷体" w:cs="华文楷体"/>
          <w:b/>
          <w:bCs/>
          <w:kern w:val="2"/>
          <w:sz w:val="32"/>
          <w:szCs w:val="32"/>
          <w:lang w:val="en-US" w:eastAsia="zh-CN" w:bidi="ar-SA"/>
        </w:rPr>
      </w:pPr>
      <w:bookmarkStart w:id="162" w:name="_Toc17682"/>
      <w:bookmarkStart w:id="163" w:name="_Toc1398"/>
      <w:bookmarkStart w:id="164" w:name="_Toc20883"/>
      <w:bookmarkStart w:id="165" w:name="_Toc27949"/>
      <w:r>
        <w:rPr>
          <w:rFonts w:hint="eastAsia" w:ascii="华文楷体" w:hAnsi="华文楷体" w:eastAsia="华文楷体" w:cs="华文楷体"/>
          <w:b/>
          <w:bCs/>
          <w:kern w:val="2"/>
          <w:sz w:val="32"/>
          <w:szCs w:val="32"/>
          <w:lang w:val="en-US" w:eastAsia="zh-CN" w:bidi="ar-SA"/>
        </w:rPr>
        <w:t>4.1.2弘扬传承中华优秀传统文化实践活动</w:t>
      </w:r>
      <w:bookmarkEnd w:id="162"/>
      <w:bookmarkEnd w:id="163"/>
      <w:bookmarkEnd w:id="164"/>
      <w:bookmarkEnd w:id="165"/>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学校组织丰富多彩的校园文化活动，如诗词朗诵比赛、书法比赛、传统节日庆祝活动等，让学生在参与中感受中华优秀传统文化的魅力，增强他们的文化自信</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如图十四</w:t>
      </w:r>
      <w:r>
        <w:rPr>
          <w:rFonts w:hint="eastAsia" w:ascii="仿宋_GB2312" w:hAnsi="Calibri" w:eastAsia="仿宋_GB2312" w:cs="Times New Roman"/>
          <w:sz w:val="32"/>
          <w:szCs w:val="32"/>
        </w:rPr>
        <w:t>。</w:t>
      </w: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val="0"/>
          <w:bCs w:val="0"/>
          <w:lang w:val="en-US" w:eastAsia="zh-CN"/>
        </w:rPr>
      </w:pPr>
      <w:r>
        <w:rPr>
          <w:rFonts w:hint="eastAsia" w:ascii="仿宋_GB2312" w:hAnsi="Calibri" w:eastAsia="仿宋_GB2312" w:cs="Times New Roman"/>
          <w:sz w:val="30"/>
          <w:szCs w:val="30"/>
          <w:lang w:eastAsia="zh-CN"/>
        </w:rPr>
        <w:drawing>
          <wp:anchor distT="0" distB="0" distL="114300" distR="114300" simplePos="0" relativeHeight="251684864" behindDoc="0" locked="0" layoutInCell="1" allowOverlap="1">
            <wp:simplePos x="0" y="0"/>
            <wp:positionH relativeFrom="column">
              <wp:posOffset>44450</wp:posOffset>
            </wp:positionH>
            <wp:positionV relativeFrom="paragraph">
              <wp:posOffset>-7620</wp:posOffset>
            </wp:positionV>
            <wp:extent cx="6041390" cy="3752215"/>
            <wp:effectExtent l="0" t="0" r="8890" b="12065"/>
            <wp:wrapTopAndBottom/>
            <wp:docPr id="49" name="图片 49" descr="10bcf91b4e0e57e386a02845171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0bcf91b4e0e57e386a02845171e142"/>
                    <pic:cNvPicPr>
                      <a:picLocks noChangeAspect="1"/>
                    </pic:cNvPicPr>
                  </pic:nvPicPr>
                  <pic:blipFill>
                    <a:blip r:embed="rId33"/>
                    <a:stretch>
                      <a:fillRect/>
                    </a:stretch>
                  </pic:blipFill>
                  <pic:spPr>
                    <a:xfrm>
                      <a:off x="0" y="0"/>
                      <a:ext cx="6041390" cy="3752215"/>
                    </a:xfrm>
                    <a:prstGeom prst="rect">
                      <a:avLst/>
                    </a:prstGeom>
                  </pic:spPr>
                </pic:pic>
              </a:graphicData>
            </a:graphic>
          </wp:anchor>
        </w:drawing>
      </w:r>
      <w:bookmarkStart w:id="166" w:name="_Toc29548"/>
      <w:r>
        <w:rPr>
          <w:rFonts w:hint="eastAsia" w:ascii="微软雅黑" w:hAnsi="微软雅黑" w:eastAsia="微软雅黑" w:cs="微软雅黑"/>
          <w:b w:val="0"/>
          <w:bCs w:val="0"/>
          <w:sz w:val="30"/>
          <w:szCs w:val="30"/>
          <w:lang w:val="en-US" w:eastAsia="zh-CN"/>
        </w:rPr>
        <w:t>图十四  弘扬传承中华优秀传统文化爱国主义实践活动</w:t>
      </w:r>
      <w:bookmarkEnd w:id="166"/>
    </w:p>
    <w:p>
      <w:pPr>
        <w:pageBreakBefore w:val="0"/>
        <w:kinsoku/>
        <w:wordWrap/>
        <w:overflowPunct/>
        <w:topLinePunct w:val="0"/>
        <w:bidi w:val="0"/>
        <w:snapToGrid w:val="0"/>
        <w:spacing w:beforeAutospacing="0" w:afterAutospacing="0" w:line="560" w:lineRule="exact"/>
        <w:rPr>
          <w:rFonts w:hint="eastAsia"/>
          <w:lang w:eastAsia="zh-CN"/>
        </w:rPr>
      </w:pPr>
      <w:r>
        <w:rPr>
          <w:rFonts w:hint="eastAsia" w:ascii="仿宋_GB2312" w:hAnsi="Calibri" w:eastAsia="仿宋_GB2312" w:cs="Times New Roman"/>
          <w:sz w:val="32"/>
          <w:szCs w:val="32"/>
        </w:rPr>
        <w:t>鼓励学生参与社会实践活动，如</w:t>
      </w:r>
      <w:r>
        <w:rPr>
          <w:rFonts w:hint="eastAsia" w:ascii="仿宋_GB2312" w:hAnsi="Calibri" w:eastAsia="仿宋_GB2312" w:cs="Times New Roman"/>
          <w:sz w:val="32"/>
          <w:szCs w:val="32"/>
          <w:lang w:val="en-US" w:eastAsia="zh-CN"/>
        </w:rPr>
        <w:t>参加志愿者活动，或</w:t>
      </w:r>
      <w:r>
        <w:rPr>
          <w:rFonts w:hint="eastAsia" w:ascii="仿宋_GB2312" w:hAnsi="Calibri" w:eastAsia="仿宋_GB2312" w:cs="Times New Roman"/>
          <w:sz w:val="32"/>
          <w:szCs w:val="32"/>
        </w:rPr>
        <w:t>到博物馆、文化馆等场所参观学习，以实际行动弘扬中华优秀传统文化</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如图十五</w:t>
      </w:r>
      <w:r>
        <w:rPr>
          <w:rFonts w:hint="eastAsia" w:ascii="仿宋_GB2312" w:hAnsi="Calibri" w:eastAsia="仿宋_GB2312" w:cs="Times New Roman"/>
          <w:sz w:val="32"/>
          <w:szCs w:val="32"/>
        </w:rPr>
        <w:t>。</w:t>
      </w:r>
    </w:p>
    <w:p>
      <w:pPr>
        <w:pStyle w:val="5"/>
        <w:pageBreakBefore w:val="0"/>
        <w:kinsoku/>
        <w:wordWrap/>
        <w:overflowPunct/>
        <w:topLinePunct w:val="0"/>
        <w:bidi w:val="0"/>
        <w:spacing w:beforeAutospacing="0" w:afterAutospacing="0" w:line="560" w:lineRule="exact"/>
        <w:ind w:firstLine="640" w:firstLineChars="200"/>
        <w:jc w:val="center"/>
        <w:outlineLvl w:val="9"/>
        <w:rPr>
          <w:rFonts w:hint="eastAsia" w:ascii="微软雅黑" w:hAnsi="微软雅黑" w:eastAsia="微软雅黑" w:cs="微软雅黑"/>
          <w:b w:val="0"/>
          <w:bCs w:val="0"/>
          <w:lang w:val="en-US" w:eastAsia="zh-CN"/>
        </w:rPr>
      </w:pPr>
      <w:bookmarkStart w:id="167" w:name="_Toc21299"/>
      <w:r>
        <w:rPr>
          <w:rFonts w:hint="eastAsia" w:ascii="微软雅黑" w:hAnsi="微软雅黑" w:eastAsia="微软雅黑" w:cs="微软雅黑"/>
          <w:b w:val="0"/>
          <w:bCs w:val="0"/>
          <w:lang w:val="en-US" w:eastAsia="zh-CN"/>
        </w:rPr>
        <w:drawing>
          <wp:anchor distT="0" distB="0" distL="114300" distR="114300" simplePos="0" relativeHeight="251668480" behindDoc="0" locked="0" layoutInCell="1" allowOverlap="1">
            <wp:simplePos x="0" y="0"/>
            <wp:positionH relativeFrom="column">
              <wp:posOffset>181610</wp:posOffset>
            </wp:positionH>
            <wp:positionV relativeFrom="paragraph">
              <wp:posOffset>82550</wp:posOffset>
            </wp:positionV>
            <wp:extent cx="5730240" cy="3215640"/>
            <wp:effectExtent l="0" t="0" r="0" b="0"/>
            <wp:wrapTopAndBottom/>
            <wp:docPr id="52" name="图片 52" descr="塔城地区乌苏职业技术学校-学雷锋志愿服务活动-2024.0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塔城地区乌苏职业技术学校-学雷锋志愿服务活动-2024.03 (4)"/>
                    <pic:cNvPicPr>
                      <a:picLocks noChangeAspect="1"/>
                    </pic:cNvPicPr>
                  </pic:nvPicPr>
                  <pic:blipFill>
                    <a:blip r:embed="rId34"/>
                    <a:stretch>
                      <a:fillRect/>
                    </a:stretch>
                  </pic:blipFill>
                  <pic:spPr>
                    <a:xfrm>
                      <a:off x="0" y="0"/>
                      <a:ext cx="5730240" cy="3215640"/>
                    </a:xfrm>
                    <a:prstGeom prst="rect">
                      <a:avLst/>
                    </a:prstGeom>
                  </pic:spPr>
                </pic:pic>
              </a:graphicData>
            </a:graphic>
          </wp:anchor>
        </w:drawing>
      </w:r>
      <w:r>
        <w:rPr>
          <w:rFonts w:hint="eastAsia" w:ascii="微软雅黑" w:hAnsi="微软雅黑" w:eastAsia="微软雅黑" w:cs="微软雅黑"/>
          <w:b w:val="0"/>
          <w:bCs w:val="0"/>
          <w:lang w:val="en-US" w:eastAsia="zh-CN"/>
        </w:rPr>
        <w:t>图十五  社会实践活动</w:t>
      </w:r>
      <w:bookmarkEnd w:id="167"/>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p>
    <w:p>
      <w:pPr>
        <w:pageBreakBefore w:val="0"/>
        <w:kinsoku/>
        <w:wordWrap/>
        <w:overflowPunct/>
        <w:topLinePunct w:val="0"/>
        <w:bidi w:val="0"/>
        <w:snapToGrid w:val="0"/>
        <w:spacing w:beforeAutospacing="0" w:afterAutospacing="0" w:line="560" w:lineRule="exact"/>
        <w:ind w:firstLine="641" w:firstLineChars="200"/>
        <w:outlineLvl w:val="2"/>
        <w:rPr>
          <w:rFonts w:hint="eastAsia" w:ascii="华文楷体" w:hAnsi="华文楷体" w:eastAsia="华文楷体" w:cs="华文楷体"/>
          <w:b/>
          <w:bCs/>
          <w:kern w:val="2"/>
          <w:sz w:val="32"/>
          <w:szCs w:val="32"/>
          <w:lang w:val="en-US" w:eastAsia="zh-CN" w:bidi="ar-SA"/>
        </w:rPr>
      </w:pPr>
      <w:bookmarkStart w:id="168" w:name="_Toc5255"/>
      <w:bookmarkStart w:id="169" w:name="_Toc2026"/>
      <w:bookmarkStart w:id="170" w:name="_Toc29005"/>
      <w:bookmarkStart w:id="171" w:name="_Toc13785"/>
      <w:r>
        <w:rPr>
          <w:rFonts w:hint="eastAsia" w:ascii="华文楷体" w:hAnsi="华文楷体" w:eastAsia="华文楷体" w:cs="华文楷体"/>
          <w:b/>
          <w:bCs/>
          <w:kern w:val="2"/>
          <w:sz w:val="32"/>
          <w:szCs w:val="32"/>
          <w:lang w:val="en-US" w:eastAsia="zh-CN" w:bidi="ar-SA"/>
        </w:rPr>
        <w:t>4.1.3营造校园文化氛围</w:t>
      </w:r>
      <w:bookmarkEnd w:id="168"/>
      <w:bookmarkEnd w:id="169"/>
      <w:bookmarkEnd w:id="170"/>
      <w:bookmarkEnd w:id="171"/>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学校通过校园环境的布置来营造浓厚的传统文化氛围，如设置文化长廊、悬挂名人字画、摆放传统工艺品等，让学生在潜移默化中接受传统文化的熏陶。利用校园广播、校报、网络等媒体平台，宣传中华优秀传统文化的相关知识，提高学生的文化认知度和认同感。</w:t>
      </w:r>
    </w:p>
    <w:p>
      <w:pPr>
        <w:pageBreakBefore w:val="0"/>
        <w:kinsoku/>
        <w:wordWrap/>
        <w:overflowPunct/>
        <w:topLinePunct w:val="0"/>
        <w:bidi w:val="0"/>
        <w:snapToGrid w:val="0"/>
        <w:spacing w:beforeAutospacing="0" w:afterAutospacing="0" w:line="560" w:lineRule="exact"/>
        <w:ind w:firstLine="641" w:firstLineChars="200"/>
        <w:outlineLvl w:val="2"/>
        <w:rPr>
          <w:rFonts w:hint="eastAsia" w:ascii="华文楷体" w:hAnsi="华文楷体" w:eastAsia="华文楷体" w:cs="华文楷体"/>
          <w:b/>
          <w:bCs/>
          <w:kern w:val="2"/>
          <w:sz w:val="32"/>
          <w:szCs w:val="32"/>
          <w:lang w:val="en-US" w:eastAsia="zh-CN" w:bidi="ar-SA"/>
        </w:rPr>
      </w:pPr>
      <w:bookmarkStart w:id="172" w:name="_Toc18832"/>
      <w:bookmarkStart w:id="173" w:name="_Toc16680"/>
      <w:bookmarkStart w:id="174" w:name="_Toc31813"/>
      <w:r>
        <w:rPr>
          <w:rFonts w:hint="eastAsia" w:ascii="华文楷体" w:hAnsi="华文楷体" w:eastAsia="华文楷体" w:cs="华文楷体"/>
          <w:b/>
          <w:bCs/>
          <w:kern w:val="2"/>
          <w:sz w:val="32"/>
          <w:szCs w:val="32"/>
          <w:lang w:val="en-US" w:eastAsia="zh-CN" w:bidi="ar-SA"/>
        </w:rPr>
        <w:t>4.1.4推动学生人文素养、职业素养和专业素养的全面发展</w:t>
      </w:r>
      <w:bookmarkEnd w:id="172"/>
      <w:bookmarkEnd w:id="173"/>
      <w:bookmarkEnd w:id="174"/>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通过中华优秀传统文化的教育，培养学生的道德品质、人文情怀和审美情趣，提高他们的综合素质。将中华优秀传统文化的精髓融入职业素养教育中，如强调诚信、责任、敬业等职业精神，提升学生的职业道德水平。在专业教育中融入中华优秀传统文化元素，如将传统文化中的哲学思想、艺术理念等融入专业课程，提高学生的专业素养和创新能力。</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75" w:name="_Toc16247"/>
      <w:bookmarkStart w:id="176" w:name="_Toc15688"/>
      <w:bookmarkStart w:id="177" w:name="_Toc32382"/>
      <w:r>
        <w:rPr>
          <w:rFonts w:hint="eastAsia" w:eastAsia="楷体_GB2312" w:asciiTheme="majorHAnsi" w:hAnsiTheme="majorHAnsi" w:cstheme="majorBidi"/>
          <w:b/>
          <w:bCs/>
          <w:kern w:val="2"/>
          <w:sz w:val="32"/>
          <w:szCs w:val="32"/>
          <w:lang w:val="en-US" w:eastAsia="zh-CN" w:bidi="ar-SA"/>
        </w:rPr>
        <w:t>4.2非遗传承。</w:t>
      </w:r>
      <w:bookmarkEnd w:id="175"/>
      <w:bookmarkEnd w:id="176"/>
      <w:bookmarkEnd w:id="177"/>
    </w:p>
    <w:p>
      <w:pPr>
        <w:pageBreakBefore w:val="0"/>
        <w:kinsoku/>
        <w:wordWrap/>
        <w:overflowPunct/>
        <w:topLinePunct w:val="0"/>
        <w:bidi w:val="0"/>
        <w:snapToGrid w:val="0"/>
        <w:spacing w:beforeAutospacing="0" w:afterAutospacing="0" w:line="560" w:lineRule="exact"/>
        <w:ind w:firstLine="640" w:firstLineChars="200"/>
        <w:rPr>
          <w:rFonts w:hint="default" w:ascii="仿宋_GB2312" w:hAnsi="Calibri" w:eastAsia="仿宋_GB2312" w:cs="Times New Roman"/>
          <w:sz w:val="32"/>
          <w:szCs w:val="32"/>
        </w:rPr>
      </w:pPr>
      <w:r>
        <w:rPr>
          <w:rFonts w:hint="default" w:ascii="仿宋_GB2312" w:hAnsi="Calibri" w:eastAsia="仿宋_GB2312" w:cs="Times New Roman"/>
          <w:sz w:val="32"/>
          <w:szCs w:val="32"/>
        </w:rPr>
        <w:t>将</w:t>
      </w:r>
      <w:r>
        <w:rPr>
          <w:rFonts w:hint="eastAsia" w:ascii="仿宋_GB2312" w:hAnsi="Calibri" w:eastAsia="仿宋_GB2312" w:cs="Times New Roman"/>
          <w:sz w:val="32"/>
          <w:szCs w:val="32"/>
          <w:lang w:eastAsia="zh-CN"/>
        </w:rPr>
        <w:t>第二课堂</w:t>
      </w:r>
      <w:r>
        <w:rPr>
          <w:rFonts w:hint="default" w:ascii="仿宋_GB2312" w:hAnsi="Calibri" w:eastAsia="仿宋_GB2312" w:cs="Times New Roman"/>
          <w:sz w:val="32"/>
          <w:szCs w:val="32"/>
        </w:rPr>
        <w:t>课程纳入人才培养体系，设为</w:t>
      </w:r>
      <w:r>
        <w:rPr>
          <w:rFonts w:hint="eastAsia" w:ascii="仿宋_GB2312" w:hAnsi="Calibri" w:eastAsia="仿宋_GB2312" w:cs="Times New Roman"/>
          <w:sz w:val="32"/>
          <w:szCs w:val="32"/>
          <w:lang w:val="en-US" w:eastAsia="zh-CN"/>
        </w:rPr>
        <w:t>学校的选修课</w:t>
      </w:r>
      <w:r>
        <w:rPr>
          <w:rFonts w:hint="default" w:ascii="仿宋_GB2312" w:hAnsi="Calibri" w:eastAsia="仿宋_GB2312" w:cs="Times New Roman"/>
          <w:sz w:val="32"/>
          <w:szCs w:val="32"/>
        </w:rPr>
        <w:t>，并探索具有地方特色的</w:t>
      </w:r>
      <w:r>
        <w:rPr>
          <w:rFonts w:hint="eastAsia" w:ascii="仿宋_GB2312" w:hAnsi="Calibri" w:eastAsia="仿宋_GB2312" w:cs="Times New Roman"/>
          <w:sz w:val="32"/>
          <w:szCs w:val="32"/>
          <w:lang w:eastAsia="zh-CN"/>
        </w:rPr>
        <w:t>第二课堂</w:t>
      </w:r>
      <w:r>
        <w:rPr>
          <w:rFonts w:hint="default" w:ascii="仿宋_GB2312" w:hAnsi="Calibri" w:eastAsia="仿宋_GB2312" w:cs="Times New Roman"/>
          <w:sz w:val="32"/>
          <w:szCs w:val="32"/>
        </w:rPr>
        <w:t>传承人培养模式。通过课程讲解、技艺传授等方式，让学生深入了解</w:t>
      </w:r>
      <w:r>
        <w:rPr>
          <w:rFonts w:hint="eastAsia" w:ascii="仿宋_GB2312" w:hAnsi="Calibri" w:eastAsia="仿宋_GB2312" w:cs="Times New Roman"/>
          <w:sz w:val="32"/>
          <w:szCs w:val="32"/>
          <w:lang w:eastAsia="zh-CN"/>
        </w:rPr>
        <w:t>第二课堂</w:t>
      </w:r>
      <w:r>
        <w:rPr>
          <w:rFonts w:hint="default" w:ascii="仿宋_GB2312" w:hAnsi="Calibri" w:eastAsia="仿宋_GB2312" w:cs="Times New Roman"/>
          <w:sz w:val="32"/>
          <w:szCs w:val="32"/>
        </w:rPr>
        <w:t>项目的历史、文化背景和艺术价值。组织学生深入</w:t>
      </w:r>
      <w:r>
        <w:rPr>
          <w:rFonts w:hint="eastAsia" w:ascii="仿宋_GB2312" w:hAnsi="Calibri" w:eastAsia="仿宋_GB2312" w:cs="Times New Roman"/>
          <w:sz w:val="32"/>
          <w:szCs w:val="32"/>
          <w:lang w:val="en-US" w:eastAsia="zh-CN"/>
        </w:rPr>
        <w:t>社区一线</w:t>
      </w:r>
      <w:r>
        <w:rPr>
          <w:rFonts w:hint="default" w:ascii="仿宋_GB2312" w:hAnsi="Calibri" w:eastAsia="仿宋_GB2312" w:cs="Times New Roman"/>
          <w:sz w:val="32"/>
          <w:szCs w:val="32"/>
        </w:rPr>
        <w:t>进行调查学习，搜集整理相关资料，撰写调查报告。同时，邀请企业中的技师进入校园授课，实现学校与实践基地人才的流动性</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如图十六</w:t>
      </w:r>
      <w:r>
        <w:rPr>
          <w:rFonts w:hint="default" w:ascii="仿宋_GB2312" w:hAnsi="Calibri" w:eastAsia="仿宋_GB2312" w:cs="Times New Roman"/>
          <w:sz w:val="32"/>
          <w:szCs w:val="32"/>
        </w:rPr>
        <w:t>。</w:t>
      </w:r>
    </w:p>
    <w:p>
      <w:pPr>
        <w:pStyle w:val="2"/>
        <w:pageBreakBefore w:val="0"/>
        <w:kinsoku/>
        <w:wordWrap/>
        <w:overflowPunct/>
        <w:topLinePunct w:val="0"/>
        <w:bidi w:val="0"/>
        <w:spacing w:beforeAutospacing="0" w:after="0" w:afterAutospacing="0" w:line="560" w:lineRule="exact"/>
        <w:rPr>
          <w:rFonts w:hint="eastAsia"/>
          <w:lang w:val="en-US" w:eastAsia="zh-CN"/>
        </w:rPr>
      </w:pPr>
      <w:bookmarkStart w:id="178" w:name="_Toc5544"/>
    </w:p>
    <w:bookmarkEnd w:id="178"/>
    <w:p>
      <w:pPr>
        <w:pageBreakBefore w:val="0"/>
        <w:kinsoku/>
        <w:wordWrap/>
        <w:overflowPunct/>
        <w:topLinePunct w:val="0"/>
        <w:bidi w:val="0"/>
        <w:spacing w:beforeAutospacing="0" w:afterAutospacing="0" w:line="560" w:lineRule="exact"/>
        <w:jc w:val="center"/>
        <w:rPr>
          <w:rFonts w:hint="eastAsia" w:eastAsia="楷体_GB2312" w:asciiTheme="majorHAnsi" w:hAnsiTheme="majorHAnsi" w:cstheme="majorBidi"/>
          <w:b/>
          <w:bCs/>
          <w:kern w:val="2"/>
          <w:sz w:val="32"/>
          <w:szCs w:val="32"/>
          <w:lang w:val="en-US" w:eastAsia="zh-CN" w:bidi="ar-SA"/>
        </w:rPr>
      </w:pP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val="0"/>
          <w:bCs w:val="0"/>
          <w:sz w:val="32"/>
          <w:szCs w:val="40"/>
          <w:lang w:val="en-US" w:eastAsia="zh-CN"/>
        </w:rPr>
      </w:pP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b w:val="0"/>
          <w:bCs w:val="0"/>
          <w:sz w:val="32"/>
          <w:szCs w:val="40"/>
          <w:lang w:val="en-US" w:eastAsia="zh-CN"/>
        </w:rPr>
      </w:pPr>
    </w:p>
    <w:p>
      <w:pPr>
        <w:pStyle w:val="2"/>
        <w:pageBreakBefore w:val="0"/>
        <w:kinsoku/>
        <w:wordWrap/>
        <w:overflowPunct/>
        <w:topLinePunct w:val="0"/>
        <w:bidi w:val="0"/>
        <w:spacing w:beforeAutospacing="0" w:after="0" w:afterAutospacing="0" w:line="560" w:lineRule="exact"/>
        <w:jc w:val="center"/>
        <w:rPr>
          <w:rFonts w:hint="default" w:ascii="微软雅黑" w:hAnsi="微软雅黑" w:eastAsia="微软雅黑" w:cs="微软雅黑"/>
          <w:b w:val="0"/>
          <w:bCs w:val="0"/>
          <w:sz w:val="28"/>
          <w:szCs w:val="36"/>
          <w:lang w:val="en-US" w:eastAsia="zh-CN"/>
        </w:rPr>
      </w:pPr>
      <w:r>
        <w:rPr>
          <w:rFonts w:hint="eastAsia"/>
          <w:sz w:val="28"/>
          <w:szCs w:val="36"/>
          <w:lang w:val="en-US" w:eastAsia="zh-CN"/>
        </w:rPr>
        <w:drawing>
          <wp:anchor distT="0" distB="0" distL="114300" distR="114300" simplePos="0" relativeHeight="251685888" behindDoc="0" locked="0" layoutInCell="1" allowOverlap="1">
            <wp:simplePos x="0" y="0"/>
            <wp:positionH relativeFrom="column">
              <wp:posOffset>29210</wp:posOffset>
            </wp:positionH>
            <wp:positionV relativeFrom="paragraph">
              <wp:posOffset>17780</wp:posOffset>
            </wp:positionV>
            <wp:extent cx="6141720" cy="4059555"/>
            <wp:effectExtent l="0" t="0" r="0" b="9525"/>
            <wp:wrapTopAndBottom/>
            <wp:docPr id="41" name="图片 41" descr="18b5fc2f451140379fd91a3261ac7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8b5fc2f451140379fd91a3261ac76c6"/>
                    <pic:cNvPicPr>
                      <a:picLocks noChangeAspect="1"/>
                    </pic:cNvPicPr>
                  </pic:nvPicPr>
                  <pic:blipFill>
                    <a:blip r:embed="rId35"/>
                    <a:stretch>
                      <a:fillRect/>
                    </a:stretch>
                  </pic:blipFill>
                  <pic:spPr>
                    <a:xfrm>
                      <a:off x="0" y="0"/>
                      <a:ext cx="6141720" cy="4059555"/>
                    </a:xfrm>
                    <a:prstGeom prst="rect">
                      <a:avLst/>
                    </a:prstGeom>
                  </pic:spPr>
                </pic:pic>
              </a:graphicData>
            </a:graphic>
          </wp:anchor>
        </w:drawing>
      </w:r>
      <w:bookmarkStart w:id="179" w:name="_Toc2576"/>
      <w:r>
        <w:rPr>
          <w:rFonts w:hint="eastAsia" w:ascii="微软雅黑" w:hAnsi="微软雅黑" w:eastAsia="微软雅黑" w:cs="微软雅黑"/>
          <w:b w:val="0"/>
          <w:bCs w:val="0"/>
          <w:sz w:val="28"/>
          <w:szCs w:val="36"/>
          <w:lang w:val="en-US" w:eastAsia="zh-CN"/>
        </w:rPr>
        <w:t>图十六 第二课堂</w:t>
      </w:r>
      <w:bookmarkEnd w:id="179"/>
      <w:r>
        <w:rPr>
          <w:rFonts w:hint="eastAsia" w:ascii="微软雅黑" w:hAnsi="微软雅黑" w:eastAsia="微软雅黑" w:cs="微软雅黑"/>
          <w:b w:val="0"/>
          <w:bCs w:val="0"/>
          <w:sz w:val="28"/>
          <w:szCs w:val="36"/>
          <w:lang w:val="en-US" w:eastAsia="zh-CN"/>
        </w:rPr>
        <w:t>学习新疆传统舞蹈萨玛舞</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80" w:name="_Toc30119"/>
      <w:bookmarkStart w:id="181" w:name="_Toc26627"/>
      <w:bookmarkStart w:id="182" w:name="_Toc14609"/>
      <w:r>
        <w:rPr>
          <w:rFonts w:hint="eastAsia" w:eastAsia="楷体_GB2312" w:asciiTheme="majorHAnsi" w:hAnsiTheme="majorHAnsi" w:cstheme="majorBidi"/>
          <w:b/>
          <w:bCs/>
          <w:kern w:val="2"/>
          <w:sz w:val="32"/>
          <w:szCs w:val="32"/>
          <w:lang w:val="en-US" w:eastAsia="zh-CN" w:bidi="ar-SA"/>
        </w:rPr>
        <w:t>4.3文化育人实践</w:t>
      </w:r>
      <w:bookmarkEnd w:id="180"/>
      <w:bookmarkEnd w:id="181"/>
      <w:bookmarkEnd w:id="182"/>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文化育人是职业教育的重要组成部分，乌苏职业技术学校高度重视将劳模精神、劳动精神和工匠精神融入学生的培养过程，致力于打造具有职业特色和高尚职业品德的高素质人才。本年度报告旨在总结学校在文化育人实践方面的举措、成果与反思，展现学校在这一领域的发展轨迹。 </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学校在专业课程体系中，融入了与劳模精神、劳动精神和工匠精神相关的教学内容。例如，在机械制造专业的课程中，增加了对大国工匠事迹的介绍，以及他们在技术创新过程中所展现出的执着与专注。</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以及在晚自习期间开展“大国工匠”观影活动。开发了专门的职业素养课程，通过案例分析、小组讨论等形式，引导学生深入理解职业道德、职业能力和职业品质的内涵，并将其应用于实际操作中。</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采用项目驱动教学法，让学生在完成实际项目的过程中，体验劳动的艰辛与乐趣，培养他们的劳动精神。例如，在汽修专业的实践教学中，学生分组完成小型汽车模型的搭建，在过程中体会到团队协作和精益求精的重要性。邀请校企合作单位技术人员走进课堂，进行现场教学和经验分享。这些行业精英以自身的成长经历和工作实践，生动地诠释了工匠精神的实质，激励学生追求卓越。 </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在校园内设置了劳模、工匠文化长廊，展示各行各业杰出人物的事迹和风采，让学生在日常学习生活中，能够耳濡目染地受到熏陶利用校园广播、宣传栏等多种媒介，宣传劳模精神和工匠精神，定期发布学校师生在技能竞赛、创新实践等方面取得的成果，营造出尊重劳动、崇尚技能的校园文化氛围。</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举办“工匠精神”主题黑板报，包括工匠精神观影、技能大比武等系列活动。这些活动吸引了广大师生的积极参与，在校园内掀起了学习和弘扬工匠精神的热潮。组织学生参观企业生产一线，让他们亲眼看见工匠们精湛的技艺和严谨的工作态度，增强学生对工匠精神的感性认识。</w:t>
      </w:r>
    </w:p>
    <w:p>
      <w:pPr>
        <w:pageBreakBefore w:val="0"/>
        <w:kinsoku/>
        <w:wordWrap/>
        <w:overflowPunct/>
        <w:topLinePunct w:val="0"/>
        <w:bidi w:val="0"/>
        <w:snapToGrid w:val="0"/>
        <w:spacing w:beforeAutospacing="0" w:afterAutospacing="0" w:line="560" w:lineRule="exact"/>
        <w:ind w:firstLine="643" w:firstLineChars="200"/>
        <w:rPr>
          <w:rFonts w:hint="default" w:ascii="仿宋_GB2312" w:hAnsi="Calibri" w:eastAsia="仿宋_GB2312" w:cs="Times New Roman"/>
          <w:b/>
          <w:bCs/>
          <w:sz w:val="32"/>
          <w:szCs w:val="32"/>
          <w:lang w:val="en-US" w:eastAsia="zh-CN"/>
        </w:rPr>
      </w:pPr>
      <w:r>
        <w:rPr>
          <w:rFonts w:hint="eastAsia" w:ascii="仿宋_GB2312" w:hAnsi="Calibri" w:eastAsia="仿宋_GB2312" w:cs="Times New Roman"/>
          <w:b/>
          <w:bCs/>
          <w:sz w:val="32"/>
          <w:szCs w:val="32"/>
          <w:lang w:val="en-US" w:eastAsia="zh-CN"/>
        </w:rPr>
        <w:t>【案例十】开启职业探索之旅</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2024年8月25日至9月2日，2024级新生分批次乘坐大巴抵达校企合作企业北方之星进行参观游学，通过精彩的PPT展示和生动讲解，学生们了解了企业的发展历程、业务范围、行业地位以及人才需求标准。</w:t>
      </w:r>
    </w:p>
    <w:p>
      <w:pPr>
        <w:pageBreakBefore w:val="0"/>
        <w:kinsoku/>
        <w:wordWrap/>
        <w:overflowPunct/>
        <w:topLinePunct w:val="0"/>
        <w:bidi w:val="0"/>
        <w:snapToGrid w:val="0"/>
        <w:spacing w:beforeAutospacing="0" w:afterAutospacing="0" w:line="560" w:lineRule="exact"/>
        <w:ind w:firstLine="640" w:firstLineChars="200"/>
        <w:rPr>
          <w:rFonts w:hint="eastAsia" w:ascii="华文楷体" w:hAnsi="华文楷体" w:eastAsia="华文楷体" w:cs="华文楷体"/>
          <w:b w:val="0"/>
          <w:bCs w:val="0"/>
          <w:color w:val="auto"/>
          <w:kern w:val="2"/>
          <w:sz w:val="30"/>
          <w:szCs w:val="30"/>
          <w:highlight w:val="none"/>
          <w:lang w:val="en-US" w:eastAsia="zh-CN" w:bidi="ar-SA"/>
        </w:rPr>
      </w:pPr>
      <w:r>
        <w:rPr>
          <w:rFonts w:hint="eastAsia" w:ascii="仿宋_GB2312" w:hAnsi="Calibri" w:eastAsia="仿宋_GB2312" w:cs="Times New Roman"/>
          <w:sz w:val="32"/>
          <w:szCs w:val="32"/>
          <w:lang w:val="en-US" w:eastAsia="zh-CN"/>
        </w:rPr>
        <w:t xml:space="preserve"> 随后，在企业员工的带领下，学生们分组有序参观生产车间和销售场地，遇到疑惑之处，学生们积极向现场工作人员提问，工作人员耐心解答，现场互动氛围热烈。学生们被前沿的科技和创新设计所吸引，感受到行业发展的活力与潜力，进一步激发了他们对专业学习的兴趣。企业参观游学活动，不仅拓宽了学生的视野，增强了他们对专业的认知和热爱，也为学校的教学改革和人才培养提供了方向。学校将继续加强与企业的合作，开展更多类似的实践活动，为学生的职业成长搭建坚实的桥梁，如图十七。</w:t>
      </w:r>
    </w:p>
    <w:p>
      <w:pPr>
        <w:pStyle w:val="2"/>
        <w:rPr>
          <w:rFonts w:hint="eastAsia"/>
          <w:lang w:val="en-US" w:eastAsia="zh-CN"/>
        </w:rPr>
      </w:pPr>
      <w:r>
        <w:rPr>
          <w:rFonts w:hint="eastAsia"/>
          <w:lang w:val="en-US" w:eastAsia="zh-CN"/>
        </w:rPr>
        <w:drawing>
          <wp:inline distT="0" distB="0" distL="114300" distR="114300">
            <wp:extent cx="6174740" cy="4629150"/>
            <wp:effectExtent l="0" t="0" r="12700" b="3810"/>
            <wp:docPr id="51" name="图片 51" descr="4ac33b99b26bfbb4c5df1d2a897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ac33b99b26bfbb4c5df1d2a8979360"/>
                    <pic:cNvPicPr>
                      <a:picLocks noChangeAspect="1"/>
                    </pic:cNvPicPr>
                  </pic:nvPicPr>
                  <pic:blipFill>
                    <a:blip r:embed="rId36"/>
                    <a:stretch>
                      <a:fillRect/>
                    </a:stretch>
                  </pic:blipFill>
                  <pic:spPr>
                    <a:xfrm>
                      <a:off x="0" y="0"/>
                      <a:ext cx="6174740" cy="4629150"/>
                    </a:xfrm>
                    <a:prstGeom prst="rect">
                      <a:avLst/>
                    </a:prstGeom>
                  </pic:spPr>
                </pic:pic>
              </a:graphicData>
            </a:graphic>
          </wp:inline>
        </w:drawing>
      </w:r>
    </w:p>
    <w:p>
      <w:pPr>
        <w:jc w:val="center"/>
        <w:rPr>
          <w:rFonts w:hint="default"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图十七  学生在企业参观的现场图片</w:t>
      </w:r>
    </w:p>
    <w:p>
      <w:pPr>
        <w:pStyle w:val="4"/>
        <w:pageBreakBefore w:val="0"/>
        <w:kinsoku/>
        <w:wordWrap/>
        <w:overflowPunct/>
        <w:topLinePunct w:val="0"/>
        <w:bidi w:val="0"/>
        <w:spacing w:beforeAutospacing="0" w:afterAutospacing="0" w:line="560" w:lineRule="exact"/>
        <w:ind w:firstLine="640"/>
        <w:rPr>
          <w:rFonts w:hint="eastAsia"/>
        </w:rPr>
      </w:pPr>
      <w:bookmarkStart w:id="183" w:name="_Toc13171"/>
      <w:bookmarkStart w:id="184" w:name="_Toc27559"/>
      <w:bookmarkStart w:id="185" w:name="_Toc30212"/>
      <w:bookmarkStart w:id="186" w:name="_Toc24408"/>
      <w:r>
        <w:rPr>
          <w:rFonts w:hint="eastAsia"/>
        </w:rPr>
        <w:t>5.国际合作质量</w:t>
      </w:r>
      <w:bookmarkEnd w:id="183"/>
      <w:bookmarkEnd w:id="184"/>
      <w:bookmarkEnd w:id="185"/>
      <w:bookmarkEnd w:id="186"/>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color w:val="FF0000"/>
          <w:kern w:val="2"/>
          <w:sz w:val="32"/>
          <w:szCs w:val="32"/>
          <w:lang w:val="en-US" w:eastAsia="zh-CN" w:bidi="ar-SA"/>
        </w:rPr>
      </w:pPr>
      <w:bookmarkStart w:id="187" w:name="_Toc23503"/>
      <w:bookmarkStart w:id="188" w:name="_Toc23418"/>
      <w:bookmarkStart w:id="189" w:name="_Toc22374"/>
      <w:r>
        <w:rPr>
          <w:rFonts w:hint="eastAsia" w:eastAsia="楷体_GB2312" w:asciiTheme="majorHAnsi" w:hAnsiTheme="majorHAnsi" w:cstheme="majorBidi"/>
          <w:b/>
          <w:bCs/>
          <w:kern w:val="2"/>
          <w:sz w:val="32"/>
          <w:szCs w:val="32"/>
          <w:lang w:val="en-US" w:eastAsia="zh-CN" w:bidi="ar-SA"/>
        </w:rPr>
        <w:t>5.1合作办学</w:t>
      </w:r>
      <w:bookmarkEnd w:id="187"/>
      <w:bookmarkEnd w:id="188"/>
      <w:bookmarkEnd w:id="189"/>
    </w:p>
    <w:p>
      <w:pPr>
        <w:pageBreakBefore w:val="0"/>
        <w:kinsoku/>
        <w:wordWrap/>
        <w:overflowPunct/>
        <w:topLinePunct w:val="0"/>
        <w:bidi w:val="0"/>
        <w:snapToGrid w:val="0"/>
        <w:spacing w:beforeAutospacing="0" w:afterAutospacing="0" w:line="560" w:lineRule="exact"/>
        <w:ind w:firstLine="640" w:firstLineChars="200"/>
        <w:outlineLvl w:val="9"/>
        <w:rPr>
          <w:rFonts w:hint="eastAsia" w:ascii="仿宋_GB2312" w:hAnsi="Calibri" w:eastAsia="仿宋_GB2312" w:cs="Times New Roman"/>
          <w:kern w:val="2"/>
          <w:sz w:val="32"/>
          <w:szCs w:val="32"/>
          <w:lang w:val="en-US" w:eastAsia="zh-CN" w:bidi="ar-SA"/>
        </w:rPr>
      </w:pPr>
      <w:bookmarkStart w:id="190" w:name="_Toc4139"/>
      <w:bookmarkStart w:id="191" w:name="_Toc14182"/>
      <w:r>
        <w:rPr>
          <w:rFonts w:hint="eastAsia" w:ascii="仿宋_GB2312" w:hAnsi="Calibri" w:eastAsia="仿宋_GB2312" w:cs="Times New Roman"/>
          <w:kern w:val="2"/>
          <w:sz w:val="32"/>
          <w:szCs w:val="32"/>
          <w:lang w:val="en-US" w:eastAsia="zh-CN" w:bidi="ar-SA"/>
        </w:rPr>
        <w:t>在职业教育改革与发展的大趋势下，加强校际合作成为提升职业教育质量的重要途径。塔城地区乌苏职业技术学校地处新疆，拥有独特的地域文化特色专业及丰富的地方产业资源对接需求，但在教育理念更新、教学资源拓展等方面存在一定局限。塔城地区对口援疆支援的辽宁省作为职业教育发展较为先进的地区，众多职业学校在教学模式创新、师资队伍建设、实训基地打造等方面成果显著。为实现优势互补、资源共享，促进两地职业教育共同发展，塔城地区乌苏职业技术学校积极与辽宁多家职业学校寻求合作契机。</w:t>
      </w:r>
    </w:p>
    <w:p>
      <w:pPr>
        <w:pageBreakBefore w:val="0"/>
        <w:kinsoku/>
        <w:wordWrap/>
        <w:overflowPunct/>
        <w:topLinePunct w:val="0"/>
        <w:bidi w:val="0"/>
        <w:snapToGrid w:val="0"/>
        <w:spacing w:beforeAutospacing="0" w:afterAutospacing="0" w:line="560" w:lineRule="exact"/>
        <w:ind w:firstLine="643" w:firstLineChars="200"/>
        <w:outlineLvl w:val="9"/>
        <w:rPr>
          <w:rFonts w:hint="default" w:ascii="仿宋_GB2312" w:hAnsi="Calibri" w:eastAsia="仿宋_GB2312" w:cs="Times New Roman"/>
          <w:b/>
          <w:bCs/>
          <w:kern w:val="2"/>
          <w:sz w:val="32"/>
          <w:szCs w:val="32"/>
          <w:lang w:val="en-US" w:eastAsia="zh-CN" w:bidi="ar-SA"/>
        </w:rPr>
      </w:pPr>
      <w:r>
        <w:rPr>
          <w:rFonts w:hint="eastAsia" w:ascii="仿宋_GB2312" w:hAnsi="Calibri" w:eastAsia="仿宋_GB2312" w:cs="Times New Roman"/>
          <w:b/>
          <w:bCs/>
          <w:kern w:val="2"/>
          <w:sz w:val="32"/>
          <w:szCs w:val="32"/>
          <w:lang w:val="en-US" w:eastAsia="zh-CN" w:bidi="ar-SA"/>
        </w:rPr>
        <w:t>【案例十一】校企合作</w:t>
      </w:r>
    </w:p>
    <w:p>
      <w:pPr>
        <w:pageBreakBefore w:val="0"/>
        <w:kinsoku/>
        <w:wordWrap/>
        <w:overflowPunct/>
        <w:topLinePunct w:val="0"/>
        <w:bidi w:val="0"/>
        <w:snapToGrid w:val="0"/>
        <w:spacing w:beforeAutospacing="0" w:afterAutospacing="0" w:line="560" w:lineRule="exact"/>
        <w:ind w:firstLine="640" w:firstLineChars="200"/>
        <w:outlineLvl w:val="9"/>
        <w:rPr>
          <w:rFonts w:hint="eastAsia"/>
          <w:lang w:val="en-US" w:eastAsia="zh-CN"/>
        </w:rPr>
      </w:pPr>
      <w:r>
        <w:rPr>
          <w:rFonts w:hint="eastAsia" w:ascii="仿宋_GB2312" w:hAnsi="Calibri" w:eastAsia="仿宋_GB2312" w:cs="Times New Roman"/>
          <w:kern w:val="2"/>
          <w:sz w:val="32"/>
          <w:szCs w:val="32"/>
          <w:lang w:val="en-US" w:eastAsia="zh-CN" w:bidi="ar-SA"/>
        </w:rPr>
        <w:t>2024年4月塔城地区乌苏职业技术学校组成考察团前往辽宁，实地走访了辽宁轨道交通职业学院、辽宁省交通高等专科学校、锦州师范高等专科学校等多所职业学校。考察团深入课堂、实训基地，与师生交流，全面了解辽宁学校的教学实践情况。在考察过程中，双方进一步探讨合作细节，包括专业共建、师资交流、学生联合培养等方面的具体合作方式并正式签订校校合作协议，开启了职业教育协同发展的新篇章，如图十八、图十九、图二十。</w:t>
      </w:r>
    </w:p>
    <w:p>
      <w:pPr>
        <w:pStyle w:val="2"/>
        <w:rPr>
          <w:rFonts w:hint="eastAsia"/>
          <w:lang w:val="en-US" w:eastAsia="zh-CN"/>
        </w:rPr>
      </w:pPr>
      <w:r>
        <w:rPr>
          <w:rFonts w:hint="eastAsia"/>
          <w:lang w:val="en-US" w:eastAsia="zh-CN"/>
        </w:rPr>
        <w:drawing>
          <wp:inline distT="0" distB="0" distL="114300" distR="114300">
            <wp:extent cx="6176010" cy="3271520"/>
            <wp:effectExtent l="0" t="0" r="11430" b="5080"/>
            <wp:docPr id="59" name="图片 59" descr="9866e3057561fdea89fe123bafe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866e3057561fdea89fe123bafe0991"/>
                    <pic:cNvPicPr>
                      <a:picLocks noChangeAspect="1"/>
                    </pic:cNvPicPr>
                  </pic:nvPicPr>
                  <pic:blipFill>
                    <a:blip r:embed="rId37"/>
                    <a:stretch>
                      <a:fillRect/>
                    </a:stretch>
                  </pic:blipFill>
                  <pic:spPr>
                    <a:xfrm>
                      <a:off x="0" y="0"/>
                      <a:ext cx="6176010" cy="3271520"/>
                    </a:xfrm>
                    <a:prstGeom prst="rect">
                      <a:avLst/>
                    </a:prstGeom>
                  </pic:spPr>
                </pic:pic>
              </a:graphicData>
            </a:graphic>
          </wp:inline>
        </w:drawing>
      </w:r>
    </w:p>
    <w:p>
      <w:pPr>
        <w:pStyle w:val="2"/>
        <w:jc w:val="center"/>
        <w:rPr>
          <w:rFonts w:hint="eastAsia" w:ascii="微软雅黑" w:hAnsi="微软雅黑" w:eastAsia="微软雅黑" w:cs="微软雅黑"/>
          <w:sz w:val="30"/>
          <w:szCs w:val="30"/>
          <w:lang w:val="en-US" w:eastAsia="zh-CN"/>
        </w:rPr>
      </w:pPr>
      <w:r>
        <w:rPr>
          <w:rFonts w:hint="eastAsia" w:ascii="微软雅黑" w:hAnsi="微软雅黑" w:eastAsia="微软雅黑" w:cs="微软雅黑"/>
          <w:b w:val="0"/>
          <w:bCs w:val="0"/>
          <w:color w:val="auto"/>
          <w:kern w:val="2"/>
          <w:sz w:val="30"/>
          <w:szCs w:val="30"/>
          <w:highlight w:val="none"/>
          <w:lang w:val="en-US" w:eastAsia="zh-CN" w:bidi="ar-SA"/>
        </w:rPr>
        <w:t>图十八 与辽宁轨道交通职业学院签订合作协议</w:t>
      </w:r>
    </w:p>
    <w:p>
      <w:pPr>
        <w:pStyle w:val="2"/>
        <w:rPr>
          <w:rFonts w:hint="eastAsia"/>
          <w:lang w:val="en-US" w:eastAsia="zh-CN"/>
        </w:rPr>
      </w:pPr>
      <w:r>
        <w:rPr>
          <w:rFonts w:hint="eastAsia"/>
          <w:lang w:val="en-US" w:eastAsia="zh-CN"/>
        </w:rPr>
        <w:drawing>
          <wp:inline distT="0" distB="0" distL="114300" distR="114300">
            <wp:extent cx="5793105" cy="4142105"/>
            <wp:effectExtent l="0" t="0" r="13335" b="3175"/>
            <wp:docPr id="58" name="图片 58" descr="f96bb0b0ebe98789251163c334bb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96bb0b0ebe98789251163c334bb2fd"/>
                    <pic:cNvPicPr>
                      <a:picLocks noChangeAspect="1"/>
                    </pic:cNvPicPr>
                  </pic:nvPicPr>
                  <pic:blipFill>
                    <a:blip r:embed="rId38"/>
                    <a:stretch>
                      <a:fillRect/>
                    </a:stretch>
                  </pic:blipFill>
                  <pic:spPr>
                    <a:xfrm>
                      <a:off x="0" y="0"/>
                      <a:ext cx="5793105" cy="4142105"/>
                    </a:xfrm>
                    <a:prstGeom prst="rect">
                      <a:avLst/>
                    </a:prstGeom>
                  </pic:spPr>
                </pic:pic>
              </a:graphicData>
            </a:graphic>
          </wp:inline>
        </w:drawing>
      </w:r>
    </w:p>
    <w:p>
      <w:pPr>
        <w:jc w:val="cente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图十九  与</w:t>
      </w:r>
      <w:r>
        <w:rPr>
          <w:rFonts w:hint="eastAsia" w:ascii="微软雅黑" w:hAnsi="微软雅黑" w:eastAsia="微软雅黑" w:cs="微软雅黑"/>
          <w:b w:val="0"/>
          <w:bCs w:val="0"/>
          <w:color w:val="auto"/>
          <w:kern w:val="2"/>
          <w:sz w:val="30"/>
          <w:szCs w:val="30"/>
          <w:highlight w:val="none"/>
          <w:lang w:val="en-US" w:eastAsia="zh-CN" w:bidi="ar-SA"/>
        </w:rPr>
        <w:t>辽宁省交通高等专科学校签订合作协议</w:t>
      </w:r>
    </w:p>
    <w:p>
      <w:pPr>
        <w:pStyle w:val="2"/>
        <w:rPr>
          <w:rFonts w:hint="eastAsia"/>
          <w:lang w:val="en-US" w:eastAsia="zh-CN"/>
        </w:rPr>
      </w:pPr>
      <w:r>
        <w:rPr>
          <w:rFonts w:hint="eastAsia"/>
          <w:lang w:val="en-US" w:eastAsia="zh-CN"/>
        </w:rPr>
        <w:drawing>
          <wp:inline distT="0" distB="0" distL="114300" distR="114300">
            <wp:extent cx="5821045" cy="3660775"/>
            <wp:effectExtent l="0" t="0" r="635" b="12065"/>
            <wp:docPr id="60" name="图片 60" descr="c42b3f1b51aa2bc44d0c2d1f17d3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42b3f1b51aa2bc44d0c2d1f17d33bf"/>
                    <pic:cNvPicPr>
                      <a:picLocks noChangeAspect="1"/>
                    </pic:cNvPicPr>
                  </pic:nvPicPr>
                  <pic:blipFill>
                    <a:blip r:embed="rId39"/>
                    <a:stretch>
                      <a:fillRect/>
                    </a:stretch>
                  </pic:blipFill>
                  <pic:spPr>
                    <a:xfrm>
                      <a:off x="0" y="0"/>
                      <a:ext cx="5821045" cy="3660775"/>
                    </a:xfrm>
                    <a:prstGeom prst="rect">
                      <a:avLst/>
                    </a:prstGeom>
                  </pic:spPr>
                </pic:pic>
              </a:graphicData>
            </a:graphic>
          </wp:inline>
        </w:drawing>
      </w:r>
    </w:p>
    <w:p>
      <w:pPr>
        <w:jc w:val="center"/>
        <w:rPr>
          <w:rFonts w:hint="eastAsia" w:ascii="微软雅黑" w:hAnsi="微软雅黑" w:eastAsia="微软雅黑" w:cs="微软雅黑"/>
          <w:b w:val="0"/>
          <w:bCs w:val="0"/>
          <w:color w:val="auto"/>
          <w:kern w:val="2"/>
          <w:sz w:val="30"/>
          <w:szCs w:val="30"/>
          <w:highlight w:val="none"/>
          <w:lang w:val="en-US" w:eastAsia="zh-CN" w:bidi="ar-SA"/>
        </w:rPr>
      </w:pPr>
      <w:r>
        <w:rPr>
          <w:rFonts w:hint="eastAsia" w:ascii="微软雅黑" w:hAnsi="微软雅黑" w:eastAsia="微软雅黑" w:cs="微软雅黑"/>
          <w:b w:val="0"/>
          <w:bCs w:val="0"/>
          <w:color w:val="auto"/>
          <w:kern w:val="2"/>
          <w:sz w:val="30"/>
          <w:szCs w:val="30"/>
          <w:highlight w:val="none"/>
          <w:lang w:val="en-US" w:eastAsia="zh-CN" w:bidi="ar-SA"/>
        </w:rPr>
        <w:t>图二十  与锦州师范高等专科学校签订合作协议</w:t>
      </w:r>
    </w:p>
    <w:p>
      <w:pPr>
        <w:rPr>
          <w:rFonts w:hint="default"/>
          <w:lang w:val="en-US" w:eastAsia="zh-CN"/>
        </w:rPr>
      </w:pP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92" w:name="_Toc15862"/>
      <w:r>
        <w:rPr>
          <w:rFonts w:hint="eastAsia" w:eastAsia="楷体_GB2312" w:asciiTheme="majorHAnsi" w:hAnsiTheme="majorHAnsi" w:cstheme="majorBidi"/>
          <w:b/>
          <w:bCs/>
          <w:kern w:val="2"/>
          <w:sz w:val="32"/>
          <w:szCs w:val="32"/>
          <w:lang w:val="en-US" w:eastAsia="zh-CN" w:bidi="ar-SA"/>
        </w:rPr>
        <w:t>5.2开发标准</w:t>
      </w:r>
      <w:bookmarkEnd w:id="190"/>
      <w:bookmarkEnd w:id="191"/>
      <w:bookmarkEnd w:id="192"/>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lang w:val="en-US" w:eastAsia="zh-CN"/>
        </w:rPr>
        <w:t>目前学校未开展</w:t>
      </w:r>
      <w:r>
        <w:rPr>
          <w:rFonts w:hint="eastAsia" w:ascii="仿宋_GB2312" w:hAnsi="Calibri" w:eastAsia="仿宋_GB2312" w:cs="Times New Roman"/>
          <w:sz w:val="32"/>
          <w:szCs w:val="32"/>
        </w:rPr>
        <w:t>开发并被国外职业教育领域和培训采用的职业教育标准、资源和装备数量情况等。</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193" w:name="_Toc9348"/>
      <w:bookmarkStart w:id="194" w:name="_Toc5053"/>
      <w:bookmarkStart w:id="195" w:name="_Toc9404"/>
      <w:bookmarkStart w:id="196" w:name="_Toc19132"/>
      <w:r>
        <w:rPr>
          <w:rFonts w:hint="eastAsia" w:eastAsia="楷体_GB2312" w:asciiTheme="majorHAnsi" w:hAnsiTheme="majorHAnsi" w:cstheme="majorBidi"/>
          <w:b/>
          <w:bCs/>
          <w:kern w:val="2"/>
          <w:sz w:val="32"/>
          <w:szCs w:val="32"/>
          <w:lang w:val="en-US" w:eastAsia="zh-CN" w:bidi="ar-SA"/>
        </w:rPr>
        <w:t>5.3助力“一带一路”建设</w:t>
      </w:r>
      <w:bookmarkEnd w:id="193"/>
      <w:bookmarkEnd w:id="194"/>
      <w:bookmarkEnd w:id="195"/>
      <w:bookmarkEnd w:id="196"/>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学校积极对接乌苏市委、市政府安排承接大规模社会化培训。2023年承担乌苏市公安局公职人员无人机技术培训40人，承担华泰石油培训39人。</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2024年承担乌苏市戒毒所200人培训，同比培训人数增长153%。</w:t>
      </w:r>
    </w:p>
    <w:p>
      <w:pPr>
        <w:pStyle w:val="21"/>
        <w:pageBreakBefore w:val="0"/>
        <w:kinsoku/>
        <w:wordWrap/>
        <w:overflowPunct/>
        <w:topLinePunct w:val="0"/>
        <w:autoSpaceDE w:val="0"/>
        <w:autoSpaceDN w:val="0"/>
        <w:bidi w:val="0"/>
        <w:adjustRightInd w:val="0"/>
        <w:spacing w:beforeAutospacing="0" w:afterAutospacing="0" w:line="560" w:lineRule="exact"/>
        <w:ind w:firstLine="643" w:firstLineChars="200"/>
        <w:jc w:val="left"/>
        <w:outlineLvl w:val="2"/>
        <w:rPr>
          <w:rFonts w:hint="eastAsia" w:ascii="仿宋_GB2312" w:hAnsi="Calibri" w:eastAsia="仿宋_GB2312" w:cs="Times New Roman"/>
          <w:b/>
          <w:bCs/>
          <w:kern w:val="2"/>
          <w:sz w:val="32"/>
          <w:szCs w:val="32"/>
          <w:lang w:val="en-US" w:eastAsia="zh-CN" w:bidi="ar-SA"/>
        </w:rPr>
      </w:pPr>
      <w:bookmarkStart w:id="197" w:name="_Toc24563"/>
      <w:bookmarkStart w:id="198" w:name="_Toc28410"/>
      <w:bookmarkStart w:id="199" w:name="_Toc18967"/>
      <w:bookmarkStart w:id="200" w:name="_Toc20035"/>
      <w:r>
        <w:rPr>
          <w:rFonts w:hint="eastAsia" w:ascii="仿宋_GB2312" w:hAnsi="Calibri" w:eastAsia="仿宋_GB2312" w:cs="Times New Roman"/>
          <w:b/>
          <w:bCs/>
          <w:kern w:val="2"/>
          <w:sz w:val="32"/>
          <w:szCs w:val="32"/>
          <w:lang w:val="en-US" w:eastAsia="zh-CN" w:bidi="ar-SA"/>
        </w:rPr>
        <w:t>【案例十二】开展科研，助力“一带一路”建设</w:t>
      </w:r>
      <w:bookmarkEnd w:id="197"/>
      <w:bookmarkEnd w:id="198"/>
      <w:bookmarkEnd w:id="199"/>
      <w:bookmarkEnd w:id="200"/>
    </w:p>
    <w:p>
      <w:pPr>
        <w:pStyle w:val="21"/>
        <w:pageBreakBefore w:val="0"/>
        <w:kinsoku/>
        <w:wordWrap/>
        <w:overflowPunct/>
        <w:topLinePunct w:val="0"/>
        <w:autoSpaceDE w:val="0"/>
        <w:autoSpaceDN w:val="0"/>
        <w:bidi w:val="0"/>
        <w:adjustRightInd w:val="0"/>
        <w:spacing w:beforeAutospacing="0" w:afterAutospacing="0" w:line="560" w:lineRule="exact"/>
        <w:ind w:firstLine="640"/>
        <w:jc w:val="left"/>
        <w:rPr>
          <w:rFonts w:hint="eastAsia" w:ascii="仿宋_GB2312" w:hAnsi="Calibri" w:eastAsia="仿宋_GB2312" w:cs="Times New Roman"/>
          <w:kern w:val="2"/>
          <w:sz w:val="32"/>
          <w:szCs w:val="32"/>
          <w:lang w:val="zh-CN" w:eastAsia="zh-CN" w:bidi="ar-SA"/>
        </w:rPr>
      </w:pPr>
      <w:r>
        <w:rPr>
          <w:rFonts w:hint="eastAsia" w:ascii="仿宋_GB2312" w:hAnsi="Calibri" w:eastAsia="仿宋_GB2312" w:cs="Times New Roman"/>
          <w:kern w:val="2"/>
          <w:sz w:val="32"/>
          <w:szCs w:val="32"/>
          <w:lang w:val="zh-CN" w:eastAsia="zh-CN" w:bidi="ar-SA"/>
        </w:rPr>
        <w:t>2024年</w:t>
      </w:r>
      <w:r>
        <w:rPr>
          <w:rFonts w:hint="eastAsia" w:ascii="仿宋_GB2312" w:hAnsi="Calibri" w:eastAsia="仿宋_GB2312" w:cs="Times New Roman"/>
          <w:kern w:val="2"/>
          <w:sz w:val="32"/>
          <w:szCs w:val="32"/>
          <w:lang w:val="en-US" w:eastAsia="zh-CN" w:bidi="ar-SA"/>
        </w:rPr>
        <w:t>3</w:t>
      </w:r>
      <w:r>
        <w:rPr>
          <w:rFonts w:hint="eastAsia" w:ascii="仿宋_GB2312" w:hAnsi="Calibri" w:eastAsia="仿宋_GB2312" w:cs="Times New Roman"/>
          <w:kern w:val="2"/>
          <w:sz w:val="32"/>
          <w:szCs w:val="32"/>
          <w:lang w:val="zh-CN" w:eastAsia="zh-CN" w:bidi="ar-SA"/>
        </w:rPr>
        <w:t>月，</w:t>
      </w:r>
      <w:r>
        <w:rPr>
          <w:rFonts w:hint="eastAsia" w:ascii="仿宋_GB2312" w:hAnsi="Calibri" w:eastAsia="仿宋_GB2312" w:cs="Times New Roman"/>
          <w:kern w:val="2"/>
          <w:sz w:val="32"/>
          <w:szCs w:val="32"/>
          <w:lang w:val="en-US" w:eastAsia="zh-CN" w:bidi="ar-SA"/>
        </w:rPr>
        <w:t>无人机专业教师刘鹏举</w:t>
      </w:r>
      <w:r>
        <w:rPr>
          <w:rFonts w:hint="eastAsia" w:ascii="仿宋_GB2312" w:hAnsi="Calibri" w:eastAsia="仿宋_GB2312" w:cs="Times New Roman"/>
          <w:kern w:val="2"/>
          <w:sz w:val="32"/>
          <w:szCs w:val="32"/>
          <w:lang w:val="zh-CN" w:eastAsia="zh-CN" w:bidi="ar-SA"/>
        </w:rPr>
        <w:t>参与完成</w:t>
      </w:r>
      <w:r>
        <w:rPr>
          <w:rFonts w:hint="eastAsia" w:ascii="仿宋_GB2312" w:hAnsi="Calibri" w:eastAsia="仿宋_GB2312" w:cs="Times New Roman"/>
          <w:kern w:val="2"/>
          <w:sz w:val="32"/>
          <w:szCs w:val="32"/>
          <w:lang w:val="en-US" w:eastAsia="zh-CN" w:bidi="ar-SA"/>
        </w:rPr>
        <w:t>天津远洋电子集团有限公司</w:t>
      </w:r>
      <w:r>
        <w:rPr>
          <w:rFonts w:hint="eastAsia" w:ascii="仿宋_GB2312" w:hAnsi="Calibri" w:eastAsia="仿宋_GB2312" w:cs="Times New Roman"/>
          <w:kern w:val="2"/>
          <w:sz w:val="32"/>
          <w:szCs w:val="32"/>
          <w:lang w:val="zh-CN" w:eastAsia="zh-CN" w:bidi="ar-SA"/>
        </w:rPr>
        <w:t>、苏州极目机器人科技有限公司关于哈萨克斯坦棉花病虫害检测与定位无人机的</w:t>
      </w:r>
      <w:r>
        <w:rPr>
          <w:rFonts w:hint="eastAsia" w:ascii="仿宋_GB2312" w:hAnsi="Calibri" w:eastAsia="仿宋_GB2312" w:cs="Times New Roman"/>
          <w:kern w:val="2"/>
          <w:sz w:val="32"/>
          <w:szCs w:val="32"/>
          <w:lang w:val="en-US" w:eastAsia="zh-CN" w:bidi="ar-SA"/>
        </w:rPr>
        <w:t>功能定位、</w:t>
      </w:r>
      <w:r>
        <w:rPr>
          <w:rFonts w:hint="eastAsia" w:ascii="仿宋_GB2312" w:hAnsi="Calibri" w:eastAsia="仿宋_GB2312" w:cs="Times New Roman"/>
          <w:kern w:val="2"/>
          <w:sz w:val="32"/>
          <w:szCs w:val="32"/>
          <w:lang w:val="zh-CN" w:eastAsia="zh-CN" w:bidi="ar-SA"/>
        </w:rPr>
        <w:t>设计咨询，</w:t>
      </w:r>
      <w:r>
        <w:rPr>
          <w:rFonts w:hint="eastAsia" w:ascii="仿宋_GB2312" w:hAnsi="Calibri" w:eastAsia="仿宋_GB2312" w:cs="Times New Roman"/>
          <w:kern w:val="2"/>
          <w:sz w:val="32"/>
          <w:szCs w:val="32"/>
          <w:lang w:val="en-US" w:eastAsia="zh-CN" w:bidi="ar-SA"/>
        </w:rPr>
        <w:t>助力“一带一路”建设</w:t>
      </w:r>
      <w:r>
        <w:rPr>
          <w:rFonts w:hint="eastAsia" w:ascii="仿宋_GB2312" w:hAnsi="Calibri" w:eastAsia="仿宋_GB2312" w:cs="Times New Roman"/>
          <w:kern w:val="2"/>
          <w:sz w:val="32"/>
          <w:szCs w:val="32"/>
          <w:lang w:val="zh-CN" w:eastAsia="zh-CN" w:bidi="ar-SA"/>
        </w:rPr>
        <w:t>。</w:t>
      </w:r>
    </w:p>
    <w:p>
      <w:pPr>
        <w:pStyle w:val="4"/>
        <w:pageBreakBefore w:val="0"/>
        <w:kinsoku/>
        <w:wordWrap/>
        <w:overflowPunct/>
        <w:topLinePunct w:val="0"/>
        <w:bidi w:val="0"/>
        <w:spacing w:beforeAutospacing="0" w:afterAutospacing="0" w:line="560" w:lineRule="exact"/>
        <w:ind w:firstLine="640"/>
        <w:rPr>
          <w:rFonts w:hint="eastAsia"/>
        </w:rPr>
      </w:pPr>
      <w:bookmarkStart w:id="201" w:name="_Toc14414"/>
      <w:bookmarkStart w:id="202" w:name="_Toc7434"/>
      <w:bookmarkStart w:id="203" w:name="_Toc13301"/>
      <w:bookmarkStart w:id="204" w:name="_Toc21759"/>
      <w:r>
        <w:rPr>
          <w:rFonts w:hint="eastAsia"/>
        </w:rPr>
        <w:t>6.产教融合质量</w:t>
      </w:r>
      <w:bookmarkEnd w:id="201"/>
      <w:bookmarkEnd w:id="202"/>
      <w:bookmarkEnd w:id="203"/>
      <w:bookmarkEnd w:id="204"/>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05" w:name="_Toc12485"/>
      <w:bookmarkStart w:id="206" w:name="_Toc5946"/>
      <w:bookmarkStart w:id="207" w:name="_Toc29912"/>
      <w:r>
        <w:rPr>
          <w:rFonts w:hint="eastAsia" w:eastAsia="楷体_GB2312" w:asciiTheme="majorHAnsi" w:hAnsiTheme="majorHAnsi" w:cstheme="majorBidi"/>
          <w:b/>
          <w:bCs/>
          <w:kern w:val="2"/>
          <w:sz w:val="32"/>
          <w:szCs w:val="32"/>
          <w:lang w:val="en-US" w:eastAsia="zh-CN" w:bidi="ar-SA"/>
        </w:rPr>
        <w:t>6.1校企协同育人</w:t>
      </w:r>
      <w:bookmarkEnd w:id="205"/>
      <w:bookmarkEnd w:id="206"/>
      <w:bookmarkEnd w:id="207"/>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lang w:eastAsia="zh-CN"/>
        </w:rPr>
        <w:t>校企深度合作，</w:t>
      </w:r>
      <w:r>
        <w:rPr>
          <w:rFonts w:hint="eastAsia" w:eastAsia="仿宋_GB2312" w:cs="Times New Roman"/>
          <w:bCs/>
          <w:color w:val="000000"/>
          <w:sz w:val="32"/>
          <w:szCs w:val="32"/>
          <w:lang w:val="en-US" w:eastAsia="zh-CN"/>
        </w:rPr>
        <w:t>搭建校企合作宣传平台。组织了6场企业宣讲会，共计有16家企业到学校与学生面对面交流，宣传企业文化，使学校、学生进一步了解企业，促进企业与学校之间的深度合作，为开展产学研合作、技能人才培养等项目奠定基础。并</w:t>
      </w:r>
      <w:r>
        <w:rPr>
          <w:rFonts w:hint="eastAsia" w:ascii="仿宋_GB2312" w:eastAsia="仿宋_GB2312"/>
          <w:sz w:val="32"/>
          <w:szCs w:val="32"/>
        </w:rPr>
        <w:t>通过</w:t>
      </w:r>
      <w:r>
        <w:rPr>
          <w:rFonts w:hint="eastAsia" w:ascii="仿宋_GB2312" w:eastAsia="仿宋_GB2312"/>
          <w:sz w:val="32"/>
          <w:szCs w:val="32"/>
          <w:lang w:val="en-US" w:eastAsia="zh-CN"/>
        </w:rPr>
        <w:t>到企业考察参观、校企见面会、邀请企业洽谈等多种形式，引企入校，推进冠名班、订单式培养</w:t>
      </w:r>
      <w:r>
        <w:rPr>
          <w:rFonts w:hint="eastAsia" w:ascii="仿宋_GB2312" w:eastAsia="仿宋_GB2312"/>
          <w:sz w:val="32"/>
          <w:szCs w:val="32"/>
        </w:rPr>
        <w:t>。</w:t>
      </w:r>
      <w:r>
        <w:rPr>
          <w:rFonts w:hint="eastAsia" w:ascii="仿宋_GB2312" w:eastAsia="仿宋_GB2312"/>
          <w:sz w:val="32"/>
          <w:szCs w:val="32"/>
          <w:lang w:val="en-US" w:eastAsia="zh-CN"/>
        </w:rPr>
        <w:t>目前，已与凯达商贸、卓郎机械、沂疆酒店、</w:t>
      </w:r>
      <w:r>
        <w:rPr>
          <w:rFonts w:hint="default" w:ascii="仿宋_GB2312" w:eastAsia="仿宋_GB2312"/>
          <w:sz w:val="32"/>
          <w:szCs w:val="32"/>
          <w:lang w:val="en-US" w:eastAsia="zh-CN"/>
        </w:rPr>
        <w:t>移动公司</w:t>
      </w:r>
      <w:r>
        <w:rPr>
          <w:rFonts w:hint="eastAsia" w:ascii="仿宋_GB2312" w:eastAsia="仿宋_GB2312"/>
          <w:sz w:val="32"/>
          <w:szCs w:val="32"/>
          <w:lang w:val="en-US" w:eastAsia="zh-CN"/>
        </w:rPr>
        <w:t>分别就新能源汽车应用与维修、焊接技术应用、数控技术应用、高星级饭店应用与管理、现代通信技术应用等专业签订了冠名班培养协议。</w:t>
      </w:r>
      <w:r>
        <w:rPr>
          <w:rFonts w:hint="eastAsia" w:ascii="仿宋_GB2312" w:hAnsi="Calibri" w:eastAsia="仿宋_GB2312" w:cs="Times New Roman"/>
          <w:sz w:val="32"/>
          <w:szCs w:val="32"/>
          <w:lang w:eastAsia="zh-CN"/>
        </w:rPr>
        <w:t xml:space="preserve"> </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lang w:val="en-US" w:eastAsia="zh-CN"/>
        </w:rPr>
        <w:t>积极与企业、地方政府携手，构建技术与资源共享的优质平台。与本地知名企业新疆钵施然智能农机股份有限公司、乌苏市青松建材有限责任公司、新疆乌苏市北方新科有限公司等签订合作协议并授牌，共建实习实训基地。企业为学校提供先进设备与生产场景体验，学校则为企业输送专业对口人才，并开展技术研发合作。学校教师参与企业产品研发，实现互利共赢，提升了学校育人质量与企业生产效益。与政府部门合作，搭建信息资源共享平台，及时掌握区域产业规划与人才需求动态，为精准办学提供依据。</w:t>
      </w:r>
      <w:r>
        <w:rPr>
          <w:rFonts w:hint="eastAsia" w:ascii="仿宋_GB2312" w:hAnsi="Calibri" w:eastAsia="仿宋_GB2312" w:cs="Times New Roman"/>
          <w:sz w:val="32"/>
          <w:szCs w:val="32"/>
        </w:rPr>
        <w:t>通过校企合作，学生实践能力显著提升，在各类技能竞赛中获奖数量增多。学生就业对口率从之前的</w:t>
      </w:r>
      <w:r>
        <w:rPr>
          <w:rFonts w:hint="eastAsia" w:ascii="仿宋_GB2312" w:hAnsi="Calibri" w:eastAsia="仿宋_GB2312" w:cs="Times New Roman"/>
          <w:sz w:val="32"/>
          <w:szCs w:val="32"/>
          <w:lang w:val="en-US" w:eastAsia="zh-CN"/>
        </w:rPr>
        <w:t>92</w:t>
      </w:r>
      <w:r>
        <w:rPr>
          <w:rFonts w:hint="eastAsia" w:ascii="仿宋_GB2312" w:hAnsi="Calibri" w:eastAsia="仿宋_GB2312" w:cs="Times New Roman"/>
          <w:sz w:val="32"/>
          <w:szCs w:val="32"/>
        </w:rPr>
        <w:t>%提升至</w:t>
      </w:r>
      <w:r>
        <w:rPr>
          <w:rFonts w:hint="eastAsia" w:ascii="仿宋_GB2312" w:hAnsi="Calibri" w:eastAsia="仿宋_GB2312" w:cs="Times New Roman"/>
          <w:sz w:val="32"/>
          <w:szCs w:val="32"/>
          <w:lang w:val="en-US" w:eastAsia="zh-CN"/>
        </w:rPr>
        <w:t>94.1</w:t>
      </w:r>
      <w:r>
        <w:rPr>
          <w:rFonts w:hint="eastAsia" w:ascii="仿宋_GB2312" w:hAnsi="Calibri" w:eastAsia="仿宋_GB2312" w:cs="Times New Roman"/>
          <w:sz w:val="32"/>
          <w:szCs w:val="32"/>
        </w:rPr>
        <w:t>%，就业质量也大幅提高，薪资待遇平均增长</w:t>
      </w:r>
      <w:r>
        <w:rPr>
          <w:rFonts w:hint="eastAsia" w:ascii="仿宋_GB2312" w:hAnsi="Calibri" w:eastAsia="仿宋_GB2312" w:cs="Times New Roman"/>
          <w:sz w:val="32"/>
          <w:szCs w:val="32"/>
          <w:lang w:val="en-US" w:eastAsia="zh-CN"/>
        </w:rPr>
        <w:t>3.8</w:t>
      </w:r>
      <w:r>
        <w:rPr>
          <w:rFonts w:hint="eastAsia" w:ascii="仿宋_GB2312" w:hAnsi="Calibri" w:eastAsia="仿宋_GB2312" w:cs="Times New Roman"/>
          <w:sz w:val="32"/>
          <w:szCs w:val="32"/>
        </w:rPr>
        <w:t>%。</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lang w:val="en-US" w:eastAsia="zh-CN"/>
        </w:rPr>
        <w:t>与乌苏市华泰石油化工有限公司开展新型学徒</w:t>
      </w:r>
      <w:r>
        <w:rPr>
          <w:rFonts w:hint="eastAsia" w:ascii="仿宋_GB2312" w:hAnsi="Calibri" w:eastAsia="仿宋_GB2312" w:cs="Times New Roman"/>
          <w:sz w:val="32"/>
          <w:szCs w:val="32"/>
        </w:rPr>
        <w:t>制</w:t>
      </w:r>
      <w:r>
        <w:rPr>
          <w:rFonts w:hint="eastAsia" w:ascii="仿宋_GB2312" w:hAnsi="Calibri" w:eastAsia="仿宋_GB2312" w:cs="Times New Roman"/>
          <w:sz w:val="32"/>
          <w:szCs w:val="32"/>
          <w:lang w:val="en-US" w:eastAsia="zh-CN"/>
        </w:rPr>
        <w:t>工作。将学徒培训课程设置为主要包括通用素质、专业基础、专业技能三部分，科学合理安排学时总量和课程结构。依据培训标准开发学徒培训课程大纲、教学设计和配套教学资源库。结合岗位实际构建工学一体的弹性学制、学分制课程体系，鼓励知名专家、教练和获奖选手等参与学徒。</w:t>
      </w:r>
      <w:r>
        <w:rPr>
          <w:rFonts w:hint="eastAsia" w:ascii="仿宋_GB2312" w:hAnsi="Calibri" w:eastAsia="仿宋_GB2312" w:cs="Times New Roman"/>
          <w:sz w:val="32"/>
          <w:szCs w:val="32"/>
        </w:rPr>
        <w:t>突出“工学交替、双导师培养”特色，学校导师负责理论教学，企业师傅负责实践指导，实现了理论与实践的深度融合，培养出的学徒深受企业欢迎，在岗位上能快速上手，为企业创造效益。</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学校建立了完善的实习管理制度，配备专门的实习指导教师，定期到企业巡查学生实习情况，</w:t>
      </w:r>
      <w:r>
        <w:rPr>
          <w:rFonts w:hint="eastAsia" w:ascii="仿宋_GB2312" w:hAnsi="仿宋_GB2312" w:eastAsia="仿宋_GB2312" w:cs="仿宋_GB2312"/>
          <w:color w:val="auto"/>
          <w:sz w:val="32"/>
          <w:szCs w:val="40"/>
          <w:highlight w:val="none"/>
          <w:lang w:eastAsia="zh-CN"/>
        </w:rPr>
        <w:t>始终</w:t>
      </w:r>
      <w:r>
        <w:rPr>
          <w:rFonts w:hint="eastAsia" w:ascii="仿宋_GB2312" w:hAnsi="仿宋_GB2312" w:eastAsia="仿宋_GB2312" w:cs="仿宋_GB2312"/>
          <w:color w:val="auto"/>
          <w:sz w:val="32"/>
          <w:szCs w:val="40"/>
          <w:highlight w:val="none"/>
        </w:rPr>
        <w:t>把实习安全工作放在首位，</w:t>
      </w:r>
      <w:r>
        <w:rPr>
          <w:rFonts w:hint="eastAsia" w:ascii="仿宋_GB2312" w:hAnsi="仿宋_GB2312" w:eastAsia="仿宋_GB2312" w:cs="仿宋_GB2312"/>
          <w:color w:val="auto"/>
          <w:sz w:val="32"/>
          <w:szCs w:val="40"/>
          <w:highlight w:val="none"/>
          <w:lang w:eastAsia="zh-CN"/>
        </w:rPr>
        <w:t>岗位</w:t>
      </w:r>
      <w:r>
        <w:rPr>
          <w:rFonts w:hint="eastAsia" w:ascii="仿宋_GB2312" w:hAnsi="仿宋_GB2312" w:eastAsia="仿宋_GB2312" w:cs="仿宋_GB2312"/>
          <w:color w:val="auto"/>
          <w:sz w:val="32"/>
          <w:szCs w:val="40"/>
          <w:highlight w:val="none"/>
        </w:rPr>
        <w:t>实习前一周，实训科、教务科共同开展职业生涯与规划、实习安全等教育活动，让学生实习前把安全意识放在首位。学生入企业第一周，由企业对学生开展安全生产、安全操作、企业文化、企业规章制度的教育，让学生尽快融入企业，适应企业。实训科定期开展专项巡查，发现问题及时协调企业解决，做到立查立改。</w:t>
      </w:r>
      <w:r>
        <w:rPr>
          <w:rFonts w:hint="eastAsia" w:ascii="仿宋_GB2312" w:hAnsi="仿宋_GB2312" w:eastAsia="仿宋_GB2312" w:cs="仿宋_GB2312"/>
          <w:color w:val="auto"/>
          <w:sz w:val="32"/>
          <w:szCs w:val="40"/>
          <w:highlight w:val="none"/>
          <w:lang w:val="en-US" w:eastAsia="zh-CN"/>
        </w:rPr>
        <w:t>使学生在实习岗位真正提升技能，达到实习效果</w:t>
      </w:r>
      <w:r>
        <w:rPr>
          <w:rFonts w:hint="eastAsia" w:ascii="仿宋_GB2312" w:hAnsi="Calibri" w:eastAsia="仿宋_GB2312" w:cs="Times New Roman"/>
          <w:sz w:val="32"/>
          <w:szCs w:val="32"/>
        </w:rPr>
        <w:t>，为就业增添竞争力。</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08" w:name="_Toc31480"/>
      <w:bookmarkStart w:id="209" w:name="_Toc17726"/>
      <w:bookmarkStart w:id="210" w:name="_Toc6629"/>
      <w:r>
        <w:rPr>
          <w:rFonts w:hint="eastAsia" w:eastAsia="楷体_GB2312" w:asciiTheme="majorHAnsi" w:hAnsiTheme="majorHAnsi" w:cstheme="majorBidi"/>
          <w:b/>
          <w:bCs/>
          <w:kern w:val="2"/>
          <w:sz w:val="32"/>
          <w:szCs w:val="32"/>
          <w:lang w:val="en-US" w:eastAsia="zh-CN" w:bidi="ar-SA"/>
        </w:rPr>
        <w:t>6.2区域产教联合体、行业产教融合共同体建设</w:t>
      </w:r>
      <w:bookmarkEnd w:id="208"/>
      <w:bookmarkEnd w:id="209"/>
      <w:bookmarkEnd w:id="210"/>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lang w:val="en-US" w:eastAsia="zh-CN"/>
        </w:rPr>
        <w:t>积极参与成立奎屯－独山子经济技术开发区产教联合体理事会、全国口岸贸易产教融合共同体、全国数字文化行业产教融合共同体</w:t>
      </w:r>
      <w:r>
        <w:rPr>
          <w:rFonts w:hint="eastAsia" w:ascii="仿宋_GB2312" w:hAnsi="Calibri" w:eastAsia="仿宋_GB2312" w:cs="Times New Roman"/>
          <w:sz w:val="32"/>
          <w:szCs w:val="32"/>
          <w:lang w:eastAsia="zh-CN"/>
        </w:rPr>
        <w:t>。</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奎屯</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独山子经济技术开发区产教联合体理事会旨在推动职业教育与区域产业融合发展，增强职业教</w:t>
      </w:r>
      <w:r>
        <w:rPr>
          <w:rFonts w:hint="eastAsia" w:ascii="仿宋_GB2312" w:hAnsi="Calibri" w:eastAsia="仿宋_GB2312" w:cs="Times New Roman"/>
          <w:sz w:val="32"/>
          <w:szCs w:val="32"/>
          <w:lang w:eastAsia="zh-CN"/>
        </w:rPr>
        <w:t>育的</w:t>
      </w:r>
      <w:r>
        <w:rPr>
          <w:rFonts w:hint="eastAsia" w:ascii="仿宋_GB2312" w:hAnsi="Calibri" w:eastAsia="仿宋_GB2312" w:cs="Times New Roman"/>
          <w:sz w:val="32"/>
          <w:szCs w:val="32"/>
        </w:rPr>
        <w:t>适应性和吸引力，服务区域经济发展</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包括</w:t>
      </w:r>
      <w:r>
        <w:rPr>
          <w:rFonts w:hint="eastAsia" w:ascii="仿宋_GB2312" w:hAnsi="Calibri" w:eastAsia="仿宋_GB2312" w:cs="Times New Roman"/>
          <w:sz w:val="32"/>
          <w:szCs w:val="32"/>
          <w:lang w:val="en-US" w:eastAsia="zh-CN"/>
        </w:rPr>
        <w:t>奎屯市</w:t>
      </w:r>
      <w:r>
        <w:rPr>
          <w:rFonts w:hint="eastAsia" w:ascii="仿宋_GB2312" w:hAnsi="Calibri" w:eastAsia="仿宋_GB2312" w:cs="Times New Roman"/>
          <w:sz w:val="32"/>
          <w:szCs w:val="32"/>
        </w:rPr>
        <w:t>政府、</w:t>
      </w:r>
      <w:r>
        <w:rPr>
          <w:rFonts w:hint="eastAsia" w:ascii="仿宋_GB2312" w:hAnsi="Calibri" w:eastAsia="仿宋_GB2312" w:cs="Times New Roman"/>
          <w:sz w:val="32"/>
          <w:szCs w:val="32"/>
          <w:lang w:val="en-US" w:eastAsia="zh-CN"/>
        </w:rPr>
        <w:t>奎屯－独山子经济技术开发区</w:t>
      </w:r>
      <w:r>
        <w:rPr>
          <w:rFonts w:hint="eastAsia" w:ascii="仿宋_GB2312" w:hAnsi="Calibri" w:eastAsia="仿宋_GB2312" w:cs="Times New Roman"/>
          <w:sz w:val="32"/>
          <w:szCs w:val="32"/>
        </w:rPr>
        <w:t>园区、</w:t>
      </w:r>
      <w:r>
        <w:rPr>
          <w:rFonts w:hint="eastAsia" w:ascii="仿宋_GB2312" w:hAnsi="Calibri" w:eastAsia="仿宋_GB2312" w:cs="Times New Roman"/>
          <w:sz w:val="32"/>
          <w:szCs w:val="32"/>
          <w:lang w:val="en-US" w:eastAsia="zh-CN"/>
        </w:rPr>
        <w:t>北疆各职业</w:t>
      </w:r>
      <w:r>
        <w:rPr>
          <w:rFonts w:hint="eastAsia" w:ascii="仿宋_GB2312" w:hAnsi="Calibri" w:eastAsia="仿宋_GB2312" w:cs="Times New Roman"/>
          <w:sz w:val="32"/>
          <w:szCs w:val="32"/>
        </w:rPr>
        <w:t>院校、企业相关负责人担任的副理事长以及秘书长等</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发挥政府、园区作用，促进资源共享，推动产学研合作与技术创新，在专业建设、产业发展、科研创新、服务全民终身学习等方面实现互补和衔接，共同打造开放型区域产教融合实践中心、产业学院</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 xml:space="preserve"> </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rPr>
        <w:t>全国口岸贸易产教融合共同体</w:t>
      </w:r>
      <w:r>
        <w:rPr>
          <w:rFonts w:hint="eastAsia" w:ascii="仿宋_GB2312" w:hAnsi="Calibri" w:eastAsia="仿宋_GB2312" w:cs="Times New Roman"/>
          <w:sz w:val="32"/>
          <w:szCs w:val="32"/>
          <w:lang w:val="en-US" w:eastAsia="zh-CN"/>
        </w:rPr>
        <w:t>是</w:t>
      </w:r>
      <w:r>
        <w:rPr>
          <w:rFonts w:hint="eastAsia" w:ascii="仿宋_GB2312" w:hAnsi="Calibri" w:eastAsia="仿宋_GB2312" w:cs="Times New Roman"/>
          <w:sz w:val="32"/>
          <w:szCs w:val="32"/>
        </w:rPr>
        <w:t>在深化现代职业教育体系建设改革的背景下，为推动口岸经济产业与高等教育和职业教育深度融合而成立，成员涵盖来自全国20余个省、自治区、直辖市的政府单位、院校、企业、行业等100余家单位</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发挥“政、行、校、企”四方力量，推动产教深度融合，培养服务于口岸贸易产业的高质量人才，推进人才培养供给侧和产业发展需求侧全要素全方位深度互动、双向赋能，加强科研与产业对接，推动科研成果转化和应用</w:t>
      </w:r>
      <w:r>
        <w:rPr>
          <w:rFonts w:hint="eastAsia" w:ascii="仿宋_GB2312" w:hAnsi="Calibri" w:eastAsia="仿宋_GB2312" w:cs="Times New Roman"/>
          <w:sz w:val="32"/>
          <w:szCs w:val="32"/>
          <w:lang w:eastAsia="zh-CN"/>
        </w:rPr>
        <w:t>。</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rPr>
        <w:t>全国数字文化行业产教融合共同体于2024年7月8日成立，包括政府、院校、企业代表等百余人参会，共同探讨数字文化领域产教融合的发展</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各成员单位将携手开发优质教学资源、探索人才培养模式改革、共建专业标准等，为数字文化行业提供人才和智力支撑，推动数字文化产业高质量发展，构建协同育人新生态</w:t>
      </w:r>
      <w:r>
        <w:rPr>
          <w:rFonts w:hint="eastAsia" w:ascii="仿宋_GB2312" w:hAnsi="Calibri" w:eastAsia="仿宋_GB2312" w:cs="Times New Roman"/>
          <w:sz w:val="32"/>
          <w:szCs w:val="32"/>
          <w:lang w:eastAsia="zh-CN"/>
        </w:rPr>
        <w:t>。</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lang w:val="en-US" w:eastAsia="zh-CN"/>
        </w:rPr>
        <w:t>这些共同体的成立</w:t>
      </w:r>
      <w:r>
        <w:rPr>
          <w:rFonts w:hint="eastAsia" w:ascii="仿宋_GB2312" w:hAnsi="Calibri" w:eastAsia="仿宋_GB2312" w:cs="Times New Roman"/>
          <w:sz w:val="32"/>
          <w:szCs w:val="32"/>
        </w:rPr>
        <w:t>为地方产业培养了大量高素质技术技能人才，满足了企业快速发展对人才的需求。同时，通过技术成果转化和咨询服务等方式，推动了地方产业的升级和创新发展，促进了区域经济的增长，使学校与地方产业的联系更加紧密，形成了互利共赢的良好局面。</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11" w:name="_Toc8603"/>
      <w:bookmarkStart w:id="212" w:name="_Toc17898"/>
      <w:bookmarkStart w:id="213" w:name="_Toc21448"/>
      <w:r>
        <w:rPr>
          <w:rFonts w:hint="eastAsia" w:eastAsia="楷体_GB2312" w:asciiTheme="majorHAnsi" w:hAnsiTheme="majorHAnsi" w:cstheme="majorBidi"/>
          <w:b/>
          <w:bCs/>
          <w:kern w:val="2"/>
          <w:sz w:val="32"/>
          <w:szCs w:val="32"/>
          <w:lang w:val="en-US" w:eastAsia="zh-CN" w:bidi="ar-SA"/>
        </w:rPr>
        <w:t>6.3产教融合平台建设</w:t>
      </w:r>
      <w:bookmarkEnd w:id="211"/>
      <w:bookmarkEnd w:id="212"/>
      <w:bookmarkEnd w:id="213"/>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仿宋_GB2312" w:eastAsia="仿宋_GB2312" w:cs="仿宋_GB2312"/>
          <w:sz w:val="32"/>
          <w:szCs w:val="32"/>
          <w:lang w:val="en-US" w:eastAsia="zh-CN"/>
        </w:rPr>
        <w:t>与</w:t>
      </w:r>
      <w:r>
        <w:rPr>
          <w:rFonts w:hint="eastAsia" w:ascii="仿宋_GB2312" w:hAnsi="仿宋_GB2312" w:eastAsia="仿宋_GB2312" w:cs="仿宋_GB2312"/>
          <w:sz w:val="32"/>
          <w:szCs w:val="32"/>
        </w:rPr>
        <w:t>北京点为信息科技有限公司</w:t>
      </w:r>
      <w:r>
        <w:rPr>
          <w:rFonts w:hint="eastAsia" w:ascii="仿宋_GB2312" w:hAnsi="仿宋_GB2312" w:eastAsia="仿宋_GB2312" w:cs="仿宋_GB2312"/>
          <w:sz w:val="32"/>
          <w:szCs w:val="32"/>
          <w:lang w:val="en-US" w:eastAsia="zh-CN"/>
        </w:rPr>
        <w:t>签订校企合作协议，企业</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专业设置和教学需求，</w:t>
      </w:r>
      <w:r>
        <w:rPr>
          <w:rFonts w:hint="eastAsia" w:ascii="仿宋_GB2312" w:hAnsi="仿宋_GB2312" w:eastAsia="仿宋_GB2312" w:cs="仿宋_GB2312"/>
          <w:sz w:val="32"/>
          <w:szCs w:val="32"/>
          <w:lang w:eastAsia="zh-CN"/>
        </w:rPr>
        <w:t>免费</w:t>
      </w:r>
      <w:r>
        <w:rPr>
          <w:rFonts w:hint="eastAsia" w:ascii="仿宋_GB2312" w:hAnsi="仿宋_GB2312" w:eastAsia="仿宋_GB2312" w:cs="仿宋_GB2312"/>
          <w:sz w:val="32"/>
          <w:szCs w:val="32"/>
        </w:rPr>
        <w:t>提供相应的实训教学模拟软件，并负责软件的安装、调试和技术支持。</w:t>
      </w: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利用北京点为信息科技有限公司提供的模拟软件开展实训教学，提高学生的实践能力和综合素质</w:t>
      </w:r>
      <w:r>
        <w:rPr>
          <w:rFonts w:hint="eastAsia" w:ascii="仿宋_GB2312" w:hAnsi="仿宋_GB2312" w:eastAsia="仿宋_GB2312" w:cs="仿宋_GB2312"/>
          <w:sz w:val="32"/>
          <w:szCs w:val="32"/>
          <w:lang w:eastAsia="zh-CN"/>
        </w:rPr>
        <w:t>。</w:t>
      </w:r>
      <w:r>
        <w:rPr>
          <w:rFonts w:hint="eastAsia" w:ascii="仿宋_GB2312" w:hAnsi="Calibri" w:eastAsia="仿宋_GB2312" w:cs="Times New Roman"/>
          <w:sz w:val="32"/>
          <w:szCs w:val="32"/>
        </w:rPr>
        <w:t>制定人才培养方案、开发课程体系、组建教学团队、实施教学评价等。</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校内实训基地建设紧密对接产业需求，不断优化布局与设备更新，引入企业生产标准与管理模式，实现教学过程与生产过程的无缝对接。校外实训基地与多家大型企业合作，拓展学生实习就业渠道，</w:t>
      </w:r>
      <w:r>
        <w:rPr>
          <w:rFonts w:hint="eastAsia" w:ascii="仿宋_GB2312" w:hAnsi="Calibri" w:eastAsia="仿宋_GB2312" w:cs="Times New Roman"/>
          <w:sz w:val="32"/>
          <w:szCs w:val="32"/>
          <w:lang w:val="en-US" w:eastAsia="zh-CN"/>
        </w:rPr>
        <w:t>2024</w:t>
      </w:r>
      <w:r>
        <w:rPr>
          <w:rFonts w:hint="eastAsia" w:ascii="仿宋_GB2312" w:hAnsi="Calibri" w:eastAsia="仿宋_GB2312" w:cs="Times New Roman"/>
          <w:sz w:val="32"/>
          <w:szCs w:val="32"/>
        </w:rPr>
        <w:t>年接纳实习学生</w:t>
      </w:r>
      <w:r>
        <w:rPr>
          <w:rFonts w:hint="eastAsia" w:ascii="仿宋_GB2312" w:hAnsi="Calibri" w:eastAsia="仿宋_GB2312" w:cs="Times New Roman"/>
          <w:sz w:val="32"/>
          <w:szCs w:val="32"/>
          <w:lang w:val="en-US" w:eastAsia="zh-CN"/>
        </w:rPr>
        <w:t>136</w:t>
      </w:r>
      <w:r>
        <w:rPr>
          <w:rFonts w:hint="eastAsia" w:ascii="仿宋_GB2312" w:hAnsi="Calibri" w:eastAsia="仿宋_GB2312" w:cs="Times New Roman"/>
          <w:sz w:val="32"/>
          <w:szCs w:val="32"/>
        </w:rPr>
        <w:t>人次，学生实习对口率达到</w:t>
      </w:r>
      <w:r>
        <w:rPr>
          <w:rFonts w:hint="eastAsia" w:ascii="仿宋_GB2312" w:hAnsi="Calibri" w:eastAsia="仿宋_GB2312" w:cs="Times New Roman"/>
          <w:sz w:val="32"/>
          <w:szCs w:val="32"/>
          <w:lang w:val="en-US" w:eastAsia="zh-CN"/>
        </w:rPr>
        <w:t>98.1</w:t>
      </w:r>
      <w:r>
        <w:rPr>
          <w:rFonts w:hint="eastAsia" w:ascii="仿宋_GB2312" w:hAnsi="Calibri" w:eastAsia="仿宋_GB2312" w:cs="Times New Roman"/>
          <w:sz w:val="32"/>
          <w:szCs w:val="32"/>
        </w:rPr>
        <w:t>%</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通过校企共建共管实训基地，学生的实践操作技能明显提升，在各类技能竞赛中获奖</w:t>
      </w:r>
      <w:r>
        <w:rPr>
          <w:rFonts w:hint="eastAsia" w:ascii="仿宋_GB2312" w:hAnsi="Calibri" w:eastAsia="仿宋_GB2312" w:cs="Times New Roman"/>
          <w:sz w:val="32"/>
          <w:szCs w:val="32"/>
          <w:lang w:val="en-US" w:eastAsia="zh-CN"/>
        </w:rPr>
        <w:t>86</w:t>
      </w:r>
      <w:r>
        <w:rPr>
          <w:rFonts w:hint="eastAsia" w:ascii="仿宋_GB2312" w:hAnsi="Calibri" w:eastAsia="仿宋_GB2312" w:cs="Times New Roman"/>
          <w:sz w:val="32"/>
          <w:szCs w:val="32"/>
        </w:rPr>
        <w:t>项，企业也从实训基地获得了优质的人力资源和技术服务支持，形成了互利共赢的良好局面，有力推动了产教融合的深入发展。</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rPr>
        <w:t>校长访企拓岗行动</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学校领导高度重视访企拓岗工作，校长亲自带队走访企业</w:t>
      </w:r>
      <w:r>
        <w:rPr>
          <w:rFonts w:hint="eastAsia" w:ascii="仿宋_GB2312" w:hAnsi="Calibri" w:eastAsia="仿宋_GB2312" w:cs="Times New Roman"/>
          <w:sz w:val="32"/>
          <w:szCs w:val="32"/>
          <w:lang w:val="en-US" w:eastAsia="zh-CN"/>
        </w:rPr>
        <w:t>十二</w:t>
      </w:r>
      <w:r>
        <w:rPr>
          <w:rFonts w:hint="eastAsia" w:ascii="仿宋_GB2312" w:hAnsi="Calibri" w:eastAsia="仿宋_GB2312" w:cs="Times New Roman"/>
          <w:sz w:val="32"/>
          <w:szCs w:val="32"/>
        </w:rPr>
        <w:t>家，与企业高层深入交流，了解企业用人需求和行业发展趋势，拓展就业岗位</w:t>
      </w:r>
      <w:r>
        <w:rPr>
          <w:rFonts w:hint="eastAsia" w:ascii="仿宋_GB2312" w:hAnsi="Calibri" w:eastAsia="仿宋_GB2312" w:cs="Times New Roman"/>
          <w:sz w:val="32"/>
          <w:szCs w:val="32"/>
          <w:lang w:val="en-US" w:eastAsia="zh-CN"/>
        </w:rPr>
        <w:t>132</w:t>
      </w:r>
      <w:r>
        <w:rPr>
          <w:rFonts w:hint="eastAsia" w:ascii="仿宋_GB2312" w:hAnsi="Calibri" w:eastAsia="仿宋_GB2312" w:cs="Times New Roman"/>
          <w:sz w:val="32"/>
          <w:szCs w:val="32"/>
        </w:rPr>
        <w:t>个，建立实习就业基地</w:t>
      </w:r>
      <w:r>
        <w:rPr>
          <w:rFonts w:hint="eastAsia" w:ascii="仿宋_GB2312" w:hAnsi="Calibri" w:eastAsia="仿宋_GB2312" w:cs="Times New Roman"/>
          <w:sz w:val="32"/>
          <w:szCs w:val="32"/>
          <w:lang w:val="en-US" w:eastAsia="zh-CN"/>
        </w:rPr>
        <w:t>8</w:t>
      </w:r>
      <w:r>
        <w:rPr>
          <w:rFonts w:hint="eastAsia" w:ascii="仿宋_GB2312" w:hAnsi="Calibri" w:eastAsia="仿宋_GB2312" w:cs="Times New Roman"/>
          <w:sz w:val="32"/>
          <w:szCs w:val="32"/>
        </w:rPr>
        <w:t>个</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在访企过程中，同时推动校企在人才培养、技术创新、社会服务等方面的合作，签订合作协议</w:t>
      </w:r>
      <w:r>
        <w:rPr>
          <w:rFonts w:hint="eastAsia" w:ascii="仿宋_GB2312" w:hAnsi="Calibri" w:eastAsia="仿宋_GB2312" w:cs="Times New Roman"/>
          <w:sz w:val="32"/>
          <w:szCs w:val="32"/>
          <w:lang w:val="en-US" w:eastAsia="zh-CN"/>
        </w:rPr>
        <w:t>8</w:t>
      </w:r>
      <w:r>
        <w:rPr>
          <w:rFonts w:hint="eastAsia" w:ascii="仿宋_GB2312" w:hAnsi="Calibri" w:eastAsia="仿宋_GB2312" w:cs="Times New Roman"/>
          <w:sz w:val="32"/>
          <w:szCs w:val="32"/>
        </w:rPr>
        <w:t>份，促进了产教融合的全方位发展，为学生就业创造了更广阔的空间，毕业生就业去向落实率提高了</w:t>
      </w:r>
      <w:r>
        <w:rPr>
          <w:rFonts w:hint="eastAsia" w:ascii="仿宋_GB2312" w:hAnsi="Calibri" w:eastAsia="仿宋_GB2312" w:cs="Times New Roman"/>
          <w:sz w:val="32"/>
          <w:szCs w:val="32"/>
          <w:lang w:val="en-US" w:eastAsia="zh-CN"/>
        </w:rPr>
        <w:t>3</w:t>
      </w:r>
      <w:r>
        <w:rPr>
          <w:rFonts w:hint="eastAsia" w:ascii="仿宋_GB2312" w:hAnsi="Calibri" w:eastAsia="仿宋_GB2312" w:cs="Times New Roman"/>
          <w:sz w:val="32"/>
          <w:szCs w:val="32"/>
        </w:rPr>
        <w:t>个百分点，提升了学校服务地方经济社会发展的能力</w:t>
      </w:r>
      <w:r>
        <w:rPr>
          <w:rFonts w:hint="eastAsia" w:ascii="仿宋_GB2312" w:hAnsi="Calibri" w:eastAsia="仿宋_GB2312" w:cs="Times New Roman"/>
          <w:sz w:val="32"/>
          <w:szCs w:val="32"/>
          <w:lang w:eastAsia="zh-CN"/>
        </w:rPr>
        <w:t>。</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借助</w:t>
      </w:r>
      <w:r>
        <w:rPr>
          <w:rFonts w:hint="eastAsia" w:ascii="仿宋_GB2312" w:hAnsi="Calibri" w:eastAsia="仿宋_GB2312" w:cs="Times New Roman"/>
          <w:sz w:val="32"/>
          <w:szCs w:val="32"/>
          <w:lang w:val="en-US" w:eastAsia="zh-CN"/>
        </w:rPr>
        <w:t>与行业企业沟通合作</w:t>
      </w:r>
      <w:r>
        <w:rPr>
          <w:rFonts w:hint="eastAsia" w:ascii="仿宋_GB2312" w:hAnsi="Calibri" w:eastAsia="仿宋_GB2312" w:cs="Times New Roman"/>
          <w:sz w:val="32"/>
          <w:szCs w:val="32"/>
        </w:rPr>
        <w:t>力量，促进了学校在招生就业、人才培养、社会服务等方面的协同发展，提升了学校在区域职业教育领域的影响力和竞争力，推动了区域职业教育整体水平的提升，为产业发展凝聚了更大的职教合力。</w:t>
      </w:r>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通过参与行业协会活动，及时掌握行业发展动态和前沿技术信息，为学校专业设置与调整、人才培养方案优化提供了有力依据，提升了学校专业建设与产业发展的契合度，增强了学校在行业内的话语权和影响力，也为学校开展社会服务、技术研发等工作搭建了更广阔的平台，促进了产教融合向纵深发展。</w:t>
      </w:r>
    </w:p>
    <w:p>
      <w:pPr>
        <w:pStyle w:val="4"/>
        <w:pageBreakBefore w:val="0"/>
        <w:kinsoku/>
        <w:wordWrap/>
        <w:overflowPunct/>
        <w:topLinePunct w:val="0"/>
        <w:bidi w:val="0"/>
        <w:spacing w:beforeAutospacing="0" w:afterAutospacing="0" w:line="560" w:lineRule="exact"/>
        <w:ind w:firstLine="640"/>
        <w:rPr>
          <w:rFonts w:hint="eastAsia"/>
        </w:rPr>
      </w:pPr>
      <w:bookmarkStart w:id="214" w:name="_Toc26128"/>
      <w:bookmarkStart w:id="215" w:name="_Toc22504"/>
      <w:bookmarkStart w:id="216" w:name="_Toc12843"/>
      <w:bookmarkStart w:id="217" w:name="_Toc27483"/>
      <w:r>
        <w:rPr>
          <w:rFonts w:hint="eastAsia"/>
        </w:rPr>
        <w:t>7.发展保障</w:t>
      </w:r>
      <w:bookmarkEnd w:id="214"/>
      <w:bookmarkEnd w:id="215"/>
      <w:bookmarkEnd w:id="216"/>
      <w:bookmarkEnd w:id="217"/>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18" w:name="_Toc23302"/>
      <w:bookmarkStart w:id="219" w:name="_Toc30685"/>
      <w:bookmarkStart w:id="220" w:name="_Toc18598"/>
      <w:r>
        <w:rPr>
          <w:rFonts w:hint="eastAsia" w:eastAsia="楷体_GB2312" w:asciiTheme="majorHAnsi" w:hAnsiTheme="majorHAnsi" w:cstheme="majorBidi"/>
          <w:b/>
          <w:bCs/>
          <w:kern w:val="2"/>
          <w:sz w:val="32"/>
          <w:szCs w:val="32"/>
          <w:lang w:val="en-US" w:eastAsia="zh-CN" w:bidi="ar-SA"/>
        </w:rPr>
        <w:t>7.1国家政策落实</w:t>
      </w:r>
      <w:bookmarkEnd w:id="218"/>
      <w:bookmarkEnd w:id="219"/>
      <w:bookmarkEnd w:id="220"/>
    </w:p>
    <w:p>
      <w:pPr>
        <w:pageBreakBefore w:val="0"/>
        <w:numPr>
          <w:ilvl w:val="0"/>
          <w:numId w:val="0"/>
        </w:numPr>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default" w:ascii="仿宋_GB2312" w:hAnsi="Calibri" w:eastAsia="仿宋_GB2312" w:cs="Times New Roman"/>
          <w:color w:val="auto"/>
          <w:sz w:val="32"/>
          <w:szCs w:val="32"/>
          <w:highlight w:val="none"/>
          <w:lang w:val="en-US" w:eastAsia="zh-CN"/>
        </w:rPr>
      </w:pPr>
      <w:r>
        <w:rPr>
          <w:rFonts w:hint="eastAsia" w:ascii="仿宋_GB2312" w:eastAsia="仿宋_GB2312" w:cs="Times New Roman"/>
          <w:b/>
          <w:bCs/>
          <w:color w:val="auto"/>
          <w:sz w:val="32"/>
          <w:szCs w:val="32"/>
          <w:highlight w:val="none"/>
          <w:lang w:val="en-US" w:eastAsia="zh-CN"/>
        </w:rPr>
        <w:t>一是</w:t>
      </w:r>
      <w:r>
        <w:rPr>
          <w:rFonts w:hint="eastAsia" w:ascii="仿宋_GB2312" w:hAnsi="Calibri" w:eastAsia="仿宋_GB2312" w:cs="Times New Roman"/>
          <w:color w:val="auto"/>
          <w:sz w:val="32"/>
          <w:szCs w:val="32"/>
          <w:highlight w:val="none"/>
          <w:lang w:val="en-US" w:eastAsia="zh-CN"/>
        </w:rPr>
        <w:t>组织保障202</w:t>
      </w:r>
      <w:r>
        <w:rPr>
          <w:rFonts w:hint="eastAsia" w:ascii="仿宋_GB2312" w:eastAsia="仿宋_GB2312" w:cs="Times New Roman"/>
          <w:color w:val="auto"/>
          <w:sz w:val="32"/>
          <w:szCs w:val="32"/>
          <w:highlight w:val="none"/>
          <w:lang w:val="en-US" w:eastAsia="zh-CN"/>
        </w:rPr>
        <w:t>4</w:t>
      </w:r>
      <w:r>
        <w:rPr>
          <w:rFonts w:hint="eastAsia" w:ascii="仿宋_GB2312" w:hAnsi="Calibri" w:eastAsia="仿宋_GB2312" w:cs="Times New Roman"/>
          <w:color w:val="auto"/>
          <w:sz w:val="32"/>
          <w:szCs w:val="32"/>
          <w:highlight w:val="none"/>
          <w:lang w:val="en-US" w:eastAsia="zh-CN"/>
        </w:rPr>
        <w:t>年在塔城地委、行署的关心下，</w:t>
      </w:r>
      <w:r>
        <w:rPr>
          <w:rFonts w:hint="eastAsia" w:ascii="仿宋" w:hAnsi="仿宋" w:eastAsia="仿宋" w:cs="仿宋"/>
          <w:kern w:val="0"/>
          <w:sz w:val="32"/>
          <w:szCs w:val="32"/>
          <w:lang w:val="en-US" w:eastAsia="zh-CN"/>
        </w:rPr>
        <w:t>严格</w:t>
      </w:r>
      <w:r>
        <w:rPr>
          <w:rFonts w:hint="eastAsia" w:ascii="仿宋" w:hAnsi="仿宋" w:eastAsia="仿宋" w:cs="仿宋"/>
          <w:kern w:val="0"/>
          <w:sz w:val="32"/>
          <w:szCs w:val="32"/>
        </w:rPr>
        <w:t>落实</w:t>
      </w:r>
      <w:r>
        <w:rPr>
          <w:rFonts w:hint="eastAsia" w:ascii="仿宋" w:hAnsi="仿宋" w:eastAsia="仿宋" w:cs="仿宋"/>
          <w:kern w:val="0"/>
          <w:sz w:val="32"/>
          <w:szCs w:val="32"/>
          <w:lang w:val="en-US" w:eastAsia="zh-CN"/>
        </w:rPr>
        <w:t>党委主体责任</w:t>
      </w:r>
      <w:r>
        <w:rPr>
          <w:rFonts w:hint="eastAsia" w:ascii="仿宋" w:hAnsi="仿宋" w:eastAsia="仿宋" w:cs="仿宋"/>
          <w:kern w:val="0"/>
          <w:sz w:val="32"/>
          <w:szCs w:val="32"/>
        </w:rPr>
        <w:t>，召开党风廉政建设和反腐败工作部署会议，修订完善学校政治生态分析报告和学校廉政监管风险识别防控台账</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听取班子成员“一岗双责”汇报</w:t>
      </w:r>
      <w:r>
        <w:rPr>
          <w:rFonts w:hint="eastAsia" w:ascii="CESI仿宋-GB2312" w:hAnsi="CESI仿宋-GB2312" w:eastAsia="CESI仿宋-GB2312" w:cs="CESI仿宋-GB2312"/>
          <w:b w:val="0"/>
          <w:bCs w:val="0"/>
          <w:sz w:val="32"/>
          <w:szCs w:val="32"/>
          <w:lang w:val="en-US" w:eastAsia="zh-CN"/>
        </w:rPr>
        <w:t>。</w:t>
      </w:r>
      <w:r>
        <w:rPr>
          <w:rFonts w:hint="eastAsia" w:ascii="仿宋_GB2312" w:hAnsi="Calibri" w:eastAsia="仿宋_GB2312" w:cs="Times New Roman"/>
          <w:color w:val="auto"/>
          <w:sz w:val="32"/>
          <w:szCs w:val="32"/>
          <w:highlight w:val="none"/>
          <w:lang w:val="en-US" w:eastAsia="zh-CN"/>
        </w:rPr>
        <w:t>给学校平稳发展、高质量发展提供了坚强的组织保障。</w:t>
      </w:r>
      <w:r>
        <w:rPr>
          <w:rFonts w:hint="eastAsia" w:ascii="仿宋_GB2312" w:eastAsia="仿宋_GB2312" w:cs="Times New Roman"/>
          <w:b/>
          <w:bCs/>
          <w:color w:val="auto"/>
          <w:sz w:val="32"/>
          <w:szCs w:val="32"/>
          <w:highlight w:val="none"/>
          <w:lang w:val="en-US" w:eastAsia="zh-CN"/>
        </w:rPr>
        <w:t>二是</w:t>
      </w:r>
      <w:r>
        <w:rPr>
          <w:rFonts w:hint="eastAsia" w:ascii="仿宋_GB2312" w:hAnsi="Calibri" w:eastAsia="仿宋_GB2312" w:cs="Times New Roman"/>
          <w:color w:val="auto"/>
          <w:sz w:val="32"/>
          <w:szCs w:val="32"/>
          <w:highlight w:val="none"/>
          <w:lang w:val="en-US" w:eastAsia="zh-CN"/>
        </w:rPr>
        <w:t>落实</w:t>
      </w:r>
      <w:r>
        <w:rPr>
          <w:rFonts w:hint="eastAsia" w:ascii="仿宋_GB2312" w:hAnsi="Calibri" w:eastAsia="仿宋_GB2312" w:cs="Times New Roman"/>
          <w:color w:val="auto"/>
          <w:sz w:val="32"/>
          <w:szCs w:val="32"/>
          <w:highlight w:val="none"/>
        </w:rPr>
        <w:t>经费保障</w:t>
      </w:r>
      <w:r>
        <w:rPr>
          <w:rFonts w:hint="eastAsia" w:ascii="仿宋_GB2312" w:hAnsi="Calibri" w:eastAsia="仿宋_GB2312" w:cs="Times New Roman"/>
          <w:color w:val="auto"/>
          <w:sz w:val="32"/>
          <w:szCs w:val="32"/>
          <w:highlight w:val="none"/>
          <w:lang w:eastAsia="zh-CN"/>
        </w:rPr>
        <w:t>。</w:t>
      </w:r>
      <w:r>
        <w:rPr>
          <w:rFonts w:hint="eastAsia" w:ascii="仿宋_GB2312" w:hAnsi="Calibri" w:eastAsia="仿宋_GB2312" w:cs="Times New Roman"/>
          <w:color w:val="auto"/>
          <w:sz w:val="32"/>
          <w:szCs w:val="32"/>
          <w:highlight w:val="none"/>
        </w:rPr>
        <w:t>学校严格按照《</w:t>
      </w:r>
      <w:r>
        <w:rPr>
          <w:rFonts w:hint="eastAsia" w:ascii="仿宋_GB2312" w:hAnsi="Calibri" w:eastAsia="仿宋_GB2312" w:cs="Times New Roman"/>
          <w:color w:val="auto"/>
          <w:sz w:val="32"/>
          <w:szCs w:val="32"/>
          <w:highlight w:val="none"/>
          <w:lang w:eastAsia="zh-CN"/>
        </w:rPr>
        <w:t>中华人民共和国预算法</w:t>
      </w:r>
      <w:r>
        <w:rPr>
          <w:rFonts w:hint="eastAsia" w:ascii="仿宋_GB2312" w:hAnsi="Calibri" w:eastAsia="仿宋_GB2312" w:cs="Times New Roman"/>
          <w:color w:val="auto"/>
          <w:sz w:val="32"/>
          <w:szCs w:val="32"/>
          <w:highlight w:val="none"/>
        </w:rPr>
        <w:t>》</w:t>
      </w:r>
      <w:r>
        <w:rPr>
          <w:rFonts w:hint="eastAsia" w:ascii="仿宋_GB2312" w:hAnsi="Calibri" w:eastAsia="仿宋_GB2312" w:cs="Times New Roman"/>
          <w:color w:val="auto"/>
          <w:sz w:val="32"/>
          <w:szCs w:val="32"/>
          <w:highlight w:val="none"/>
          <w:lang w:eastAsia="zh-CN"/>
        </w:rPr>
        <w:t>，完善学校预算。</w:t>
      </w:r>
      <w:r>
        <w:rPr>
          <w:rFonts w:hint="eastAsia" w:ascii="仿宋_GB2312" w:hAnsi="Calibri" w:eastAsia="仿宋_GB2312" w:cs="Times New Roman"/>
          <w:color w:val="auto"/>
          <w:sz w:val="32"/>
          <w:szCs w:val="32"/>
          <w:highlight w:val="none"/>
        </w:rPr>
        <w:t>按要求、按预算、按程序管理好项目资金。政策性经费、生均拨款、项目投入经费能及时到位，保证了日常教育教学、实训工作稳步有序开展。</w:t>
      </w:r>
      <w:r>
        <w:rPr>
          <w:rFonts w:hint="eastAsia" w:ascii="仿宋_GB2312" w:eastAsia="仿宋_GB2312" w:cs="Times New Roman"/>
          <w:b/>
          <w:bCs/>
          <w:color w:val="auto"/>
          <w:sz w:val="32"/>
          <w:szCs w:val="32"/>
          <w:highlight w:val="none"/>
          <w:lang w:val="en-US" w:eastAsia="zh-CN"/>
        </w:rPr>
        <w:t>三是</w:t>
      </w:r>
      <w:r>
        <w:rPr>
          <w:rFonts w:hint="eastAsia" w:ascii="仿宋_GB2312" w:eastAsia="仿宋_GB2312" w:cs="Times New Roman"/>
          <w:color w:val="auto"/>
          <w:sz w:val="32"/>
          <w:szCs w:val="32"/>
          <w:highlight w:val="none"/>
          <w:lang w:val="en-US" w:eastAsia="zh-CN"/>
        </w:rPr>
        <w:t>政策落实。</w:t>
      </w:r>
      <w:r>
        <w:rPr>
          <w:rFonts w:hint="eastAsia" w:ascii="仿宋_GB2312" w:hAnsi="Calibri" w:eastAsia="仿宋_GB2312" w:cs="Times New Roman"/>
          <w:color w:val="auto"/>
          <w:sz w:val="32"/>
          <w:szCs w:val="32"/>
          <w:highlight w:val="none"/>
          <w:lang w:val="en-US" w:eastAsia="zh-CN"/>
        </w:rPr>
        <w:t>2024年春季学期免除学费1169人128.59万元，免除住宿费教材费800人36万元，发放国家助学金450人41.58万元。2024年秋季学期免除学费1393人150.89万元，免除住宿费教材费1044人46.98万元，因招生规模扩大，尤其招收南疆四地州学生较多，享受助学金学生增加较多，助学金拨付资金缺口较大，2024年秋季助学金因缺口未能发放到位，在追加资金到位后进行补发。</w:t>
      </w:r>
    </w:p>
    <w:p>
      <w:pPr>
        <w:pageBreakBefore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outlineLvl w:val="1"/>
        <w:rPr>
          <w:rFonts w:hint="eastAsia" w:ascii="Calibri Light" w:hAnsi="Calibri Light" w:eastAsia="楷体_GB2312" w:cs="Times New Roman"/>
          <w:b/>
          <w:bCs/>
          <w:color w:val="auto"/>
          <w:kern w:val="2"/>
          <w:sz w:val="32"/>
          <w:szCs w:val="32"/>
          <w:highlight w:val="none"/>
          <w:lang w:val="en-US" w:eastAsia="zh-CN" w:bidi="ar-SA"/>
        </w:rPr>
      </w:pPr>
      <w:bookmarkStart w:id="221" w:name="_Toc19501"/>
      <w:bookmarkStart w:id="222" w:name="_Toc1965"/>
      <w:bookmarkStart w:id="223" w:name="_Toc14051"/>
      <w:bookmarkStart w:id="224" w:name="_Toc23778_WPSOffice_Level2"/>
      <w:r>
        <w:rPr>
          <w:rFonts w:hint="eastAsia" w:ascii="Calibri Light" w:hAnsi="Calibri Light" w:eastAsia="楷体_GB2312" w:cs="Times New Roman"/>
          <w:b/>
          <w:bCs/>
          <w:color w:val="auto"/>
          <w:kern w:val="2"/>
          <w:sz w:val="32"/>
          <w:szCs w:val="32"/>
          <w:highlight w:val="none"/>
          <w:lang w:val="en-US" w:eastAsia="zh-CN" w:bidi="ar-SA"/>
        </w:rPr>
        <w:t>7.2地方政策落实</w:t>
      </w:r>
      <w:bookmarkEnd w:id="221"/>
      <w:bookmarkEnd w:id="222"/>
      <w:bookmarkEnd w:id="223"/>
      <w:bookmarkEnd w:id="224"/>
    </w:p>
    <w:p>
      <w:pPr>
        <w:pageBreakBefore w:val="0"/>
        <w:numPr>
          <w:ilvl w:val="0"/>
          <w:numId w:val="0"/>
        </w:numPr>
        <w:kinsoku/>
        <w:wordWrap/>
        <w:overflowPunct/>
        <w:topLinePunct w:val="0"/>
        <w:autoSpaceDE/>
        <w:autoSpaceDN/>
        <w:bidi w:val="0"/>
        <w:adjustRightInd/>
        <w:snapToGrid/>
        <w:spacing w:beforeAutospacing="0" w:afterAutospacing="0" w:line="560" w:lineRule="exact"/>
        <w:ind w:leftChars="0" w:firstLine="643" w:firstLineChars="200"/>
        <w:textAlignment w:val="auto"/>
        <w:rPr>
          <w:rFonts w:hint="eastAsia" w:ascii="仿宋_GB2312" w:hAnsi="仿宋_GB2312" w:eastAsia="仿宋_GB2312" w:cs="Times New Roman"/>
          <w:color w:val="auto"/>
          <w:kern w:val="2"/>
          <w:sz w:val="32"/>
          <w:szCs w:val="32"/>
          <w:highlight w:val="none"/>
          <w:lang w:val="en-US" w:eastAsia="zh-CN" w:bidi="ar-SA"/>
        </w:rPr>
      </w:pPr>
      <w:r>
        <w:rPr>
          <w:rFonts w:hint="eastAsia" w:ascii="仿宋_GB2312" w:eastAsia="仿宋_GB2312" w:cs="Times New Roman"/>
          <w:b/>
          <w:bCs/>
          <w:color w:val="auto"/>
          <w:sz w:val="32"/>
          <w:szCs w:val="32"/>
          <w:highlight w:val="none"/>
          <w:lang w:val="en-US" w:eastAsia="zh-CN"/>
        </w:rPr>
        <w:t>一是</w:t>
      </w:r>
      <w:r>
        <w:rPr>
          <w:rFonts w:hint="eastAsia" w:ascii="仿宋_GB2312" w:hAnsi="仿宋_GB2312" w:eastAsia="仿宋_GB2312"/>
          <w:color w:val="auto"/>
          <w:sz w:val="32"/>
          <w:szCs w:val="32"/>
          <w:highlight w:val="none"/>
          <w:lang w:val="en-US" w:eastAsia="zh-CN"/>
        </w:rPr>
        <w:t>根据</w:t>
      </w:r>
      <w:r>
        <w:rPr>
          <w:rFonts w:hint="eastAsia" w:ascii="仿宋" w:hAnsi="仿宋" w:eastAsia="仿宋" w:cs="仿宋"/>
          <w:b w:val="0"/>
          <w:bCs w:val="0"/>
          <w:color w:val="auto"/>
          <w:sz w:val="32"/>
          <w:szCs w:val="32"/>
          <w:highlight w:val="none"/>
          <w:lang w:eastAsia="zh-CN"/>
        </w:rPr>
        <w:t>塔地机编字〔</w:t>
      </w:r>
      <w:r>
        <w:rPr>
          <w:rFonts w:hint="eastAsia" w:ascii="仿宋" w:hAnsi="仿宋" w:eastAsia="仿宋" w:cs="仿宋"/>
          <w:b w:val="0"/>
          <w:bCs w:val="0"/>
          <w:color w:val="auto"/>
          <w:sz w:val="32"/>
          <w:szCs w:val="32"/>
          <w:highlight w:val="none"/>
          <w:lang w:val="en-US" w:eastAsia="zh-CN"/>
        </w:rPr>
        <w:t>2012〕31号文件精神，</w:t>
      </w:r>
      <w:r>
        <w:rPr>
          <w:rFonts w:hint="eastAsia" w:ascii="仿宋" w:hAnsi="仿宋" w:eastAsia="仿宋" w:cs="仿宋"/>
          <w:color w:val="auto"/>
          <w:sz w:val="32"/>
          <w:szCs w:val="32"/>
          <w:highlight w:val="none"/>
        </w:rPr>
        <w:t>学校</w:t>
      </w:r>
      <w:r>
        <w:rPr>
          <w:rFonts w:hint="eastAsia" w:ascii="仿宋" w:hAnsi="仿宋" w:eastAsia="仿宋" w:cs="仿宋"/>
          <w:color w:val="auto"/>
          <w:sz w:val="32"/>
          <w:szCs w:val="32"/>
          <w:highlight w:val="none"/>
          <w:lang w:eastAsia="zh-CN"/>
        </w:rPr>
        <w:t>核定</w:t>
      </w:r>
      <w:r>
        <w:rPr>
          <w:rFonts w:hint="eastAsia" w:ascii="仿宋" w:hAnsi="仿宋" w:eastAsia="仿宋" w:cs="仿宋"/>
          <w:color w:val="auto"/>
          <w:sz w:val="32"/>
          <w:szCs w:val="32"/>
          <w:highlight w:val="none"/>
        </w:rPr>
        <w:t>编制60个，其中</w:t>
      </w:r>
      <w:r>
        <w:rPr>
          <w:rFonts w:hint="eastAsia" w:ascii="仿宋" w:hAnsi="仿宋" w:eastAsia="仿宋" w:cs="仿宋"/>
          <w:color w:val="auto"/>
          <w:sz w:val="32"/>
          <w:szCs w:val="32"/>
          <w:highlight w:val="none"/>
          <w:lang w:eastAsia="zh-CN"/>
        </w:rPr>
        <w:t>：管理岗</w:t>
      </w:r>
      <w:r>
        <w:rPr>
          <w:rFonts w:hint="eastAsia" w:ascii="仿宋" w:hAnsi="仿宋" w:eastAsia="仿宋" w:cs="仿宋"/>
          <w:color w:val="auto"/>
          <w:sz w:val="32"/>
          <w:szCs w:val="32"/>
          <w:highlight w:val="none"/>
          <w:lang w:val="en-US" w:eastAsia="zh-CN"/>
        </w:rPr>
        <w:t>10个（包括</w:t>
      </w:r>
      <w:r>
        <w:rPr>
          <w:rFonts w:hint="eastAsia" w:ascii="仿宋" w:hAnsi="仿宋" w:eastAsia="仿宋" w:cs="仿宋"/>
          <w:color w:val="auto"/>
          <w:sz w:val="32"/>
          <w:szCs w:val="32"/>
          <w:highlight w:val="none"/>
        </w:rPr>
        <w:t>县处级</w:t>
      </w:r>
      <w:r>
        <w:rPr>
          <w:rFonts w:hint="eastAsia" w:ascii="仿宋" w:hAnsi="仿宋" w:eastAsia="仿宋" w:cs="仿宋"/>
          <w:color w:val="auto"/>
          <w:sz w:val="32"/>
          <w:szCs w:val="32"/>
          <w:highlight w:val="none"/>
          <w:lang w:eastAsia="zh-CN"/>
        </w:rPr>
        <w:t>职</w:t>
      </w:r>
      <w:r>
        <w:rPr>
          <w:rFonts w:hint="eastAsia" w:ascii="仿宋" w:hAnsi="仿宋" w:eastAsia="仿宋" w:cs="仿宋"/>
          <w:color w:val="auto"/>
          <w:sz w:val="32"/>
          <w:szCs w:val="32"/>
          <w:highlight w:val="none"/>
        </w:rPr>
        <w:t>数</w:t>
      </w:r>
      <w:r>
        <w:rPr>
          <w:rFonts w:hint="eastAsia" w:ascii="仿宋" w:hAnsi="仿宋" w:eastAsia="仿宋" w:cs="仿宋"/>
          <w:color w:val="auto"/>
          <w:sz w:val="32"/>
          <w:szCs w:val="32"/>
          <w:highlight w:val="none"/>
          <w:lang w:val="en-US" w:eastAsia="zh-CN"/>
        </w:rPr>
        <w:t>5个</w:t>
      </w:r>
      <w:r>
        <w:rPr>
          <w:rFonts w:hint="eastAsia" w:ascii="仿宋" w:hAnsi="仿宋" w:eastAsia="仿宋" w:cs="仿宋"/>
          <w:color w:val="auto"/>
          <w:sz w:val="32"/>
          <w:szCs w:val="32"/>
          <w:highlight w:val="none"/>
          <w:lang w:eastAsia="zh-CN"/>
        </w:rPr>
        <w:t>、科级</w:t>
      </w:r>
      <w:r>
        <w:rPr>
          <w:rFonts w:hint="eastAsia" w:ascii="仿宋" w:hAnsi="仿宋" w:eastAsia="仿宋" w:cs="仿宋"/>
          <w:color w:val="auto"/>
          <w:sz w:val="32"/>
          <w:szCs w:val="32"/>
          <w:highlight w:val="none"/>
          <w:lang w:val="en-US" w:eastAsia="zh-CN"/>
        </w:rPr>
        <w:t>5个）</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工勤技能岗</w:t>
      </w: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个、</w:t>
      </w:r>
      <w:r>
        <w:rPr>
          <w:rFonts w:hint="eastAsia" w:ascii="仿宋" w:hAnsi="仿宋" w:eastAsia="仿宋" w:cs="仿宋"/>
          <w:color w:val="auto"/>
          <w:sz w:val="32"/>
          <w:szCs w:val="32"/>
          <w:highlight w:val="none"/>
        </w:rPr>
        <w:t>专业</w:t>
      </w:r>
      <w:r>
        <w:rPr>
          <w:rFonts w:hint="eastAsia" w:ascii="仿宋" w:hAnsi="仿宋" w:eastAsia="仿宋" w:cs="仿宋"/>
          <w:color w:val="auto"/>
          <w:sz w:val="32"/>
          <w:szCs w:val="32"/>
          <w:highlight w:val="none"/>
          <w:lang w:eastAsia="zh-CN"/>
        </w:rPr>
        <w:t>技术</w:t>
      </w:r>
      <w:r>
        <w:rPr>
          <w:rFonts w:hint="eastAsia" w:ascii="仿宋" w:hAnsi="仿宋" w:eastAsia="仿宋" w:cs="仿宋"/>
          <w:color w:val="auto"/>
          <w:sz w:val="32"/>
          <w:szCs w:val="32"/>
          <w:highlight w:val="none"/>
        </w:rPr>
        <w:t>岗45</w:t>
      </w:r>
      <w:r>
        <w:rPr>
          <w:rFonts w:hint="eastAsia" w:ascii="仿宋" w:hAnsi="仿宋" w:eastAsia="仿宋" w:cs="仿宋"/>
          <w:color w:val="auto"/>
          <w:sz w:val="32"/>
          <w:szCs w:val="32"/>
          <w:highlight w:val="none"/>
          <w:lang w:eastAsia="zh-CN"/>
        </w:rPr>
        <w:t>个。</w:t>
      </w:r>
      <w:r>
        <w:rPr>
          <w:rFonts w:hint="eastAsia" w:ascii="仿宋" w:hAnsi="仿宋" w:eastAsia="仿宋" w:cs="仿宋"/>
          <w:color w:val="auto"/>
          <w:sz w:val="32"/>
          <w:szCs w:val="32"/>
          <w:highlight w:val="none"/>
          <w:lang w:val="en-US" w:eastAsia="zh-CN"/>
        </w:rPr>
        <w:t>根据塔地事改办字</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lang w:val="en-US" w:eastAsia="zh-CN"/>
        </w:rPr>
        <w:t>2024〕13号文件批复，专业技术岗位60个，重新设置了学校专业技术岗位设置。解决了教师的职称晋升难的问题。</w:t>
      </w:r>
      <w:r>
        <w:rPr>
          <w:rFonts w:hint="eastAsia" w:ascii="华文仿宋" w:hAnsi="华文仿宋" w:eastAsia="华文仿宋" w:cs="华文仿宋"/>
          <w:b/>
          <w:bCs/>
          <w:color w:val="auto"/>
          <w:sz w:val="32"/>
          <w:szCs w:val="32"/>
          <w:highlight w:val="none"/>
          <w:lang w:val="en-US" w:eastAsia="zh-CN"/>
        </w:rPr>
        <w:t>二是</w:t>
      </w:r>
      <w:r>
        <w:rPr>
          <w:rFonts w:hint="eastAsia" w:ascii="仿宋_GB2312" w:hAnsi="仿宋_GB2312" w:eastAsia="仿宋_GB2312"/>
          <w:color w:val="auto"/>
          <w:sz w:val="32"/>
          <w:szCs w:val="32"/>
          <w:highlight w:val="none"/>
          <w:lang w:val="en-US" w:eastAsia="zh-CN"/>
        </w:rPr>
        <w:t>根据《中等职业学校设置标准》，</w:t>
      </w:r>
      <w:r>
        <w:rPr>
          <w:rFonts w:hint="eastAsia" w:ascii="华文仿宋" w:hAnsi="华文仿宋" w:eastAsia="华文仿宋" w:cs="华文仿宋"/>
          <w:color w:val="auto"/>
          <w:sz w:val="32"/>
          <w:szCs w:val="32"/>
          <w:highlight w:val="none"/>
          <w:lang w:eastAsia="zh-CN"/>
        </w:rPr>
        <w:t>目前学校共有各类建筑</w:t>
      </w:r>
      <w:r>
        <w:rPr>
          <w:rFonts w:hint="eastAsia" w:ascii="华文仿宋" w:hAnsi="华文仿宋" w:eastAsia="华文仿宋" w:cs="华文仿宋"/>
          <w:color w:val="auto"/>
          <w:sz w:val="32"/>
          <w:szCs w:val="32"/>
          <w:highlight w:val="none"/>
          <w:lang w:val="en-US" w:eastAsia="zh-CN"/>
        </w:rPr>
        <w:t>30栋，总面积43210.15平方米。其中有房产证建筑21栋，因消防不达标9栋未办理房产证。如果减去无房产证</w:t>
      </w:r>
      <w:r>
        <w:rPr>
          <w:rFonts w:hint="eastAsia" w:ascii="华文仿宋" w:hAnsi="华文仿宋" w:eastAsia="华文仿宋" w:cs="华文仿宋"/>
          <w:color w:val="auto"/>
          <w:sz w:val="32"/>
          <w:szCs w:val="32"/>
          <w:highlight w:val="none"/>
        </w:rPr>
        <w:t>建筑面积</w:t>
      </w:r>
      <w:r>
        <w:rPr>
          <w:rFonts w:hint="eastAsia" w:ascii="华文仿宋" w:hAnsi="华文仿宋" w:eastAsia="华文仿宋" w:cs="华文仿宋"/>
          <w:color w:val="auto"/>
          <w:sz w:val="32"/>
          <w:szCs w:val="32"/>
          <w:highlight w:val="none"/>
          <w:lang w:eastAsia="zh-CN"/>
        </w:rPr>
        <w:t>达不到</w:t>
      </w:r>
      <w:r>
        <w:rPr>
          <w:rFonts w:hint="eastAsia" w:ascii="仿宋_GB2312" w:hAnsi="仿宋_GB2312" w:eastAsia="仿宋_GB2312" w:cs="Times New Roman"/>
          <w:color w:val="auto"/>
          <w:kern w:val="2"/>
          <w:sz w:val="32"/>
          <w:szCs w:val="32"/>
          <w:highlight w:val="none"/>
          <w:lang w:val="en-US" w:eastAsia="zh-CN" w:bidi="ar-SA"/>
        </w:rPr>
        <w:t>生均标准，申请乌苏市政府</w:t>
      </w:r>
      <w:r>
        <w:rPr>
          <w:rFonts w:hint="eastAsia" w:ascii="华文仿宋" w:hAnsi="华文仿宋" w:eastAsia="华文仿宋" w:cs="华文仿宋"/>
          <w:color w:val="auto"/>
          <w:kern w:val="2"/>
          <w:sz w:val="32"/>
          <w:szCs w:val="32"/>
          <w:highlight w:val="none"/>
          <w:lang w:val="en-US" w:eastAsia="zh-CN" w:bidi="ar-SA"/>
        </w:rPr>
        <w:t>消防水池改造预算资金230万元，已完成招标工作，2024年完成改造。</w:t>
      </w:r>
      <w:r>
        <w:rPr>
          <w:rFonts w:hint="eastAsia" w:ascii="华文仿宋" w:hAnsi="华文仿宋" w:eastAsia="华文仿宋" w:cs="华文仿宋"/>
          <w:b/>
          <w:bCs/>
          <w:color w:val="auto"/>
          <w:kern w:val="2"/>
          <w:sz w:val="32"/>
          <w:szCs w:val="32"/>
          <w:highlight w:val="none"/>
          <w:lang w:val="en-US" w:eastAsia="zh-CN" w:bidi="ar-SA"/>
        </w:rPr>
        <w:t>三是</w:t>
      </w:r>
      <w:r>
        <w:rPr>
          <w:rFonts w:hint="eastAsia" w:ascii="仿宋_GB2312" w:hAnsi="仿宋_GB2312" w:eastAsia="仿宋_GB2312"/>
          <w:color w:val="auto"/>
          <w:sz w:val="32"/>
          <w:szCs w:val="32"/>
          <w:highlight w:val="none"/>
          <w:lang w:val="en-US" w:eastAsia="zh-CN"/>
        </w:rPr>
        <w:t>根据《中等职业学校设置标准》，2023年</w:t>
      </w:r>
      <w:r>
        <w:rPr>
          <w:rFonts w:hint="eastAsia" w:ascii="仿宋_GB2312" w:hAnsi="仿宋_GB2312" w:eastAsia="仿宋_GB2312" w:cs="Times New Roman"/>
          <w:color w:val="auto"/>
          <w:kern w:val="2"/>
          <w:sz w:val="32"/>
          <w:szCs w:val="32"/>
          <w:highlight w:val="none"/>
          <w:lang w:val="en-US" w:eastAsia="zh-CN" w:bidi="ar-SA"/>
        </w:rPr>
        <w:t>招标采购纸质图书23000册，电子图书100000册，达到“生均图书不少于30册”标准，2024年图书已达标。</w:t>
      </w:r>
    </w:p>
    <w:p>
      <w:pPr>
        <w:pageBreakBefore w:val="0"/>
        <w:kinsoku/>
        <w:wordWrap/>
        <w:overflowPunct/>
        <w:topLinePunct w:val="0"/>
        <w:autoSpaceDE/>
        <w:autoSpaceDN/>
        <w:bidi w:val="0"/>
        <w:adjustRightInd/>
        <w:snapToGrid/>
        <w:spacing w:beforeAutospacing="0" w:afterAutospacing="0" w:line="560" w:lineRule="exact"/>
        <w:ind w:left="0" w:leftChars="0" w:firstLine="643" w:firstLineChars="200"/>
        <w:textAlignment w:val="auto"/>
        <w:outlineLvl w:val="1"/>
        <w:rPr>
          <w:rFonts w:hint="eastAsia" w:ascii="Calibri Light" w:hAnsi="Calibri Light" w:eastAsia="楷体_GB2312" w:cs="Times New Roman"/>
          <w:b/>
          <w:bCs/>
          <w:color w:val="auto"/>
          <w:kern w:val="2"/>
          <w:sz w:val="32"/>
          <w:szCs w:val="32"/>
          <w:highlight w:val="none"/>
          <w:lang w:val="en-US" w:eastAsia="zh-CN" w:bidi="ar-SA"/>
        </w:rPr>
      </w:pPr>
      <w:bookmarkStart w:id="225" w:name="_Toc11408_WPSOffice_Level2"/>
      <w:bookmarkStart w:id="226" w:name="_Toc20677"/>
      <w:bookmarkStart w:id="227" w:name="_Toc29256"/>
      <w:bookmarkStart w:id="228" w:name="_Toc5166"/>
      <w:r>
        <w:rPr>
          <w:rFonts w:hint="eastAsia" w:ascii="Calibri Light" w:hAnsi="Calibri Light" w:eastAsia="楷体_GB2312" w:cs="Times New Roman"/>
          <w:b/>
          <w:bCs/>
          <w:color w:val="auto"/>
          <w:kern w:val="2"/>
          <w:sz w:val="32"/>
          <w:szCs w:val="32"/>
          <w:highlight w:val="none"/>
          <w:lang w:val="en-US" w:eastAsia="zh-CN" w:bidi="ar-SA"/>
        </w:rPr>
        <w:t>7.3学校治理</w:t>
      </w:r>
      <w:bookmarkEnd w:id="225"/>
      <w:bookmarkEnd w:id="226"/>
      <w:bookmarkEnd w:id="227"/>
      <w:bookmarkEnd w:id="228"/>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黑体" w:hAnsi="黑体" w:eastAsia="黑体" w:cs="黑体"/>
          <w:kern w:val="0"/>
          <w:sz w:val="32"/>
          <w:szCs w:val="32"/>
        </w:rPr>
      </w:pPr>
      <w:r>
        <w:rPr>
          <w:rFonts w:hint="eastAsia" w:ascii="仿宋_GB2312" w:hAnsi="仿宋" w:eastAsia="仿宋_GB2312" w:cs="仿宋"/>
          <w:b/>
          <w:bCs/>
          <w:color w:val="auto"/>
          <w:sz w:val="32"/>
          <w:szCs w:val="32"/>
          <w:highlight w:val="none"/>
          <w:lang w:val="en-US" w:eastAsia="zh-CN"/>
        </w:rPr>
        <w:t>一是</w:t>
      </w:r>
      <w:r>
        <w:rPr>
          <w:rFonts w:hint="eastAsia" w:ascii="仿宋_GB2312" w:hAnsi="仿宋" w:eastAsia="仿宋_GB2312" w:cs="仿宋"/>
          <w:b w:val="0"/>
          <w:bCs w:val="0"/>
          <w:color w:val="auto"/>
          <w:sz w:val="32"/>
          <w:szCs w:val="32"/>
          <w:highlight w:val="none"/>
          <w:lang w:val="en-US" w:eastAsia="zh-CN"/>
        </w:rPr>
        <w:t>严格落实</w:t>
      </w:r>
      <w:r>
        <w:rPr>
          <w:rFonts w:hint="eastAsia" w:ascii="仿宋_GB2312" w:hAnsi="仿宋" w:eastAsia="仿宋_GB2312" w:cs="仿宋"/>
          <w:b w:val="0"/>
          <w:bCs w:val="0"/>
          <w:color w:val="auto"/>
          <w:sz w:val="32"/>
          <w:szCs w:val="32"/>
          <w:highlight w:val="none"/>
          <w:lang w:eastAsia="zh-CN"/>
        </w:rPr>
        <w:t>党委领导下的校长负责制。修订完善党委议事规则、校长办公会议制度。校长通过周例会、校长办公会等形式全面履职行政管理工作。</w:t>
      </w:r>
      <w:r>
        <w:rPr>
          <w:rFonts w:hint="eastAsia" w:ascii="仿宋_GB2312" w:hAnsi="仿宋" w:eastAsia="仿宋_GB2312" w:cs="仿宋"/>
          <w:color w:val="auto"/>
          <w:sz w:val="32"/>
          <w:szCs w:val="32"/>
          <w:highlight w:val="none"/>
        </w:rPr>
        <w:t>定期召开党委会议</w:t>
      </w:r>
      <w:r>
        <w:rPr>
          <w:rFonts w:hint="eastAsia" w:ascii="仿宋_GB2312" w:hAnsi="仿宋" w:eastAsia="仿宋_GB2312" w:cs="仿宋"/>
          <w:color w:val="auto"/>
          <w:sz w:val="32"/>
          <w:szCs w:val="32"/>
          <w:highlight w:val="none"/>
          <w:lang w:eastAsia="zh-CN"/>
        </w:rPr>
        <w:t>，</w:t>
      </w:r>
      <w:r>
        <w:rPr>
          <w:rFonts w:hint="eastAsia" w:ascii="仿宋_GB2312" w:hAnsi="仿宋" w:eastAsia="仿宋_GB2312" w:cs="仿宋"/>
          <w:b w:val="0"/>
          <w:bCs w:val="0"/>
          <w:color w:val="auto"/>
          <w:sz w:val="32"/>
          <w:szCs w:val="32"/>
          <w:highlight w:val="none"/>
          <w:lang w:eastAsia="zh-CN"/>
        </w:rPr>
        <w:t>发挥民主决策“三重一大”事项党委议事决定。</w:t>
      </w:r>
      <w:r>
        <w:rPr>
          <w:rFonts w:hint="eastAsia" w:ascii="仿宋_GB2312" w:eastAsia="仿宋_GB2312" w:cs="Times New Roman"/>
          <w:b/>
          <w:bCs/>
          <w:color w:val="auto"/>
          <w:sz w:val="32"/>
          <w:szCs w:val="32"/>
          <w:highlight w:val="none"/>
          <w:lang w:val="en-US" w:eastAsia="zh-CN"/>
        </w:rPr>
        <w:t>二是</w:t>
      </w:r>
      <w:r>
        <w:rPr>
          <w:rFonts w:hint="eastAsia" w:ascii="仿宋_GB2312" w:hAnsi="仿宋" w:eastAsia="仿宋_GB2312" w:cs="仿宋"/>
          <w:b w:val="0"/>
          <w:bCs w:val="0"/>
          <w:color w:val="auto"/>
          <w:sz w:val="32"/>
          <w:szCs w:val="32"/>
          <w:highlight w:val="none"/>
          <w:lang w:val="en-US" w:eastAsia="zh-CN"/>
        </w:rPr>
        <w:t>落实依法治校，推进民主监督体系建设。2024年召开教代会一次，审议了学校工作计划、预算计划</w:t>
      </w:r>
      <w:r>
        <w:rPr>
          <w:rFonts w:hint="eastAsia" w:ascii="仿宋_GB2312" w:eastAsia="仿宋_GB2312" w:cs="Times New Roman"/>
          <w:color w:val="auto"/>
          <w:sz w:val="32"/>
          <w:szCs w:val="32"/>
          <w:highlight w:val="none"/>
          <w:lang w:val="en-US" w:eastAsia="zh-CN"/>
        </w:rPr>
        <w:t>，修改了学校教职工绩效考核制度部分条款。</w:t>
      </w:r>
      <w:r>
        <w:rPr>
          <w:rFonts w:hint="eastAsia" w:ascii="仿宋" w:hAnsi="仿宋" w:eastAsia="仿宋" w:cs="仿宋"/>
          <w:b/>
          <w:bCs/>
          <w:color w:val="auto"/>
          <w:sz w:val="32"/>
          <w:szCs w:val="32"/>
          <w:highlight w:val="none"/>
          <w:lang w:val="en-US" w:eastAsia="zh-CN"/>
        </w:rPr>
        <w:t>三是</w:t>
      </w:r>
      <w:r>
        <w:rPr>
          <w:rFonts w:hint="eastAsia" w:ascii="仿宋_GB2312" w:eastAsia="仿宋_GB2312" w:cs="Times New Roman"/>
          <w:color w:val="auto"/>
          <w:sz w:val="32"/>
          <w:szCs w:val="32"/>
          <w:highlight w:val="none"/>
          <w:lang w:val="en-US" w:eastAsia="zh-CN"/>
        </w:rPr>
        <w:t>完成了校团委换届。选举新一届团委委员5名，结合宿舍军事化管理要求，规范了学生会组织，加强了学生日常行为规范的养成。</w:t>
      </w:r>
      <w:r>
        <w:rPr>
          <w:rFonts w:hint="eastAsia" w:ascii="仿宋" w:hAnsi="仿宋" w:eastAsia="仿宋" w:cs="仿宋"/>
          <w:b/>
          <w:bCs/>
          <w:kern w:val="0"/>
          <w:sz w:val="32"/>
          <w:szCs w:val="32"/>
          <w:lang w:val="en-US" w:eastAsia="zh-CN"/>
        </w:rPr>
        <w:t>四是</w:t>
      </w:r>
      <w:r>
        <w:rPr>
          <w:rFonts w:hint="eastAsia" w:ascii="仿宋" w:hAnsi="仿宋" w:eastAsia="仿宋" w:cs="仿宋"/>
          <w:b w:val="0"/>
          <w:bCs w:val="0"/>
          <w:kern w:val="0"/>
          <w:sz w:val="32"/>
          <w:szCs w:val="32"/>
          <w:lang w:val="en-US" w:eastAsia="zh-CN"/>
        </w:rPr>
        <w:t>成功承办地区第三届“辽疆杯”职业技能大赛。来自7个县、市500余名选手参加了15个项目的比赛，既检验了师生的能力素质，也进一步提升了学校的社会影响力。</w:t>
      </w:r>
      <w:r>
        <w:rPr>
          <w:rFonts w:hint="eastAsia" w:ascii="仿宋" w:hAnsi="仿宋" w:eastAsia="仿宋" w:cs="仿宋"/>
          <w:b/>
          <w:bCs/>
          <w:kern w:val="0"/>
          <w:sz w:val="32"/>
          <w:szCs w:val="32"/>
          <w:lang w:val="en-US" w:eastAsia="zh-CN"/>
        </w:rPr>
        <w:t>五是</w:t>
      </w:r>
      <w:r>
        <w:rPr>
          <w:rFonts w:hint="eastAsia" w:ascii="仿宋" w:hAnsi="仿宋" w:eastAsia="仿宋" w:cs="仿宋"/>
          <w:b w:val="0"/>
          <w:bCs w:val="0"/>
          <w:kern w:val="0"/>
          <w:sz w:val="32"/>
          <w:szCs w:val="32"/>
          <w:lang w:val="en-US" w:eastAsia="zh-CN"/>
        </w:rPr>
        <w:t>优化专业建设。新申报审批3个专业，2024年秋季招生专业共11个，为学校发展壮大奠定了基础。</w:t>
      </w:r>
      <w:r>
        <w:rPr>
          <w:rFonts w:hint="eastAsia" w:ascii="仿宋" w:hAnsi="仿宋" w:eastAsia="仿宋" w:cs="仿宋"/>
          <w:b/>
          <w:bCs/>
          <w:kern w:val="0"/>
          <w:sz w:val="32"/>
          <w:szCs w:val="32"/>
          <w:lang w:val="en-US" w:eastAsia="zh-CN"/>
        </w:rPr>
        <w:t>六是</w:t>
      </w:r>
      <w:r>
        <w:rPr>
          <w:rFonts w:hint="eastAsia" w:ascii="仿宋" w:hAnsi="仿宋" w:eastAsia="仿宋" w:cs="仿宋"/>
          <w:b w:val="0"/>
          <w:bCs w:val="0"/>
          <w:kern w:val="0"/>
          <w:sz w:val="32"/>
          <w:szCs w:val="32"/>
          <w:lang w:val="en-US" w:eastAsia="zh-CN"/>
        </w:rPr>
        <w:t>加强“校校合作”“校企合作”。4月份分别与辽宁轨道交通职业学院、锦州师范高等专科学校、辽宁省交通高等专科学校签订了合作协议。与北京点为信息科技有限公司（沈阳分公司）签订了校企合作协议，该公司将每年援助20万元，为塔城地区乌苏职业技术学校免费提供师资培训、实训教学模拟软件应用和校园信息化建设等方面的支持。</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29" w:name="_Toc8787"/>
      <w:bookmarkStart w:id="230" w:name="_Toc3352"/>
      <w:bookmarkStart w:id="231" w:name="_Toc26904"/>
      <w:r>
        <w:rPr>
          <w:rFonts w:hint="eastAsia" w:eastAsia="楷体_GB2312" w:asciiTheme="majorHAnsi" w:hAnsiTheme="majorHAnsi" w:cstheme="majorBidi"/>
          <w:b/>
          <w:bCs/>
          <w:kern w:val="2"/>
          <w:sz w:val="32"/>
          <w:szCs w:val="32"/>
          <w:lang w:val="en-US" w:eastAsia="zh-CN" w:bidi="ar-SA"/>
        </w:rPr>
        <w:t>7.4质量保证体系建设</w:t>
      </w:r>
      <w:bookmarkEnd w:id="229"/>
      <w:bookmarkEnd w:id="230"/>
      <w:bookmarkEnd w:id="231"/>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学校认真贯彻教育部等九</w:t>
      </w:r>
      <w:r>
        <w:rPr>
          <w:rFonts w:hint="eastAsia" w:ascii="仿宋_GB2312" w:hAnsi="Calibri" w:eastAsia="仿宋_GB2312" w:cs="Times New Roman"/>
          <w:color w:val="auto"/>
          <w:sz w:val="32"/>
          <w:szCs w:val="32"/>
          <w:highlight w:val="none"/>
          <w:u w:val="none"/>
          <w:lang w:val="en-US" w:eastAsia="zh-CN"/>
        </w:rPr>
        <w:t>部门印发《职业教育提质培优行动计划（2020—2023年）的通知》提出的“完善多元</w:t>
      </w:r>
      <w:r>
        <w:rPr>
          <w:rFonts w:hint="eastAsia" w:ascii="仿宋_GB2312" w:hAnsi="Calibri" w:eastAsia="仿宋_GB2312" w:cs="Times New Roman"/>
          <w:color w:val="auto"/>
          <w:sz w:val="32"/>
          <w:szCs w:val="32"/>
          <w:highlight w:val="none"/>
          <w:lang w:val="en-US" w:eastAsia="zh-CN"/>
        </w:rPr>
        <w:t>共治的质量保证机制，推进职业教育高质量发展”“完善以章程为核心的校内规则制度体系，健全职业学校内部治理结构，深入推进职业学校教学工作诊断与改进制度建设，切实发挥学校质量保证主体作用。”的精神和要求，不断加强质量保证体系建设。</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lang w:val="en-US" w:eastAsia="zh-CN"/>
        </w:rPr>
        <w:t>推进现代学校制度建设</w:t>
      </w:r>
      <w:r>
        <w:rPr>
          <w:rFonts w:hint="eastAsia" w:ascii="仿宋_GB2312" w:eastAsia="仿宋_GB2312" w:cs="Times New Roman"/>
          <w:color w:val="auto"/>
          <w:sz w:val="32"/>
          <w:szCs w:val="32"/>
          <w:highlight w:val="none"/>
          <w:lang w:val="en-US" w:eastAsia="zh-CN"/>
        </w:rPr>
        <w:t>。</w:t>
      </w:r>
      <w:r>
        <w:rPr>
          <w:rFonts w:hint="eastAsia" w:ascii="仿宋_GB2312" w:hAnsi="Calibri" w:eastAsia="仿宋_GB2312" w:cs="Times New Roman"/>
          <w:color w:val="auto"/>
          <w:sz w:val="32"/>
          <w:szCs w:val="32"/>
          <w:highlight w:val="none"/>
          <w:lang w:val="en-US" w:eastAsia="zh-CN"/>
        </w:rPr>
        <w:t>构建体现企业育人主体地位的多元治理结构，将治理机制建设作为质量保证体系建设的根本抓手</w:t>
      </w:r>
      <w:r>
        <w:rPr>
          <w:rFonts w:hint="eastAsia" w:ascii="仿宋_GB2312" w:eastAsia="仿宋_GB2312" w:cs="Times New Roman"/>
          <w:color w:val="auto"/>
          <w:sz w:val="32"/>
          <w:szCs w:val="32"/>
          <w:highlight w:val="none"/>
          <w:lang w:val="en-US" w:eastAsia="zh-CN"/>
        </w:rPr>
        <w:t>。转变</w:t>
      </w:r>
      <w:r>
        <w:rPr>
          <w:rFonts w:hint="eastAsia" w:ascii="仿宋_GB2312" w:hAnsi="Calibri" w:eastAsia="仿宋_GB2312" w:cs="Times New Roman"/>
          <w:color w:val="auto"/>
          <w:sz w:val="32"/>
          <w:szCs w:val="32"/>
          <w:highlight w:val="none"/>
          <w:lang w:val="en-US" w:eastAsia="zh-CN"/>
        </w:rPr>
        <w:t>学校传统的管理方式，以立德树人为根本，以建立“三全”育人格局为目标，树立现代学校治理理念，构建系统的学校治理体系，建立新型中等职业</w:t>
      </w:r>
      <w:r>
        <w:rPr>
          <w:rFonts w:hint="eastAsia" w:ascii="仿宋_GB2312" w:eastAsia="仿宋_GB2312" w:cs="Times New Roman"/>
          <w:color w:val="auto"/>
          <w:sz w:val="32"/>
          <w:szCs w:val="32"/>
          <w:highlight w:val="none"/>
          <w:lang w:val="en-US" w:eastAsia="zh-CN"/>
        </w:rPr>
        <w:t>学校</w:t>
      </w:r>
      <w:r>
        <w:rPr>
          <w:rFonts w:hint="eastAsia" w:ascii="仿宋_GB2312" w:hAnsi="Calibri" w:eastAsia="仿宋_GB2312" w:cs="Times New Roman"/>
          <w:color w:val="auto"/>
          <w:sz w:val="32"/>
          <w:szCs w:val="32"/>
          <w:highlight w:val="none"/>
          <w:lang w:val="en-US" w:eastAsia="zh-CN"/>
        </w:rPr>
        <w:t>制度，优化制度体系与管理流程，系统提高管理水平。</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lang w:val="en-US" w:eastAsia="zh-CN"/>
        </w:rPr>
        <w:t>建立健全“携手捆绑式”管理的质量保障体系全校上下以学风建设为抓手，教务科、学生科联合行动、捆绑评价，以保障和提高教学质量为目标，运用系统方法，依靠必要的组织结构，统筹考虑影响教学质量的各主要因素，结合教学诊断与改进、质量年报等职业学校自主保证人才培养质量的工作，统筹管理学校各环节的教学质量管理活动，形成任务、职责、权限明确，相互协调、相互促进的质量管理有机整体。完善教学管理机制，加强日常教学组织运行与管理，建立健全巡课、听课、评教、评学等制度，建立与行业企业联动的实践教学环节督导制度，严明教学纪律，强化教学组织功能。定期开展公开课、示范课等教研活动。健全并完善专业教学诊改、评价与激励机制成立专业质量保证小组，成员包括专业群带头人、专业负责人、骨干教师、行业企业专家、校外专家等。建立基于人才培养工作状态数据分析的专业质量监控与反馈机制，专业教学团队要及时开展专业调研，结合产业发展需求，了解相关职业岗位对专业人才培养的要求，联合行业企业积极参与教学的组织和实施，要加强课堂教学、实习实训、毕业设计等方面的质量标准建设，重视师资培养，提升教师教学能力。学校坚持以问题为导向和以目标为导向，加强教学反思，以诊断促发展，从诊断提质量，不断推进学校内涵建设。通过教学诊断与改进，积极探索新时代教育教学方法，不断提升教书育人本领，为建成高水平中职学校奠定坚实基础。</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rPr>
        <w:t>强化</w:t>
      </w:r>
      <w:r>
        <w:rPr>
          <w:rFonts w:hint="eastAsia" w:ascii="仿宋_GB2312" w:eastAsia="仿宋_GB2312" w:cs="Times New Roman"/>
          <w:color w:val="auto"/>
          <w:sz w:val="32"/>
          <w:szCs w:val="32"/>
          <w:highlight w:val="none"/>
          <w:lang w:val="en-US" w:eastAsia="zh-CN"/>
        </w:rPr>
        <w:t>职责</w:t>
      </w:r>
      <w:r>
        <w:rPr>
          <w:rFonts w:hint="eastAsia" w:ascii="仿宋_GB2312" w:hAnsi="Calibri" w:eastAsia="仿宋_GB2312" w:cs="Times New Roman"/>
          <w:color w:val="auto"/>
          <w:sz w:val="32"/>
          <w:szCs w:val="32"/>
          <w:highlight w:val="none"/>
        </w:rPr>
        <w:t>，明确</w:t>
      </w:r>
      <w:r>
        <w:rPr>
          <w:rFonts w:hint="eastAsia" w:ascii="仿宋_GB2312" w:eastAsia="仿宋_GB2312" w:cs="Times New Roman"/>
          <w:color w:val="auto"/>
          <w:sz w:val="32"/>
          <w:szCs w:val="32"/>
          <w:highlight w:val="none"/>
          <w:lang w:val="en-US" w:eastAsia="zh-CN"/>
        </w:rPr>
        <w:t>任务</w:t>
      </w:r>
      <w:r>
        <w:rPr>
          <w:rFonts w:hint="eastAsia" w:ascii="仿宋_GB2312" w:hAnsi="Calibri" w:eastAsia="仿宋_GB2312" w:cs="Times New Roman"/>
          <w:color w:val="auto"/>
          <w:sz w:val="32"/>
          <w:szCs w:val="32"/>
          <w:highlight w:val="none"/>
        </w:rPr>
        <w:t>。为了使教学诊断与改进工作做到全员参与、全面覆盖、全面诊断，学校专门成立教学诊断与改进工作领导小组，从调查研究、制定方案、实施诊改、总结规律、建章立制等方面总体负责；根据指标体系明确到科室，做到人人有任务、人人有职责。</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rPr>
        <w:t>全员培训，提高认识。为有序推进</w:t>
      </w:r>
      <w:r>
        <w:rPr>
          <w:rFonts w:hint="eastAsia" w:ascii="仿宋_GB2312" w:eastAsia="仿宋_GB2312" w:cs="Times New Roman"/>
          <w:color w:val="auto"/>
          <w:sz w:val="32"/>
          <w:szCs w:val="32"/>
          <w:highlight w:val="none"/>
          <w:lang w:val="en-US" w:eastAsia="zh-CN"/>
        </w:rPr>
        <w:t>学</w:t>
      </w:r>
      <w:r>
        <w:rPr>
          <w:rFonts w:hint="eastAsia" w:ascii="仿宋_GB2312" w:hAnsi="Calibri" w:eastAsia="仿宋_GB2312" w:cs="Times New Roman"/>
          <w:color w:val="auto"/>
          <w:sz w:val="32"/>
          <w:szCs w:val="32"/>
          <w:highlight w:val="none"/>
        </w:rPr>
        <w:t>校教育教学诊改工作，从教学诊改工作的实施意义、到每个诊断点的内容，从职业教育政策要求，到课程标准和指标体系，都进行了系统的、全面的培训和解读，使全体教职工进一步明确了教学工作诊改是学校发展的需要。</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rPr>
      </w:pPr>
      <w:r>
        <w:rPr>
          <w:rFonts w:hint="eastAsia" w:ascii="仿宋_GB2312" w:hAnsi="Calibri" w:eastAsia="仿宋_GB2312" w:cs="Times New Roman"/>
          <w:color w:val="auto"/>
          <w:sz w:val="32"/>
          <w:szCs w:val="32"/>
          <w:highlight w:val="none"/>
        </w:rPr>
        <w:t>制定方案，把握环节。学校在摸清底数、充分调研的基础上，对照所有诊断点的标准，结合本校实际，制定</w:t>
      </w:r>
      <w:r>
        <w:rPr>
          <w:rFonts w:hint="eastAsia" w:ascii="仿宋_GB2312" w:eastAsia="仿宋_GB2312" w:cs="Times New Roman"/>
          <w:color w:val="auto"/>
          <w:sz w:val="32"/>
          <w:szCs w:val="32"/>
          <w:highlight w:val="none"/>
          <w:lang w:val="en-US" w:eastAsia="zh-CN"/>
        </w:rPr>
        <w:t>了</w:t>
      </w:r>
      <w:r>
        <w:rPr>
          <w:rFonts w:hint="eastAsia" w:ascii="仿宋_GB2312" w:hAnsi="Calibri" w:eastAsia="仿宋_GB2312" w:cs="Times New Roman"/>
          <w:color w:val="auto"/>
          <w:sz w:val="32"/>
          <w:szCs w:val="32"/>
          <w:highlight w:val="none"/>
        </w:rPr>
        <w:t>教学工作诊断与改进工作实施方案。明确了诊改工作的指导思想、工作原则、总体目标、具体任务、实施步骤、时间进度和措施保障。严格落实“四个必究”的工作运行机制：对诊断工作思想认识不提高的科室必究，工作开展不力的必究，执行力不强的必究，问题整改不及时的必究，突出诊断工作的时效性、针对性和权威性，促进“督</w:t>
      </w:r>
      <w:r>
        <w:rPr>
          <w:rFonts w:hint="eastAsia" w:ascii="仿宋_GB2312" w:hAnsi="Calibri" w:eastAsia="仿宋_GB2312" w:cs="Times New Roman"/>
          <w:color w:val="auto"/>
          <w:sz w:val="32"/>
          <w:szCs w:val="32"/>
          <w:highlight w:val="none"/>
          <w:lang w:eastAsia="zh-CN"/>
        </w:rPr>
        <w:t>－</w:t>
      </w:r>
      <w:r>
        <w:rPr>
          <w:rFonts w:hint="eastAsia" w:ascii="仿宋_GB2312" w:hAnsi="Calibri" w:eastAsia="仿宋_GB2312" w:cs="Times New Roman"/>
          <w:color w:val="auto"/>
          <w:sz w:val="32"/>
          <w:szCs w:val="32"/>
          <w:highlight w:val="none"/>
        </w:rPr>
        <w:t>导</w:t>
      </w:r>
      <w:r>
        <w:rPr>
          <w:rFonts w:hint="eastAsia" w:ascii="仿宋_GB2312" w:hAnsi="Calibri" w:eastAsia="仿宋_GB2312" w:cs="Times New Roman"/>
          <w:color w:val="auto"/>
          <w:sz w:val="32"/>
          <w:szCs w:val="32"/>
          <w:highlight w:val="none"/>
          <w:lang w:eastAsia="zh-CN"/>
        </w:rPr>
        <w:t>－</w:t>
      </w:r>
      <w:r>
        <w:rPr>
          <w:rFonts w:hint="eastAsia" w:ascii="仿宋_GB2312" w:hAnsi="Calibri" w:eastAsia="仿宋_GB2312" w:cs="Times New Roman"/>
          <w:color w:val="auto"/>
          <w:sz w:val="32"/>
          <w:szCs w:val="32"/>
          <w:highlight w:val="none"/>
        </w:rPr>
        <w:t>改”的工作机制顺利实施。经常召开教学工作诊断与改进推进会、分析研判会，对每个环节进行研究和部署，并对照标准，做到直面问题，确定整改措施和完成时限。落实以科室为主体的监督检查机制，保证诊改工作常态化。</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rPr>
      </w:pPr>
      <w:r>
        <w:rPr>
          <w:rFonts w:hint="eastAsia" w:ascii="仿宋_GB2312" w:hAnsi="Calibri" w:eastAsia="仿宋_GB2312" w:cs="Times New Roman"/>
          <w:color w:val="auto"/>
          <w:sz w:val="32"/>
          <w:szCs w:val="32"/>
          <w:highlight w:val="none"/>
        </w:rPr>
        <w:t>多元诊断，准确把脉。为全面落实“教学工作诊断与改进”工作目标，通过听汇报、查阅资料、召开座谈会、推门听课、现场实地查看等形式，按照指标体系逐个把脉诊断，找问题，提建议，涉及学校、专业、课程、教师、学生五个层面问题。归纳梳理：</w:t>
      </w:r>
      <w:r>
        <w:rPr>
          <w:rFonts w:hint="eastAsia" w:ascii="仿宋_GB2312" w:hAnsi="Calibri" w:eastAsia="仿宋_GB2312" w:cs="Times New Roman"/>
          <w:b/>
          <w:bCs/>
          <w:color w:val="auto"/>
          <w:sz w:val="32"/>
          <w:szCs w:val="32"/>
          <w:highlight w:val="none"/>
        </w:rPr>
        <w:t>一是</w:t>
      </w:r>
      <w:r>
        <w:rPr>
          <w:rFonts w:hint="eastAsia" w:ascii="仿宋_GB2312" w:hAnsi="Calibri" w:eastAsia="仿宋_GB2312" w:cs="Times New Roman"/>
          <w:color w:val="auto"/>
          <w:sz w:val="32"/>
          <w:szCs w:val="32"/>
          <w:highlight w:val="none"/>
        </w:rPr>
        <w:t>普通话取证</w:t>
      </w:r>
      <w:r>
        <w:rPr>
          <w:rFonts w:hint="eastAsia" w:ascii="仿宋_GB2312" w:hAnsi="Calibri" w:eastAsia="仿宋_GB2312" w:cs="Times New Roman"/>
          <w:color w:val="auto"/>
          <w:sz w:val="32"/>
          <w:szCs w:val="32"/>
          <w:highlight w:val="none"/>
          <w:lang w:val="en-US" w:eastAsia="zh-CN"/>
        </w:rPr>
        <w:t>过关</w:t>
      </w:r>
      <w:r>
        <w:rPr>
          <w:rFonts w:hint="eastAsia" w:ascii="仿宋_GB2312" w:hAnsi="Calibri" w:eastAsia="仿宋_GB2312" w:cs="Times New Roman"/>
          <w:color w:val="auto"/>
          <w:sz w:val="32"/>
          <w:szCs w:val="32"/>
          <w:highlight w:val="none"/>
        </w:rPr>
        <w:t>率较2023年下降了</w:t>
      </w:r>
      <w:r>
        <w:rPr>
          <w:rFonts w:hint="eastAsia" w:ascii="仿宋_GB2312" w:hAnsi="Calibri" w:eastAsia="仿宋_GB2312" w:cs="Times New Roman"/>
          <w:color w:val="auto"/>
          <w:sz w:val="32"/>
          <w:szCs w:val="32"/>
          <w:highlight w:val="none"/>
          <w:lang w:val="en-US" w:eastAsia="zh-CN"/>
        </w:rPr>
        <w:t>12.21</w:t>
      </w:r>
      <w:r>
        <w:rPr>
          <w:rFonts w:hint="eastAsia" w:ascii="仿宋_GB2312" w:hAnsi="Calibri" w:eastAsia="仿宋_GB2312" w:cs="Times New Roman"/>
          <w:color w:val="auto"/>
          <w:sz w:val="32"/>
          <w:szCs w:val="32"/>
          <w:highlight w:val="none"/>
        </w:rPr>
        <w:t>%。</w:t>
      </w:r>
      <w:r>
        <w:rPr>
          <w:rFonts w:hint="eastAsia" w:ascii="仿宋_GB2312" w:hAnsi="Calibri" w:eastAsia="仿宋_GB2312" w:cs="Times New Roman"/>
          <w:b/>
          <w:bCs/>
          <w:color w:val="auto"/>
          <w:sz w:val="32"/>
          <w:szCs w:val="32"/>
          <w:highlight w:val="none"/>
          <w:lang w:val="en-US" w:eastAsia="zh-CN"/>
        </w:rPr>
        <w:t>二是</w:t>
      </w:r>
      <w:r>
        <w:rPr>
          <w:rFonts w:hint="eastAsia" w:ascii="仿宋_GB2312" w:hAnsi="Calibri" w:eastAsia="仿宋_GB2312" w:cs="Times New Roman"/>
          <w:color w:val="auto"/>
          <w:sz w:val="32"/>
          <w:szCs w:val="32"/>
          <w:highlight w:val="none"/>
        </w:rPr>
        <w:t>数控专业、焊接专业招生人数均低于20人</w:t>
      </w:r>
      <w:r>
        <w:rPr>
          <w:rFonts w:hint="eastAsia" w:ascii="仿宋_GB2312" w:hAnsi="Calibri" w:eastAsia="仿宋_GB2312" w:cs="Times New Roman"/>
          <w:color w:val="auto"/>
          <w:sz w:val="32"/>
          <w:szCs w:val="32"/>
          <w:highlight w:val="none"/>
          <w:lang w:eastAsia="zh-CN"/>
        </w:rPr>
        <w:t>。</w:t>
      </w:r>
      <w:r>
        <w:rPr>
          <w:rFonts w:hint="eastAsia" w:ascii="仿宋_GB2312" w:hAnsi="Calibri" w:eastAsia="仿宋_GB2312" w:cs="Times New Roman"/>
          <w:b/>
          <w:bCs/>
          <w:color w:val="auto"/>
          <w:sz w:val="32"/>
          <w:szCs w:val="32"/>
          <w:highlight w:val="none"/>
          <w:lang w:val="en-US" w:eastAsia="zh-CN"/>
        </w:rPr>
        <w:t>三是</w:t>
      </w:r>
      <w:r>
        <w:rPr>
          <w:rFonts w:hint="eastAsia" w:ascii="仿宋_GB2312" w:hAnsi="Calibri" w:eastAsia="仿宋_GB2312" w:cs="Times New Roman"/>
          <w:color w:val="auto"/>
          <w:sz w:val="32"/>
          <w:szCs w:val="32"/>
          <w:highlight w:val="none"/>
        </w:rPr>
        <w:t>师生比从2023年的1:</w:t>
      </w:r>
      <w:r>
        <w:rPr>
          <w:rFonts w:hint="eastAsia" w:ascii="仿宋_GB2312" w:hAnsi="Calibri" w:eastAsia="仿宋_GB2312" w:cs="Times New Roman"/>
          <w:color w:val="auto"/>
          <w:sz w:val="32"/>
          <w:szCs w:val="32"/>
          <w:highlight w:val="none"/>
          <w:lang w:val="en-US" w:eastAsia="zh-CN"/>
        </w:rPr>
        <w:t>20.23</w:t>
      </w:r>
      <w:r>
        <w:rPr>
          <w:rFonts w:hint="eastAsia" w:ascii="仿宋_GB2312" w:hAnsi="Calibri" w:eastAsia="仿宋_GB2312" w:cs="Times New Roman"/>
          <w:color w:val="auto"/>
          <w:sz w:val="32"/>
          <w:szCs w:val="32"/>
          <w:highlight w:val="none"/>
        </w:rPr>
        <w:t>，下降至1:</w:t>
      </w:r>
      <w:r>
        <w:rPr>
          <w:rFonts w:hint="eastAsia" w:ascii="仿宋_GB2312" w:hAnsi="Calibri" w:eastAsia="仿宋_GB2312" w:cs="Times New Roman"/>
          <w:color w:val="auto"/>
          <w:sz w:val="32"/>
          <w:szCs w:val="32"/>
          <w:highlight w:val="none"/>
          <w:lang w:val="en-US" w:eastAsia="zh-CN"/>
        </w:rPr>
        <w:t>20.9</w:t>
      </w:r>
      <w:r>
        <w:rPr>
          <w:rFonts w:hint="eastAsia" w:ascii="仿宋_GB2312" w:hAnsi="Calibri" w:eastAsia="仿宋_GB2312" w:cs="Times New Roman"/>
          <w:color w:val="auto"/>
          <w:sz w:val="32"/>
          <w:szCs w:val="32"/>
          <w:highlight w:val="none"/>
        </w:rPr>
        <w:t>。</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32" w:name="_Toc6068"/>
      <w:bookmarkStart w:id="233" w:name="_Toc9172"/>
      <w:bookmarkStart w:id="234" w:name="_Toc1452"/>
      <w:r>
        <w:rPr>
          <w:rFonts w:hint="eastAsia" w:eastAsia="楷体_GB2312" w:asciiTheme="majorHAnsi" w:hAnsiTheme="majorHAnsi" w:cstheme="majorBidi"/>
          <w:b/>
          <w:bCs/>
          <w:kern w:val="2"/>
          <w:sz w:val="32"/>
          <w:szCs w:val="32"/>
          <w:lang w:val="en-US" w:eastAsia="zh-CN" w:bidi="ar-SA"/>
        </w:rPr>
        <w:t>7.5经费投入</w:t>
      </w:r>
      <w:bookmarkEnd w:id="232"/>
      <w:bookmarkEnd w:id="233"/>
      <w:bookmarkEnd w:id="234"/>
    </w:p>
    <w:p>
      <w:pPr>
        <w:pStyle w:val="4"/>
        <w:pageBreakBefore w:val="0"/>
        <w:kinsoku/>
        <w:wordWrap/>
        <w:overflowPunct/>
        <w:topLinePunct w:val="0"/>
        <w:bidi w:val="0"/>
        <w:spacing w:beforeAutospacing="0" w:afterAutospacing="0" w:line="560" w:lineRule="exact"/>
        <w:ind w:firstLine="640" w:firstLineChars="200"/>
        <w:outlineLvl w:val="9"/>
        <w:rPr>
          <w:rFonts w:hint="eastAsia" w:ascii="仿宋_GB2312" w:hAnsi="Calibri" w:eastAsia="仿宋_GB2312" w:cs="Times New Roman"/>
          <w:sz w:val="32"/>
          <w:szCs w:val="32"/>
        </w:rPr>
      </w:pPr>
      <w:bookmarkStart w:id="235" w:name="_Toc28903"/>
      <w:bookmarkStart w:id="236" w:name="_Toc23982"/>
      <w:bookmarkStart w:id="237" w:name="_Toc28137"/>
      <w:r>
        <w:rPr>
          <w:rFonts w:hint="eastAsia" w:ascii="仿宋_GB2312" w:hAnsi="Calibri" w:eastAsia="仿宋_GB2312" w:cs="Times New Roman"/>
          <w:sz w:val="32"/>
          <w:szCs w:val="32"/>
        </w:rPr>
        <w:t>2024年各级财政对学校经费投入共计3020.29万元：其中教育费附加0万元，非税收入专户管理资金12.18万元，各级各类专项资金1798.6万元，生均拨款按照2000元/生/年标准拨款，2024年生均经费拨款228.24万元，较2023年生均经费拨款198.2万元相比，增长30.04万元，同比增长15%。</w:t>
      </w:r>
      <w:bookmarkEnd w:id="235"/>
    </w:p>
    <w:p>
      <w:pPr>
        <w:pStyle w:val="4"/>
        <w:pageBreakBefore w:val="0"/>
        <w:kinsoku/>
        <w:wordWrap/>
        <w:overflowPunct/>
        <w:topLinePunct w:val="0"/>
        <w:bidi w:val="0"/>
        <w:spacing w:beforeAutospacing="0" w:afterAutospacing="0" w:line="560" w:lineRule="exact"/>
        <w:ind w:firstLine="640"/>
        <w:rPr>
          <w:rFonts w:hint="eastAsia"/>
        </w:rPr>
      </w:pPr>
      <w:bookmarkStart w:id="238" w:name="_Toc29568"/>
      <w:bookmarkStart w:id="239" w:name="_Toc16452"/>
      <w:r>
        <w:rPr>
          <w:rFonts w:hint="eastAsia"/>
        </w:rPr>
        <w:t>8.特色发展质量</w:t>
      </w:r>
      <w:bookmarkEnd w:id="236"/>
      <w:bookmarkEnd w:id="237"/>
      <w:bookmarkEnd w:id="238"/>
      <w:bookmarkEnd w:id="239"/>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40" w:name="_Toc15821"/>
      <w:bookmarkStart w:id="241" w:name="_Toc13214"/>
      <w:bookmarkStart w:id="242" w:name="_Toc5446"/>
      <w:r>
        <w:rPr>
          <w:rFonts w:hint="eastAsia" w:eastAsia="楷体_GB2312" w:asciiTheme="majorHAnsi" w:hAnsiTheme="majorHAnsi" w:cstheme="majorBidi"/>
          <w:b/>
          <w:bCs/>
          <w:kern w:val="2"/>
          <w:sz w:val="32"/>
          <w:szCs w:val="32"/>
          <w:lang w:val="en-US" w:eastAsia="zh-CN" w:bidi="ar-SA"/>
        </w:rPr>
        <w:t>8.1对口支援</w:t>
      </w:r>
      <w:bookmarkEnd w:id="240"/>
      <w:bookmarkEnd w:id="241"/>
      <w:bookmarkEnd w:id="242"/>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default" w:ascii="仿宋_GB2312" w:hAnsi="Calibri" w:eastAsia="仿宋_GB2312" w:cs="Times New Roman"/>
          <w:color w:val="auto"/>
          <w:sz w:val="32"/>
          <w:szCs w:val="32"/>
          <w:highlight w:val="none"/>
          <w:lang w:val="en-US"/>
        </w:rPr>
      </w:pPr>
      <w:r>
        <w:rPr>
          <w:rFonts w:hint="eastAsia" w:ascii="仿宋_GB2312" w:hAnsi="Calibri" w:eastAsia="仿宋_GB2312" w:cs="Times New Roman"/>
          <w:color w:val="auto"/>
          <w:sz w:val="32"/>
          <w:szCs w:val="32"/>
          <w:highlight w:val="none"/>
          <w:lang w:val="en-US" w:eastAsia="zh-CN"/>
        </w:rPr>
        <w:t>2024年学校根据实际需求，报地区教育工委同意，将对口支援学校辽宁营口学校改为辽宁轨道交通职业技术学院。2024年7月，学校选派1名教师（韩金祥）和6名机电技术应用、焊接技术应用、数控技术应用的学生参加了辽宁轨道交通职业技术学院举办的技能大赛赛前培训。2024年全年选派了60余名教师赴辽宁轨道交通职业技术学院开展教育教学交流学习。</w:t>
      </w:r>
    </w:p>
    <w:p>
      <w:pPr>
        <w:pageBreakBefore w:val="0"/>
        <w:kinsoku/>
        <w:wordWrap/>
        <w:overflowPunct/>
        <w:topLinePunct w:val="0"/>
        <w:bidi w:val="0"/>
        <w:snapToGrid w:val="0"/>
        <w:spacing w:beforeAutospacing="0" w:afterAutospacing="0" w:line="560" w:lineRule="exact"/>
        <w:ind w:firstLine="643" w:firstLineChars="200"/>
        <w:outlineLvl w:val="1"/>
        <w:rPr>
          <w:rFonts w:hint="eastAsia" w:eastAsia="楷体_GB2312" w:asciiTheme="majorHAnsi" w:hAnsiTheme="majorHAnsi" w:cstheme="majorBidi"/>
          <w:b/>
          <w:bCs/>
          <w:kern w:val="2"/>
          <w:sz w:val="32"/>
          <w:szCs w:val="32"/>
          <w:lang w:val="en-US" w:eastAsia="zh-CN" w:bidi="ar-SA"/>
        </w:rPr>
      </w:pPr>
      <w:bookmarkStart w:id="243" w:name="_Toc32302"/>
      <w:bookmarkStart w:id="244" w:name="_Toc4085"/>
      <w:bookmarkStart w:id="245" w:name="_Toc27537"/>
      <w:r>
        <w:rPr>
          <w:rFonts w:hint="eastAsia" w:eastAsia="楷体_GB2312" w:asciiTheme="majorHAnsi" w:hAnsiTheme="majorHAnsi" w:cstheme="majorBidi"/>
          <w:b/>
          <w:bCs/>
          <w:kern w:val="2"/>
          <w:sz w:val="32"/>
          <w:szCs w:val="32"/>
          <w:lang w:val="en-US" w:eastAsia="zh-CN" w:bidi="ar-SA"/>
        </w:rPr>
        <w:t>8.2兵地融合</w:t>
      </w:r>
      <w:bookmarkEnd w:id="243"/>
      <w:bookmarkEnd w:id="244"/>
      <w:bookmarkEnd w:id="245"/>
    </w:p>
    <w:p>
      <w:pPr>
        <w:pageBreakBefore w:val="0"/>
        <w:kinsoku/>
        <w:wordWrap/>
        <w:overflowPunct/>
        <w:topLinePunct w:val="0"/>
        <w:bidi w:val="0"/>
        <w:snapToGrid w:val="0"/>
        <w:spacing w:beforeAutospacing="0" w:afterAutospacing="0"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lang w:val="en-US" w:eastAsia="zh-CN"/>
        </w:rPr>
        <w:t>2024年学校与第七师胡杨河市职业技术学校开展兵地交流。</w:t>
      </w:r>
      <w:r>
        <w:rPr>
          <w:rFonts w:hint="eastAsia" w:ascii="仿宋_GB2312" w:hAnsi="Calibri" w:eastAsia="仿宋_GB2312" w:cs="Times New Roman"/>
          <w:sz w:val="32"/>
          <w:szCs w:val="32"/>
        </w:rPr>
        <w:t>包括兵地职业教育在技能大赛、师资培训、科研交流融合推进情况等。</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bCs w:val="0"/>
          <w:color w:val="auto"/>
          <w:kern w:val="2"/>
          <w:sz w:val="32"/>
          <w:szCs w:val="32"/>
          <w:highlight w:val="none"/>
          <w:lang w:val="en-US" w:eastAsia="zh-CN" w:bidi="ar-SA"/>
        </w:rPr>
      </w:pPr>
      <w:r>
        <w:rPr>
          <w:rFonts w:hint="eastAsia" w:ascii="仿宋_GB2312" w:hAnsi="Calibri" w:eastAsia="仿宋_GB2312" w:cs="Times New Roman"/>
          <w:bCs w:val="0"/>
          <w:color w:val="auto"/>
          <w:kern w:val="2"/>
          <w:sz w:val="32"/>
          <w:szCs w:val="32"/>
          <w:highlight w:val="none"/>
          <w:lang w:val="en-US" w:eastAsia="zh-CN" w:bidi="ar-SA"/>
        </w:rPr>
        <w:t>深化兵地交往交流交融。</w:t>
      </w:r>
      <w:r>
        <w:rPr>
          <w:rFonts w:hint="eastAsia" w:ascii="仿宋_GB2312" w:hAnsi="Calibri" w:eastAsia="仿宋_GB2312" w:cs="Times New Roman"/>
          <w:b/>
          <w:bCs/>
          <w:color w:val="auto"/>
          <w:kern w:val="2"/>
          <w:sz w:val="32"/>
          <w:szCs w:val="32"/>
          <w:highlight w:val="none"/>
          <w:lang w:val="en-US" w:eastAsia="zh-CN" w:bidi="ar-SA"/>
        </w:rPr>
        <w:t>一是</w:t>
      </w:r>
      <w:r>
        <w:rPr>
          <w:rFonts w:hint="eastAsia" w:ascii="仿宋_GB2312" w:hAnsi="Calibri" w:eastAsia="仿宋_GB2312" w:cs="Times New Roman"/>
          <w:bCs w:val="0"/>
          <w:color w:val="auto"/>
          <w:kern w:val="2"/>
          <w:sz w:val="32"/>
          <w:szCs w:val="32"/>
          <w:highlight w:val="none"/>
          <w:lang w:val="en-US" w:eastAsia="zh-CN" w:bidi="ar-SA"/>
        </w:rPr>
        <w:t>开展兵地学校技能大赛交流活动。以深入推进“大国工匠”工程为契机，2024年5月，第七师胡杨河职业技术学校举办了兵团技能大赛，塔城地区乌苏职业技术学校7人赴第七师胡杨河职业技术学校进行技能大赛交流学习。2024年6月27日，塔城地区乌苏职业技术学校根据第七师胡杨河职业技术学校举办兵团技能大赛的经验，举办了塔城地区第三届职业技能大赛，重点推进技能成才，技能报国。</w:t>
      </w:r>
      <w:r>
        <w:rPr>
          <w:rFonts w:hint="eastAsia" w:ascii="仿宋_GB2312" w:hAnsi="Calibri" w:eastAsia="仿宋_GB2312" w:cs="Times New Roman"/>
          <w:b/>
          <w:bCs/>
          <w:color w:val="auto"/>
          <w:kern w:val="2"/>
          <w:sz w:val="32"/>
          <w:szCs w:val="32"/>
          <w:highlight w:val="none"/>
          <w:lang w:val="en-US" w:eastAsia="zh-CN" w:bidi="ar-SA"/>
        </w:rPr>
        <w:t>二是</w:t>
      </w:r>
      <w:r>
        <w:rPr>
          <w:rFonts w:hint="eastAsia" w:ascii="仿宋_GB2312" w:hAnsi="Calibri" w:eastAsia="仿宋_GB2312" w:cs="Times New Roman"/>
          <w:bCs w:val="0"/>
          <w:color w:val="auto"/>
          <w:kern w:val="2"/>
          <w:sz w:val="32"/>
          <w:szCs w:val="32"/>
          <w:highlight w:val="none"/>
          <w:lang w:val="en-US" w:eastAsia="zh-CN" w:bidi="ar-SA"/>
        </w:rPr>
        <w:t>实施双向参观研学活动。2024年11月28日下午，学校以观摩形式赴第七师胡杨河职业技术学校组织兵地教师开展各类参观体验、学习交流等活动。2024年学校选派了6名教师前往胡杨河开展“研学”活动，通过看产学研基地、实训室、食堂、图书室、武术训练基地、心理健康和教育中心、铸牢中华民族共同体意识教育实践基地等，观看变化、真体验、实地交流教育教学管理经验，如图二十一。</w:t>
      </w:r>
    </w:p>
    <w:p>
      <w:pPr>
        <w:pStyle w:val="2"/>
        <w:pageBreakBefore w:val="0"/>
        <w:kinsoku/>
        <w:wordWrap/>
        <w:overflowPunct/>
        <w:topLinePunct w:val="0"/>
        <w:bidi w:val="0"/>
        <w:spacing w:beforeAutospacing="0" w:after="0" w:afterAutospacing="0" w:line="560" w:lineRule="exact"/>
        <w:rPr>
          <w:rFonts w:hint="eastAsia"/>
        </w:rPr>
      </w:pPr>
      <w:r>
        <w:rPr>
          <w:rFonts w:hint="eastAsia" w:ascii="微软雅黑" w:hAnsi="微软雅黑" w:eastAsia="微软雅黑" w:cs="微软雅黑"/>
          <w:sz w:val="30"/>
          <w:szCs w:val="30"/>
          <w:lang w:eastAsia="zh-CN"/>
        </w:rPr>
        <w:drawing>
          <wp:anchor distT="0" distB="0" distL="114300" distR="114300" simplePos="0" relativeHeight="251696128" behindDoc="0" locked="0" layoutInCell="1" allowOverlap="1">
            <wp:simplePos x="0" y="0"/>
            <wp:positionH relativeFrom="column">
              <wp:posOffset>194310</wp:posOffset>
            </wp:positionH>
            <wp:positionV relativeFrom="paragraph">
              <wp:posOffset>190500</wp:posOffset>
            </wp:positionV>
            <wp:extent cx="5234940" cy="3004820"/>
            <wp:effectExtent l="0" t="0" r="7620" b="12700"/>
            <wp:wrapTopAndBottom/>
            <wp:docPr id="35" name="图片 35" descr="7856902a7bd6b120ca04ce76c0bf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856902a7bd6b120ca04ce76c0bfa4d"/>
                    <pic:cNvPicPr>
                      <a:picLocks noChangeAspect="1"/>
                    </pic:cNvPicPr>
                  </pic:nvPicPr>
                  <pic:blipFill>
                    <a:blip r:embed="rId40"/>
                    <a:stretch>
                      <a:fillRect/>
                    </a:stretch>
                  </pic:blipFill>
                  <pic:spPr>
                    <a:xfrm>
                      <a:off x="0" y="0"/>
                      <a:ext cx="5234940" cy="3004820"/>
                    </a:xfrm>
                    <a:prstGeom prst="rect">
                      <a:avLst/>
                    </a:prstGeom>
                  </pic:spPr>
                </pic:pic>
              </a:graphicData>
            </a:graphic>
          </wp:anchor>
        </w:drawing>
      </w:r>
    </w:p>
    <w:p>
      <w:pPr>
        <w:pStyle w:val="2"/>
        <w:pageBreakBefore w:val="0"/>
        <w:kinsoku/>
        <w:wordWrap/>
        <w:overflowPunct/>
        <w:topLinePunct w:val="0"/>
        <w:bidi w:val="0"/>
        <w:spacing w:beforeAutospacing="0" w:after="0" w:afterAutospacing="0" w:line="560" w:lineRule="exact"/>
        <w:jc w:val="center"/>
        <w:rPr>
          <w:rFonts w:hint="eastAsia" w:ascii="微软雅黑" w:hAnsi="微软雅黑" w:eastAsia="微软雅黑" w:cs="微软雅黑"/>
          <w:sz w:val="30"/>
          <w:szCs w:val="30"/>
          <w:lang w:val="en-US" w:eastAsia="zh-CN"/>
        </w:rPr>
      </w:pPr>
      <w:bookmarkStart w:id="246" w:name="_Toc10707"/>
      <w:r>
        <w:rPr>
          <w:rFonts w:hint="eastAsia" w:ascii="微软雅黑" w:hAnsi="微软雅黑" w:eastAsia="微软雅黑" w:cs="微软雅黑"/>
          <w:sz w:val="30"/>
          <w:szCs w:val="30"/>
          <w:lang w:val="en-US" w:eastAsia="zh-CN"/>
        </w:rPr>
        <w:t>图二十一  兵地互相交流学习</w:t>
      </w:r>
      <w:bookmarkEnd w:id="246"/>
    </w:p>
    <w:p>
      <w:pPr>
        <w:pageBreakBefore w:val="0"/>
        <w:kinsoku/>
        <w:wordWrap/>
        <w:overflowPunct/>
        <w:topLinePunct w:val="0"/>
        <w:bidi w:val="0"/>
        <w:spacing w:beforeAutospacing="0" w:afterAutospacing="0" w:line="560" w:lineRule="exact"/>
        <w:jc w:val="center"/>
        <w:rPr>
          <w:rFonts w:hint="eastAsia"/>
        </w:rPr>
      </w:pPr>
    </w:p>
    <w:p>
      <w:pPr>
        <w:pStyle w:val="4"/>
        <w:pageBreakBefore w:val="0"/>
        <w:kinsoku/>
        <w:wordWrap/>
        <w:overflowPunct/>
        <w:topLinePunct w:val="0"/>
        <w:bidi w:val="0"/>
        <w:spacing w:beforeAutospacing="0" w:afterAutospacing="0" w:line="560" w:lineRule="exact"/>
        <w:ind w:firstLine="640"/>
        <w:rPr>
          <w:rFonts w:hint="eastAsia" w:eastAsia="黑体"/>
          <w:lang w:eastAsia="zh-CN"/>
        </w:rPr>
      </w:pPr>
      <w:bookmarkStart w:id="247" w:name="_Toc11616"/>
      <w:bookmarkStart w:id="248" w:name="_Toc28242"/>
      <w:bookmarkStart w:id="249" w:name="_Toc2119"/>
      <w:bookmarkStart w:id="250" w:name="_Toc21081"/>
      <w:r>
        <w:rPr>
          <w:rFonts w:hint="eastAsia"/>
        </w:rPr>
        <w:t>9.挑战与展望</w:t>
      </w:r>
      <w:bookmarkEnd w:id="247"/>
      <w:bookmarkEnd w:id="248"/>
      <w:bookmarkEnd w:id="249"/>
      <w:bookmarkEnd w:id="250"/>
    </w:p>
    <w:p>
      <w:pPr>
        <w:pageBreakBefore w:val="0"/>
        <w:kinsoku/>
        <w:wordWrap/>
        <w:overflowPunct/>
        <w:topLinePunct w:val="0"/>
        <w:bidi w:val="0"/>
        <w:snapToGrid w:val="0"/>
        <w:spacing w:beforeAutospacing="0" w:afterAutospacing="0" w:line="560" w:lineRule="exact"/>
        <w:ind w:firstLine="643" w:firstLineChars="200"/>
        <w:outlineLvl w:val="1"/>
        <w:rPr>
          <w:rFonts w:hint="eastAsia" w:ascii="仿宋_GB2312" w:hAnsi="Calibri" w:eastAsia="仿宋_GB2312" w:cs="Times New Roman"/>
          <w:sz w:val="32"/>
          <w:szCs w:val="32"/>
        </w:rPr>
      </w:pPr>
      <w:bookmarkStart w:id="251" w:name="_Toc25658"/>
      <w:bookmarkStart w:id="252" w:name="_Toc3417"/>
      <w:bookmarkStart w:id="253" w:name="_Toc8378"/>
      <w:r>
        <w:rPr>
          <w:rFonts w:hint="eastAsia" w:eastAsia="楷体_GB2312" w:asciiTheme="majorHAnsi" w:hAnsiTheme="majorHAnsi" w:cstheme="majorBidi"/>
          <w:b/>
          <w:bCs/>
          <w:kern w:val="2"/>
          <w:sz w:val="32"/>
          <w:szCs w:val="32"/>
          <w:lang w:val="en-US" w:eastAsia="zh-CN" w:bidi="ar-SA"/>
        </w:rPr>
        <w:t>9.1面临挑战</w:t>
      </w:r>
      <w:bookmarkEnd w:id="251"/>
      <w:bookmarkEnd w:id="252"/>
      <w:bookmarkEnd w:id="253"/>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一是学校对</w:t>
      </w:r>
      <w:r>
        <w:rPr>
          <w:rFonts w:hint="default" w:ascii="仿宋_GB2312" w:hAnsi="Calibri" w:eastAsia="仿宋_GB2312" w:cs="Times New Roman"/>
          <w:color w:val="auto"/>
          <w:sz w:val="32"/>
          <w:szCs w:val="32"/>
          <w:highlight w:val="none"/>
          <w:lang w:val="en-US" w:eastAsia="zh-CN"/>
        </w:rPr>
        <w:t>赋能新质生产力的关键要素及路径研究</w:t>
      </w:r>
      <w:r>
        <w:rPr>
          <w:rFonts w:hint="eastAsia" w:ascii="仿宋_GB2312" w:hAnsi="Calibri" w:eastAsia="仿宋_GB2312" w:cs="Times New Roman"/>
          <w:color w:val="auto"/>
          <w:sz w:val="32"/>
          <w:szCs w:val="32"/>
          <w:highlight w:val="none"/>
          <w:lang w:val="en-US" w:eastAsia="zh-CN"/>
        </w:rPr>
        <w:t>较少。新质生产力的形成和发展，尤其是新制造、新材料、新服务、新产业的发展，为职业教育提供了新的空间和赛道，形成了职业教育新时代发展的蓝海。如果学校不能很好地对接新质生产力对新型劳动者、新型劳动对象、新型劳动工具提出的新要求，培养出掌握新知识、新技能的高素质劳动者和技术技能人才，那么，职业教育高质量发展的时代要求就难以实现。如何适应新质生产力发展新要求，推进学校教育教学改革创新，便成为迫切需要认识和解决好的重要命题。</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default"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二是学校对</w:t>
      </w:r>
      <w:r>
        <w:rPr>
          <w:rFonts w:hint="default" w:ascii="仿宋_GB2312" w:hAnsi="Calibri" w:eastAsia="仿宋_GB2312" w:cs="Times New Roman"/>
          <w:color w:val="auto"/>
          <w:sz w:val="32"/>
          <w:szCs w:val="32"/>
          <w:highlight w:val="none"/>
          <w:lang w:val="en-US" w:eastAsia="zh-CN"/>
        </w:rPr>
        <w:t>工匠精神</w:t>
      </w:r>
      <w:r>
        <w:rPr>
          <w:rFonts w:hint="eastAsia" w:ascii="仿宋_GB2312" w:hAnsi="Calibri" w:eastAsia="仿宋_GB2312" w:cs="Times New Roman"/>
          <w:color w:val="auto"/>
          <w:sz w:val="32"/>
          <w:szCs w:val="32"/>
          <w:highlight w:val="none"/>
          <w:lang w:val="en-US" w:eastAsia="zh-CN"/>
        </w:rPr>
        <w:t>的培育还存在不那么</w:t>
      </w:r>
      <w:r>
        <w:rPr>
          <w:rFonts w:hint="default" w:ascii="仿宋_GB2312" w:hAnsi="Calibri" w:eastAsia="仿宋_GB2312" w:cs="Times New Roman"/>
          <w:color w:val="auto"/>
          <w:sz w:val="32"/>
          <w:szCs w:val="32"/>
          <w:highlight w:val="none"/>
          <w:lang w:val="en-US" w:eastAsia="zh-CN"/>
        </w:rPr>
        <w:t>精益求精，力求完美</w:t>
      </w:r>
      <w:r>
        <w:rPr>
          <w:rFonts w:hint="eastAsia" w:ascii="仿宋_GB2312" w:hAnsi="Calibri" w:eastAsia="仿宋_GB2312" w:cs="Times New Roman"/>
          <w:color w:val="auto"/>
          <w:sz w:val="32"/>
          <w:szCs w:val="32"/>
          <w:highlight w:val="none"/>
          <w:lang w:val="en-US" w:eastAsia="zh-CN"/>
        </w:rPr>
        <w:t>。在工匠精神在职业教育中的培育路径研究还存在短板，如加强校园文化熏陶、完善人才培养方案、构建产教融合的人才培养模式等。</w:t>
      </w:r>
    </w:p>
    <w:p>
      <w:pPr>
        <w:pageBreakBefore w:val="0"/>
        <w:kinsoku/>
        <w:wordWrap/>
        <w:overflowPunct/>
        <w:topLinePunct w:val="0"/>
        <w:bidi w:val="0"/>
        <w:spacing w:beforeAutospacing="0" w:afterAutospacing="0" w:line="560" w:lineRule="exact"/>
        <w:outlineLvl w:val="1"/>
        <w:rPr>
          <w:rFonts w:hint="eastAsia"/>
        </w:rPr>
      </w:pPr>
      <w:bookmarkStart w:id="254" w:name="_Toc22688"/>
      <w:bookmarkStart w:id="255" w:name="_Toc3693"/>
      <w:bookmarkStart w:id="256" w:name="_Toc5684"/>
      <w:r>
        <w:rPr>
          <w:rFonts w:hint="eastAsia" w:eastAsia="楷体_GB2312" w:asciiTheme="majorHAnsi" w:hAnsiTheme="majorHAnsi" w:cstheme="majorBidi"/>
          <w:b/>
          <w:bCs/>
          <w:kern w:val="2"/>
          <w:sz w:val="32"/>
          <w:szCs w:val="32"/>
          <w:lang w:val="en-US" w:eastAsia="zh-CN" w:bidi="ar-SA"/>
        </w:rPr>
        <w:t>9.2未来展望</w:t>
      </w:r>
      <w:bookmarkEnd w:id="254"/>
      <w:bookmarkEnd w:id="255"/>
      <w:bookmarkEnd w:id="256"/>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一是结合创新型国家战略部署，完善创新型人才培养、认定标准，形成覆盖各类课程的创新能力培育体系，以适应新质生产力对人才提出的新要求。</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二是以科教融汇赋能创新能力培育。职业教育在深刻把握教育、科技、人才“三位一体”的基础上，通过追踪适应新质生产力发展的创新技术和产业前沿，不断将新技术、新工艺和新知识融入教学内容，培养一大批具备精湛技术操作能力、技术变革和创新能力、解决生产现场难题的高素质技能人才。</w:t>
      </w:r>
    </w:p>
    <w:p>
      <w:pPr>
        <w:pageBreakBefore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outlineLvl w:val="2"/>
        <w:rPr>
          <w:rFonts w:hint="eastAsia" w:ascii="仿宋_GB2312" w:hAnsi="Calibri" w:eastAsia="仿宋_GB2312" w:cs="Times New Roman"/>
          <w:color w:val="auto"/>
          <w:sz w:val="32"/>
          <w:szCs w:val="32"/>
          <w:highlight w:val="none"/>
          <w:lang w:val="en-US" w:eastAsia="zh-CN"/>
        </w:rPr>
      </w:pPr>
      <w:bookmarkStart w:id="257" w:name="_Toc14746"/>
      <w:bookmarkStart w:id="258" w:name="_Toc27901"/>
      <w:bookmarkStart w:id="259" w:name="_Toc24307"/>
      <w:r>
        <w:rPr>
          <w:rFonts w:hint="eastAsia" w:ascii="仿宋_GB2312" w:hAnsi="Calibri" w:eastAsia="仿宋_GB2312" w:cs="Times New Roman"/>
          <w:color w:val="auto"/>
          <w:sz w:val="32"/>
          <w:szCs w:val="32"/>
          <w:highlight w:val="none"/>
          <w:lang w:val="en-US" w:eastAsia="zh-CN"/>
        </w:rPr>
        <w:t>三是探索工匠精神培育的课程内容与方法。</w:t>
      </w:r>
      <w:bookmarkEnd w:id="257"/>
      <w:bookmarkEnd w:id="258"/>
      <w:bookmarkEnd w:id="259"/>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Calibri" w:eastAsia="仿宋_GB2312" w:cs="Times New Roman"/>
          <w:color w:val="auto"/>
          <w:sz w:val="32"/>
          <w:szCs w:val="32"/>
          <w:highlight w:val="none"/>
          <w:lang w:val="en-US" w:eastAsia="zh-CN"/>
        </w:rPr>
      </w:pPr>
      <w:r>
        <w:rPr>
          <w:rFonts w:hint="eastAsia" w:ascii="仿宋_GB2312" w:hAnsi="Calibri" w:eastAsia="仿宋_GB2312" w:cs="Times New Roman"/>
          <w:color w:val="auto"/>
          <w:sz w:val="32"/>
          <w:szCs w:val="32"/>
          <w:highlight w:val="none"/>
          <w:lang w:val="en-US" w:eastAsia="zh-CN"/>
        </w:rPr>
        <w:t>1、课程内容：研究职业教育中工匠精神相关课程的设置、教学内容的选择与组织等，以评估其是否符合工匠精神培育的需求。</w:t>
      </w:r>
    </w:p>
    <w:p>
      <w:pPr>
        <w:pageBreakBefore w:val="0"/>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rPr>
      </w:pPr>
      <w:r>
        <w:rPr>
          <w:rFonts w:hint="eastAsia" w:ascii="仿宋_GB2312" w:hAnsi="Calibri" w:eastAsia="仿宋_GB2312" w:cs="Times New Roman"/>
          <w:color w:val="auto"/>
          <w:sz w:val="32"/>
          <w:szCs w:val="32"/>
          <w:highlight w:val="none"/>
          <w:lang w:val="en-US" w:eastAsia="zh-CN"/>
        </w:rPr>
        <w:t>2、教学方法：探索适合工匠精神培育的教学方法，如案例教学、项目教学、实践教学等，以提高学生的参与度和学习效果。</w:t>
      </w:r>
    </w:p>
    <w:p>
      <w:pPr>
        <w:pageBreakBefore w:val="0"/>
        <w:kinsoku/>
        <w:wordWrap/>
        <w:overflowPunct/>
        <w:topLinePunct w:val="0"/>
        <w:bidi w:val="0"/>
        <w:spacing w:beforeAutospacing="0" w:afterAutospacing="0" w:line="560" w:lineRule="exact"/>
        <w:rPr>
          <w:rFonts w:hint="eastAsia"/>
        </w:rPr>
      </w:pPr>
    </w:p>
    <w:p>
      <w:pPr>
        <w:pageBreakBefore w:val="0"/>
        <w:kinsoku/>
        <w:wordWrap/>
        <w:overflowPunct/>
        <w:topLinePunct w:val="0"/>
        <w:bidi w:val="0"/>
        <w:spacing w:beforeAutospacing="0" w:afterAutospacing="0" w:line="560" w:lineRule="exact"/>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tbl>
      <w:tblPr>
        <w:tblStyle w:val="14"/>
        <w:tblW w:w="9640" w:type="dxa"/>
        <w:tblInd w:w="0" w:type="dxa"/>
        <w:shd w:val="clear" w:color="auto" w:fill="auto"/>
        <w:tblLayout w:type="fixed"/>
        <w:tblCellMar>
          <w:top w:w="0" w:type="dxa"/>
          <w:left w:w="0" w:type="dxa"/>
          <w:bottom w:w="0" w:type="dxa"/>
          <w:right w:w="0" w:type="dxa"/>
        </w:tblCellMar>
      </w:tblPr>
      <w:tblGrid>
        <w:gridCol w:w="891"/>
        <w:gridCol w:w="4920"/>
        <w:gridCol w:w="841"/>
        <w:gridCol w:w="1442"/>
        <w:gridCol w:w="1546"/>
      </w:tblGrid>
      <w:tr>
        <w:tblPrEx>
          <w:shd w:val="clear" w:color="auto" w:fill="auto"/>
          <w:tblCellMar>
            <w:top w:w="0" w:type="dxa"/>
            <w:left w:w="0" w:type="dxa"/>
            <w:bottom w:w="0" w:type="dxa"/>
            <w:right w:w="0" w:type="dxa"/>
          </w:tblCellMar>
        </w:tblPrEx>
        <w:trPr>
          <w:trHeight w:val="870" w:hRule="atLeast"/>
        </w:trPr>
        <w:tc>
          <w:tcPr>
            <w:tcW w:w="9640" w:type="dxa"/>
            <w:gridSpan w:val="5"/>
            <w:tcBorders>
              <w:top w:val="nil"/>
              <w:left w:val="nil"/>
              <w:bottom w:val="nil"/>
              <w:right w:val="nil"/>
            </w:tcBorders>
            <w:shd w:val="clear" w:color="auto" w:fill="auto"/>
            <w:tcMar>
              <w:top w:w="12" w:type="dxa"/>
              <w:left w:w="12" w:type="dxa"/>
              <w:right w:w="12" w:type="dxa"/>
            </w:tcMar>
            <w:vAlign w:val="top"/>
          </w:tcPr>
          <w:p>
            <w:pPr>
              <w:pStyle w:val="2"/>
              <w:pageBreakBefore w:val="0"/>
              <w:kinsoku/>
              <w:wordWrap/>
              <w:overflowPunct/>
              <w:topLinePunct w:val="0"/>
              <w:bidi w:val="0"/>
              <w:spacing w:beforeAutospacing="0" w:after="0" w:afterAutospacing="0" w:line="560" w:lineRule="exact"/>
              <w:jc w:val="center"/>
              <w:rPr>
                <w:rFonts w:hint="eastAsia" w:ascii="仿宋" w:hAnsi="仿宋" w:eastAsia="仿宋" w:cs="仿宋"/>
                <w:sz w:val="32"/>
                <w:szCs w:val="32"/>
              </w:rPr>
            </w:pPr>
            <w:r>
              <w:rPr>
                <w:rFonts w:hint="eastAsia" w:ascii="Times New Roman" w:hAnsi="Times New Roman" w:eastAsia="仿宋" w:cs="Times New Roman"/>
                <w:kern w:val="2"/>
                <w:sz w:val="32"/>
                <w:szCs w:val="24"/>
                <w:highlight w:val="none"/>
                <w:lang w:val="en-US" w:eastAsia="zh-CN" w:bidi="ar-SA"/>
              </w:rPr>
              <w:t>附表1人才培养质量计分卡</w:t>
            </w:r>
          </w:p>
        </w:tc>
      </w:tr>
      <w:tr>
        <w:tblPrEx>
          <w:shd w:val="clear" w:color="auto" w:fill="auto"/>
          <w:tblCellMar>
            <w:top w:w="0" w:type="dxa"/>
            <w:left w:w="0" w:type="dxa"/>
            <w:bottom w:w="0" w:type="dxa"/>
            <w:right w:w="0" w:type="dxa"/>
          </w:tblCellMar>
        </w:tblPrEx>
        <w:trPr>
          <w:trHeight w:val="88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ind w:left="0" w:leftChars="0" w:firstLine="0" w:firstLineChars="0"/>
              <w:rPr>
                <w:rFonts w:hint="eastAsia" w:ascii="仿宋" w:hAnsi="仿宋" w:eastAsia="仿宋" w:cs="仿宋"/>
                <w:sz w:val="32"/>
                <w:szCs w:val="32"/>
              </w:rPr>
            </w:pPr>
            <w:r>
              <w:rPr>
                <w:rFonts w:hint="eastAsia" w:ascii="仿宋" w:hAnsi="仿宋" w:eastAsia="仿宋" w:cs="仿宋"/>
                <w:sz w:val="32"/>
                <w:szCs w:val="32"/>
                <w:lang w:val="en-US" w:eastAsia="zh-CN"/>
              </w:rPr>
              <w:t>序号</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指标</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ind w:left="0" w:leftChars="0" w:firstLine="0" w:firstLineChars="0"/>
              <w:rPr>
                <w:rFonts w:hint="eastAsia" w:ascii="仿宋" w:hAnsi="仿宋" w:eastAsia="仿宋" w:cs="仿宋"/>
                <w:sz w:val="32"/>
                <w:szCs w:val="32"/>
              </w:rPr>
            </w:pPr>
            <w:r>
              <w:rPr>
                <w:rFonts w:hint="eastAsia" w:ascii="仿宋" w:hAnsi="仿宋" w:eastAsia="仿宋" w:cs="仿宋"/>
                <w:sz w:val="32"/>
                <w:szCs w:val="32"/>
                <w:lang w:val="en-US" w:eastAsia="zh-CN"/>
              </w:rPr>
              <w:t>单位</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2023年</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2024年</w:t>
            </w:r>
          </w:p>
        </w:tc>
      </w:tr>
      <w:tr>
        <w:tblPrEx>
          <w:shd w:val="clear" w:color="auto" w:fill="auto"/>
          <w:tblCellMar>
            <w:top w:w="0" w:type="dxa"/>
            <w:left w:w="0" w:type="dxa"/>
            <w:bottom w:w="0" w:type="dxa"/>
            <w:right w:w="0" w:type="dxa"/>
          </w:tblCellMar>
        </w:tblPrEx>
        <w:trPr>
          <w:trHeight w:val="88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毕业生人数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252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217 </w:t>
            </w:r>
          </w:p>
        </w:tc>
      </w:tr>
      <w:tr>
        <w:tblPrEx>
          <w:tblCellMar>
            <w:top w:w="0" w:type="dxa"/>
            <w:left w:w="0" w:type="dxa"/>
            <w:bottom w:w="0" w:type="dxa"/>
            <w:right w:w="0" w:type="dxa"/>
          </w:tblCellMar>
        </w:tblPrEx>
        <w:trPr>
          <w:trHeight w:val="885"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2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毕业去向落实人数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252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217 </w:t>
            </w:r>
          </w:p>
        </w:tc>
      </w:tr>
      <w:tr>
        <w:tblPrEx>
          <w:shd w:val="clear" w:color="auto" w:fill="auto"/>
          <w:tblCellMar>
            <w:top w:w="0" w:type="dxa"/>
            <w:left w:w="0" w:type="dxa"/>
            <w:bottom w:w="0" w:type="dxa"/>
            <w:right w:w="0" w:type="dxa"/>
          </w:tblCellMar>
        </w:tblPrEx>
        <w:trPr>
          <w:trHeight w:val="88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其中：升学人数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91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104 </w:t>
            </w:r>
          </w:p>
        </w:tc>
      </w:tr>
      <w:tr>
        <w:tblPrEx>
          <w:shd w:val="clear" w:color="auto" w:fill="auto"/>
          <w:tblCellMar>
            <w:top w:w="0" w:type="dxa"/>
            <w:left w:w="0" w:type="dxa"/>
            <w:bottom w:w="0" w:type="dxa"/>
            <w:right w:w="0" w:type="dxa"/>
          </w:tblCellMar>
        </w:tblPrEx>
        <w:trPr>
          <w:trHeight w:val="88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  升入本科人数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0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0 </w:t>
            </w:r>
          </w:p>
        </w:tc>
      </w:tr>
      <w:tr>
        <w:tblPrEx>
          <w:shd w:val="clear" w:color="auto" w:fill="auto"/>
          <w:tblCellMar>
            <w:top w:w="0" w:type="dxa"/>
            <w:left w:w="0" w:type="dxa"/>
            <w:bottom w:w="0" w:type="dxa"/>
            <w:right w:w="0" w:type="dxa"/>
          </w:tblCellMar>
        </w:tblPrEx>
        <w:trPr>
          <w:trHeight w:val="88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3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毕业生本省去向落实率</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98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99.50 </w:t>
            </w:r>
          </w:p>
        </w:tc>
      </w:tr>
      <w:tr>
        <w:tblPrEx>
          <w:shd w:val="clear" w:color="auto" w:fill="auto"/>
          <w:tblCellMar>
            <w:top w:w="0" w:type="dxa"/>
            <w:left w:w="0" w:type="dxa"/>
            <w:bottom w:w="0" w:type="dxa"/>
            <w:right w:w="0" w:type="dxa"/>
          </w:tblCellMar>
        </w:tblPrEx>
        <w:trPr>
          <w:trHeight w:val="88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4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月收入</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元</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3679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3528.00 </w:t>
            </w:r>
          </w:p>
        </w:tc>
      </w:tr>
      <w:tr>
        <w:tblPrEx>
          <w:shd w:val="clear" w:color="auto" w:fill="auto"/>
          <w:tblCellMar>
            <w:top w:w="0" w:type="dxa"/>
            <w:left w:w="0" w:type="dxa"/>
            <w:bottom w:w="0" w:type="dxa"/>
            <w:right w:w="0" w:type="dxa"/>
          </w:tblCellMar>
        </w:tblPrEx>
        <w:trPr>
          <w:trHeight w:val="885"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5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毕业生面向三次产业就业人数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161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110 </w:t>
            </w:r>
          </w:p>
        </w:tc>
      </w:tr>
      <w:tr>
        <w:tblPrEx>
          <w:tblCellMar>
            <w:top w:w="0" w:type="dxa"/>
            <w:left w:w="0" w:type="dxa"/>
            <w:bottom w:w="0" w:type="dxa"/>
            <w:right w:w="0" w:type="dxa"/>
          </w:tblCellMar>
        </w:tblPrEx>
        <w:trPr>
          <w:trHeight w:val="88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其中：面向第一产业就业人数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0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4 </w:t>
            </w:r>
          </w:p>
        </w:tc>
      </w:tr>
      <w:tr>
        <w:tblPrEx>
          <w:shd w:val="clear" w:color="auto" w:fill="auto"/>
          <w:tblCellMar>
            <w:top w:w="0" w:type="dxa"/>
            <w:left w:w="0" w:type="dxa"/>
            <w:bottom w:w="0" w:type="dxa"/>
            <w:right w:w="0" w:type="dxa"/>
          </w:tblCellMar>
        </w:tblPrEx>
        <w:trPr>
          <w:trHeight w:val="88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面向第二产业就业人数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19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40 </w:t>
            </w:r>
          </w:p>
        </w:tc>
      </w:tr>
      <w:tr>
        <w:tblPrEx>
          <w:tblCellMar>
            <w:top w:w="0" w:type="dxa"/>
            <w:left w:w="0" w:type="dxa"/>
            <w:bottom w:w="0" w:type="dxa"/>
            <w:right w:w="0" w:type="dxa"/>
          </w:tblCellMar>
        </w:tblPrEx>
        <w:trPr>
          <w:trHeight w:val="885"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面向第三产业就业人数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人</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142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66 </w:t>
            </w:r>
          </w:p>
        </w:tc>
      </w:tr>
      <w:tr>
        <w:tblPrEx>
          <w:shd w:val="clear" w:color="auto" w:fill="auto"/>
          <w:tblCellMar>
            <w:top w:w="0" w:type="dxa"/>
            <w:left w:w="0" w:type="dxa"/>
            <w:bottom w:w="0" w:type="dxa"/>
            <w:right w:w="0" w:type="dxa"/>
          </w:tblCellMar>
        </w:tblPrEx>
        <w:trPr>
          <w:trHeight w:val="885"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6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自主创业率</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0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w:t>
            </w:r>
          </w:p>
        </w:tc>
      </w:tr>
      <w:tr>
        <w:tblPrEx>
          <w:tblCellMar>
            <w:top w:w="0" w:type="dxa"/>
            <w:left w:w="0" w:type="dxa"/>
            <w:bottom w:w="0" w:type="dxa"/>
            <w:right w:w="0" w:type="dxa"/>
          </w:tblCellMar>
        </w:tblPrEx>
        <w:trPr>
          <w:trHeight w:val="900" w:hRule="atLeast"/>
        </w:trPr>
        <w:tc>
          <w:tcPr>
            <w:tcW w:w="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7 </w:t>
            </w:r>
          </w:p>
        </w:tc>
        <w:tc>
          <w:tcPr>
            <w:tcW w:w="4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毕业三年晋升比例</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15 </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2"/>
              <w:pageBreakBefore w:val="0"/>
              <w:kinsoku/>
              <w:wordWrap/>
              <w:overflowPunct/>
              <w:topLinePunct w:val="0"/>
              <w:bidi w:val="0"/>
              <w:spacing w:beforeAutospacing="0" w:after="0" w:afterAutospacing="0" w:line="560" w:lineRule="exact"/>
              <w:rPr>
                <w:rFonts w:hint="eastAsia" w:ascii="仿宋" w:hAnsi="仿宋" w:eastAsia="仿宋" w:cs="仿宋"/>
                <w:sz w:val="32"/>
                <w:szCs w:val="32"/>
              </w:rPr>
            </w:pPr>
            <w:r>
              <w:rPr>
                <w:rFonts w:hint="eastAsia" w:ascii="仿宋" w:hAnsi="仿宋" w:eastAsia="仿宋" w:cs="仿宋"/>
                <w:sz w:val="32"/>
                <w:szCs w:val="32"/>
                <w:lang w:val="en-US" w:eastAsia="zh-CN"/>
              </w:rPr>
              <w:t xml:space="preserve">16.38 </w:t>
            </w:r>
          </w:p>
        </w:tc>
      </w:tr>
    </w:tbl>
    <w:p>
      <w:pPr>
        <w:pStyle w:val="2"/>
        <w:pageBreakBefore w:val="0"/>
        <w:kinsoku/>
        <w:wordWrap/>
        <w:overflowPunct/>
        <w:topLinePunct w:val="0"/>
        <w:bidi w:val="0"/>
        <w:spacing w:beforeAutospacing="0" w:after="0" w:afterAutospacing="0" w:line="560" w:lineRule="exact"/>
      </w:pPr>
    </w:p>
    <w:p>
      <w:pPr>
        <w:pageBreakBefore w:val="0"/>
        <w:kinsoku/>
        <w:wordWrap/>
        <w:overflowPunct/>
        <w:topLinePunct w:val="0"/>
        <w:bidi w:val="0"/>
        <w:spacing w:beforeAutospacing="0" w:afterAutospacing="0" w:line="560" w:lineRule="exact"/>
      </w:pPr>
    </w:p>
    <w:tbl>
      <w:tblPr>
        <w:tblStyle w:val="14"/>
        <w:tblW w:w="8460" w:type="dxa"/>
        <w:tblInd w:w="0" w:type="dxa"/>
        <w:shd w:val="clear" w:color="auto" w:fill="auto"/>
        <w:tblLayout w:type="fixed"/>
        <w:tblCellMar>
          <w:top w:w="0" w:type="dxa"/>
          <w:left w:w="0" w:type="dxa"/>
          <w:bottom w:w="0" w:type="dxa"/>
          <w:right w:w="0" w:type="dxa"/>
        </w:tblCellMar>
      </w:tblPr>
      <w:tblGrid>
        <w:gridCol w:w="702"/>
        <w:gridCol w:w="2140"/>
        <w:gridCol w:w="1200"/>
        <w:gridCol w:w="640"/>
        <w:gridCol w:w="533"/>
        <w:gridCol w:w="500"/>
        <w:gridCol w:w="471"/>
        <w:gridCol w:w="1465"/>
        <w:gridCol w:w="611"/>
        <w:gridCol w:w="198"/>
      </w:tblGrid>
      <w:tr>
        <w:tblPrEx>
          <w:tblCellMar>
            <w:top w:w="0" w:type="dxa"/>
            <w:left w:w="0" w:type="dxa"/>
            <w:bottom w:w="0" w:type="dxa"/>
            <w:right w:w="0" w:type="dxa"/>
          </w:tblCellMar>
        </w:tblPrEx>
        <w:trPr>
          <w:trHeight w:val="743" w:hRule="atLeast"/>
        </w:trPr>
        <w:tc>
          <w:tcPr>
            <w:tcW w:w="8460" w:type="dxa"/>
            <w:gridSpan w:val="10"/>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b w:val="0"/>
                <w:bCs w:val="0"/>
                <w:i w:val="0"/>
                <w:color w:val="000000"/>
                <w:kern w:val="0"/>
                <w:sz w:val="32"/>
                <w:szCs w:val="32"/>
                <w:u w:val="none"/>
                <w:lang w:val="en-US" w:eastAsia="zh-CN" w:bidi="ar"/>
              </w:rPr>
              <w:t>附表2 满意度调查表</w:t>
            </w:r>
          </w:p>
        </w:tc>
      </w:tr>
      <w:tr>
        <w:tblPrEx>
          <w:shd w:val="clear" w:color="auto" w:fill="auto"/>
          <w:tblCellMar>
            <w:top w:w="0" w:type="dxa"/>
            <w:left w:w="0" w:type="dxa"/>
            <w:bottom w:w="0" w:type="dxa"/>
            <w:right w:w="0" w:type="dxa"/>
          </w:tblCellMar>
        </w:tblPrEx>
        <w:trPr>
          <w:trHeight w:val="1342"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单位</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2023年</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2024年</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调查方式</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调查人次</w:t>
            </w:r>
          </w:p>
        </w:tc>
      </w:tr>
      <w:tr>
        <w:tblPrEx>
          <w:shd w:val="clear" w:color="auto" w:fill="auto"/>
          <w:tblCellMar>
            <w:top w:w="0" w:type="dxa"/>
            <w:left w:w="0" w:type="dxa"/>
            <w:bottom w:w="0" w:type="dxa"/>
            <w:right w:w="0" w:type="dxa"/>
          </w:tblCellMar>
        </w:tblPrEx>
        <w:trPr>
          <w:trHeight w:val="968"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在校生满意度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94.83</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1151"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其中：课堂育人满意度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94.90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968"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课外育人满意度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95.07</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968"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思想政治课教学满意度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95.56</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968"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公共基础课（不含思想政治课）教学满意度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94.96</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1017"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专业课教学满意度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96.16</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801"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毕业生满意度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96</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96.30</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电话寻访</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40</w:t>
            </w:r>
          </w:p>
        </w:tc>
      </w:tr>
      <w:tr>
        <w:tblPrEx>
          <w:shd w:val="clear" w:color="auto" w:fill="auto"/>
          <w:tblCellMar>
            <w:top w:w="0" w:type="dxa"/>
            <w:left w:w="0" w:type="dxa"/>
            <w:bottom w:w="0" w:type="dxa"/>
            <w:right w:w="0" w:type="dxa"/>
          </w:tblCellMar>
        </w:tblPrEx>
        <w:trPr>
          <w:trHeight w:val="801"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其中：应届毕业生满意度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98</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98.20</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电话寻访</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988"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毕业三年内毕业生满意度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92.00</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电话寻访</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r>
      <w:tr>
        <w:tblPrEx>
          <w:shd w:val="clear" w:color="auto" w:fill="auto"/>
          <w:tblCellMar>
            <w:top w:w="0" w:type="dxa"/>
            <w:left w:w="0" w:type="dxa"/>
            <w:bottom w:w="0" w:type="dxa"/>
            <w:right w:w="0" w:type="dxa"/>
          </w:tblCellMar>
        </w:tblPrEx>
        <w:trPr>
          <w:trHeight w:val="1043"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教职工满意度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全国统一网上调查</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801"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用人单位满意度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82.00</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问卷星</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847" w:hRule="atLeast"/>
        </w:trPr>
        <w:tc>
          <w:tcPr>
            <w:tcW w:w="28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家长满意度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7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99.80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99.82</w:t>
            </w: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电话寻访</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r>
      <w:tr>
        <w:tblPrEx>
          <w:shd w:val="clear" w:color="auto" w:fill="auto"/>
          <w:tblCellMar>
            <w:top w:w="0" w:type="dxa"/>
            <w:left w:w="0" w:type="dxa"/>
            <w:bottom w:w="0" w:type="dxa"/>
            <w:right w:w="0" w:type="dxa"/>
          </w:tblCellMar>
        </w:tblPrEx>
        <w:trPr>
          <w:gridAfter w:val="1"/>
          <w:wAfter w:w="198" w:type="dxa"/>
          <w:trHeight w:val="634" w:hRule="atLeast"/>
        </w:trPr>
        <w:tc>
          <w:tcPr>
            <w:tcW w:w="8262" w:type="dxa"/>
            <w:gridSpan w:val="9"/>
            <w:tcBorders>
              <w:top w:val="nil"/>
              <w:left w:val="nil"/>
              <w:bottom w:val="nil"/>
              <w:right w:val="nil"/>
            </w:tcBorders>
            <w:shd w:val="clear" w:color="auto" w:fill="auto"/>
            <w:tcMar>
              <w:top w:w="12" w:type="dxa"/>
              <w:left w:w="12" w:type="dxa"/>
              <w:right w:w="12" w:type="dxa"/>
            </w:tcMar>
            <w:vAlign w:val="top"/>
          </w:tcPr>
          <w:p>
            <w:pPr>
              <w:keepNext w:val="0"/>
              <w:keepLines w:val="0"/>
              <w:widowControl/>
              <w:suppressLineNumbers w:val="0"/>
              <w:jc w:val="center"/>
              <w:textAlignment w:val="top"/>
              <w:rPr>
                <w:rFonts w:ascii="Arial" w:hAnsi="Arial" w:cs="Arial"/>
                <w:b/>
                <w:i w:val="0"/>
                <w:color w:val="000000"/>
                <w:sz w:val="20"/>
                <w:szCs w:val="20"/>
                <w:u w:val="none"/>
              </w:rPr>
            </w:pPr>
            <w:r>
              <w:rPr>
                <w:rFonts w:hint="eastAsia" w:ascii="仿宋" w:hAnsi="仿宋" w:eastAsia="仿宋" w:cs="仿宋"/>
                <w:b w:val="0"/>
                <w:bCs w:val="0"/>
                <w:i w:val="0"/>
                <w:color w:val="000000"/>
                <w:kern w:val="0"/>
                <w:sz w:val="32"/>
                <w:szCs w:val="32"/>
                <w:u w:val="none"/>
                <w:lang w:val="en-US" w:eastAsia="zh-CN" w:bidi="ar"/>
              </w:rPr>
              <w:t>附</w:t>
            </w:r>
            <w:r>
              <w:rPr>
                <w:rFonts w:hint="default" w:ascii="仿宋" w:hAnsi="仿宋" w:eastAsia="仿宋" w:cs="仿宋"/>
                <w:b w:val="0"/>
                <w:bCs w:val="0"/>
                <w:i w:val="0"/>
                <w:color w:val="000000"/>
                <w:kern w:val="0"/>
                <w:sz w:val="32"/>
                <w:szCs w:val="32"/>
                <w:u w:val="none"/>
                <w:lang w:val="en-US" w:eastAsia="zh-CN" w:bidi="ar"/>
              </w:rPr>
              <w:t>表3教学资源表</w:t>
            </w:r>
          </w:p>
        </w:tc>
      </w:tr>
      <w:tr>
        <w:tblPrEx>
          <w:tblCellMar>
            <w:top w:w="0" w:type="dxa"/>
            <w:left w:w="0" w:type="dxa"/>
            <w:bottom w:w="0" w:type="dxa"/>
            <w:right w:w="0" w:type="dxa"/>
          </w:tblCellMar>
        </w:tblPrEx>
        <w:trPr>
          <w:gridAfter w:val="1"/>
          <w:wAfter w:w="198" w:type="dxa"/>
          <w:trHeight w:val="351"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Style w:val="31"/>
                <w:rFonts w:hint="eastAsia" w:ascii="仿宋" w:hAnsi="仿宋" w:eastAsia="仿宋" w:cs="仿宋"/>
                <w:sz w:val="28"/>
                <w:szCs w:val="28"/>
                <w:lang w:val="en-US" w:eastAsia="zh-CN" w:bidi="ar"/>
              </w:rPr>
              <w:t>序号</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Style w:val="31"/>
                <w:rFonts w:hint="eastAsia" w:ascii="仿宋" w:hAnsi="仿宋" w:eastAsia="仿宋" w:cs="仿宋"/>
                <w:sz w:val="28"/>
                <w:szCs w:val="28"/>
                <w:lang w:val="en-US" w:eastAsia="zh-CN" w:bidi="ar"/>
              </w:rPr>
              <w:t>指标</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Style w:val="31"/>
                <w:rFonts w:hint="eastAsia" w:ascii="仿宋" w:hAnsi="仿宋" w:eastAsia="仿宋" w:cs="仿宋"/>
                <w:sz w:val="28"/>
                <w:szCs w:val="28"/>
                <w:lang w:val="en-US" w:eastAsia="zh-CN" w:bidi="ar"/>
              </w:rPr>
              <w:t>单位</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Style w:val="31"/>
                <w:rFonts w:hint="eastAsia" w:ascii="仿宋" w:hAnsi="仿宋" w:eastAsia="仿宋" w:cs="仿宋"/>
                <w:sz w:val="28"/>
                <w:szCs w:val="28"/>
                <w:lang w:val="en-US" w:eastAsia="zh-CN" w:bidi="ar"/>
              </w:rPr>
              <w:t>2023年</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Style w:val="31"/>
                <w:rFonts w:hint="eastAsia" w:ascii="仿宋" w:hAnsi="仿宋" w:eastAsia="仿宋" w:cs="仿宋"/>
                <w:sz w:val="28"/>
                <w:szCs w:val="28"/>
                <w:lang w:val="en-US" w:eastAsia="zh-CN" w:bidi="ar"/>
              </w:rPr>
              <w:t>2024年</w:t>
            </w:r>
          </w:p>
        </w:tc>
      </w:tr>
      <w:tr>
        <w:tblPrEx>
          <w:shd w:val="clear" w:color="auto" w:fill="auto"/>
          <w:tblCellMar>
            <w:top w:w="0" w:type="dxa"/>
            <w:left w:w="0" w:type="dxa"/>
            <w:bottom w:w="0" w:type="dxa"/>
            <w:right w:w="0" w:type="dxa"/>
          </w:tblCellMar>
        </w:tblPrEx>
        <w:trPr>
          <w:gridAfter w:val="1"/>
          <w:wAfter w:w="198" w:type="dxa"/>
          <w:trHeight w:val="335"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生师比</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8"/>
                <w:szCs w:val="28"/>
                <w:u w:val="none"/>
              </w:rPr>
            </w:pP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20.23</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20.09</w:t>
            </w:r>
          </w:p>
        </w:tc>
      </w:tr>
      <w:tr>
        <w:tblPrEx>
          <w:shd w:val="clear" w:color="auto" w:fill="auto"/>
          <w:tblCellMar>
            <w:top w:w="0" w:type="dxa"/>
            <w:left w:w="0" w:type="dxa"/>
            <w:bottom w:w="0" w:type="dxa"/>
            <w:right w:w="0" w:type="dxa"/>
          </w:tblCellMar>
        </w:tblPrEx>
        <w:trPr>
          <w:gridAfter w:val="1"/>
          <w:wAfter w:w="198" w:type="dxa"/>
          <w:trHeight w:val="35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“双师型”教师比例</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22.00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37.00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其中：高级“双师型”教师比例</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7.00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4.00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高级专业技术职务专任教师比例</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23.30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21.66</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专业群数量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专业数量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w:t>
            </w:r>
          </w:p>
        </w:tc>
      </w:tr>
      <w:tr>
        <w:tblPrEx>
          <w:tblCellMar>
            <w:top w:w="0" w:type="dxa"/>
            <w:left w:w="0" w:type="dxa"/>
            <w:bottom w:w="0" w:type="dxa"/>
            <w:right w:w="0" w:type="dxa"/>
          </w:tblCellMar>
        </w:tblPrEx>
        <w:trPr>
          <w:gridAfter w:val="1"/>
          <w:wAfter w:w="198" w:type="dxa"/>
          <w:trHeight w:val="33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3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教学计划内课程总数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116</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69</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学时</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7756</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11440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其中：课证融通课程数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学时</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672</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756</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网络教学课程数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学时</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5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校企合作课程数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center"/>
              <w:rPr>
                <w:rFonts w:hint="eastAsia" w:ascii="仿宋" w:hAnsi="仿宋" w:eastAsia="仿宋" w:cs="仿宋"/>
                <w:i w:val="0"/>
                <w:color w:val="000000"/>
                <w:sz w:val="28"/>
                <w:szCs w:val="28"/>
                <w:u w:val="none"/>
              </w:rPr>
            </w:pP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center"/>
              <w:rPr>
                <w:rFonts w:hint="eastAsia" w:ascii="仿宋" w:hAnsi="仿宋" w:eastAsia="仿宋" w:cs="仿宋"/>
                <w:i w:val="0"/>
                <w:color w:val="000000"/>
                <w:sz w:val="28"/>
                <w:szCs w:val="28"/>
                <w:u w:val="none"/>
              </w:rPr>
            </w:pP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学时</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center"/>
              <w:rPr>
                <w:rFonts w:hint="eastAsia" w:ascii="仿宋" w:hAnsi="仿宋" w:eastAsia="仿宋" w:cs="仿宋"/>
                <w:i w:val="0"/>
                <w:color w:val="000000"/>
                <w:sz w:val="28"/>
                <w:szCs w:val="28"/>
                <w:u w:val="none"/>
              </w:rPr>
            </w:pP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w:t>
            </w:r>
          </w:p>
        </w:tc>
      </w:tr>
      <w:tr>
        <w:tblPrEx>
          <w:tblCellMar>
            <w:top w:w="0" w:type="dxa"/>
            <w:left w:w="0" w:type="dxa"/>
            <w:bottom w:w="0" w:type="dxa"/>
            <w:right w:w="0" w:type="dxa"/>
          </w:tblCellMar>
        </w:tblPrEx>
        <w:trPr>
          <w:gridAfter w:val="1"/>
          <w:wAfter w:w="198" w:type="dxa"/>
          <w:trHeight w:val="34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专业教学资源库数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其中：国家级数量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3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省级数量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校级数量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w:t>
            </w:r>
          </w:p>
        </w:tc>
        <w:tc>
          <w:tcPr>
            <w:tcW w:w="33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在线精品课程数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学时</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5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在线精品课程课均学生数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人/门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其中：国家级数量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省级数量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校级数量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3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门</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tblCellMar>
            <w:top w:w="0" w:type="dxa"/>
            <w:left w:w="0" w:type="dxa"/>
            <w:bottom w:w="0" w:type="dxa"/>
            <w:right w:w="0" w:type="dxa"/>
          </w:tblCellMar>
        </w:tblPrEx>
        <w:trPr>
          <w:gridAfter w:val="1"/>
          <w:wAfter w:w="198" w:type="dxa"/>
          <w:trHeight w:val="34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虚拟仿真实训基地数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其中：国家级数量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8"/>
                <w:szCs w:val="28"/>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w:t>
            </w:r>
          </w:p>
        </w:tc>
      </w:tr>
      <w:tr>
        <w:tblPrEx>
          <w:shd w:val="clear" w:color="auto" w:fill="auto"/>
          <w:tblCellMar>
            <w:top w:w="0" w:type="dxa"/>
            <w:left w:w="0" w:type="dxa"/>
            <w:bottom w:w="0" w:type="dxa"/>
            <w:right w:w="0" w:type="dxa"/>
          </w:tblCellMar>
        </w:tblPrEx>
        <w:trPr>
          <w:gridAfter w:val="1"/>
          <w:wAfter w:w="198" w:type="dxa"/>
          <w:trHeight w:val="35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 xml:space="preserve">  省级数量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 xml:space="preserve">  校级数量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3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 </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编写教材数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本</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其中：国家规划教材数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本</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r>
      <w:tr>
        <w:tblPrEx>
          <w:tblCellMar>
            <w:top w:w="0" w:type="dxa"/>
            <w:left w:w="0" w:type="dxa"/>
            <w:bottom w:w="0" w:type="dxa"/>
            <w:right w:w="0" w:type="dxa"/>
          </w:tblCellMar>
        </w:tblPrEx>
        <w:trPr>
          <w:gridAfter w:val="1"/>
          <w:wAfter w:w="198" w:type="dxa"/>
          <w:trHeight w:val="33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 xml:space="preserve">  校企合作编写教材数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本</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 xml:space="preserve">  新形态教材数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本</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 xml:space="preserve"> 接入国家智慧教育平台数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本</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0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10 </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互联网出口带宽</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Mbps</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100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100 </w:t>
            </w:r>
          </w:p>
        </w:tc>
      </w:tr>
      <w:tr>
        <w:tblPrEx>
          <w:shd w:val="clear" w:color="auto" w:fill="auto"/>
          <w:tblCellMar>
            <w:top w:w="0" w:type="dxa"/>
            <w:left w:w="0" w:type="dxa"/>
            <w:bottom w:w="0" w:type="dxa"/>
            <w:right w:w="0" w:type="dxa"/>
          </w:tblCellMar>
        </w:tblPrEx>
        <w:trPr>
          <w:gridAfter w:val="1"/>
          <w:wAfter w:w="198" w:type="dxa"/>
          <w:trHeight w:val="346"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11 </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校园网主干最大带宽</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Mbps</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100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100 </w:t>
            </w:r>
          </w:p>
        </w:tc>
      </w:tr>
      <w:tr>
        <w:tblPrEx>
          <w:shd w:val="clear" w:color="auto" w:fill="auto"/>
          <w:tblCellMar>
            <w:top w:w="0" w:type="dxa"/>
            <w:left w:w="0" w:type="dxa"/>
            <w:bottom w:w="0" w:type="dxa"/>
            <w:right w:w="0" w:type="dxa"/>
          </w:tblCellMar>
        </w:tblPrEx>
        <w:trPr>
          <w:gridAfter w:val="1"/>
          <w:wAfter w:w="198" w:type="dxa"/>
          <w:trHeight w:val="356"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 </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生均校内实践教学工位数</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个生</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1.20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1.30 </w:t>
            </w:r>
          </w:p>
        </w:tc>
      </w:tr>
      <w:tr>
        <w:tblPrEx>
          <w:shd w:val="clear" w:color="auto" w:fill="auto"/>
          <w:tblCellMar>
            <w:top w:w="0" w:type="dxa"/>
            <w:left w:w="0" w:type="dxa"/>
            <w:bottom w:w="0" w:type="dxa"/>
            <w:right w:w="0" w:type="dxa"/>
          </w:tblCellMar>
        </w:tblPrEx>
        <w:trPr>
          <w:gridAfter w:val="1"/>
          <w:wAfter w:w="198" w:type="dxa"/>
          <w:trHeight w:val="361"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13 </w:t>
            </w:r>
          </w:p>
        </w:tc>
        <w:tc>
          <w:tcPr>
            <w:tcW w:w="33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生均教学科研仪器设备值</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Style w:val="32"/>
                <w:rFonts w:hint="eastAsia" w:ascii="仿宋" w:hAnsi="仿宋" w:eastAsia="仿宋" w:cs="仿宋"/>
                <w:sz w:val="28"/>
                <w:szCs w:val="28"/>
                <w:lang w:val="en-US" w:eastAsia="zh-CN" w:bidi="ar"/>
              </w:rPr>
              <w:t>元/生</w:t>
            </w:r>
          </w:p>
        </w:tc>
        <w:tc>
          <w:tcPr>
            <w:tcW w:w="1033"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25000 </w:t>
            </w:r>
          </w:p>
        </w:tc>
        <w:tc>
          <w:tcPr>
            <w:tcW w:w="254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 xml:space="preserve">6924.96 </w:t>
            </w:r>
          </w:p>
        </w:tc>
      </w:tr>
    </w:tbl>
    <w:p>
      <w:pPr>
        <w:pStyle w:val="2"/>
        <w:pageBreakBefore w:val="0"/>
        <w:kinsoku/>
        <w:wordWrap/>
        <w:overflowPunct/>
        <w:topLinePunct w:val="0"/>
        <w:bidi w:val="0"/>
        <w:spacing w:beforeAutospacing="0" w:after="0" w:afterAutospacing="0" w:line="560" w:lineRule="exact"/>
      </w:pPr>
    </w:p>
    <w:p>
      <w:pPr>
        <w:pageBreakBefore w:val="0"/>
        <w:kinsoku/>
        <w:wordWrap/>
        <w:overflowPunct/>
        <w:topLinePunct w:val="0"/>
        <w:bidi w:val="0"/>
        <w:spacing w:beforeAutospacing="0" w:afterAutospacing="0" w:line="560" w:lineRule="exact"/>
      </w:pPr>
    </w:p>
    <w:p>
      <w:pPr>
        <w:pStyle w:val="2"/>
        <w:pageBreakBefore w:val="0"/>
        <w:kinsoku/>
        <w:wordWrap/>
        <w:overflowPunct/>
        <w:topLinePunct w:val="0"/>
        <w:bidi w:val="0"/>
        <w:spacing w:beforeAutospacing="0" w:after="0" w:afterAutospacing="0" w:line="560" w:lineRule="exact"/>
        <w:rPr>
          <w:rFonts w:hint="eastAsia" w:eastAsiaTheme="minorEastAsia"/>
          <w:lang w:eastAsia="zh-CN"/>
        </w:rPr>
      </w:pPr>
    </w:p>
    <w:p>
      <w:pPr>
        <w:pageBreakBefore w:val="0"/>
        <w:kinsoku/>
        <w:wordWrap/>
        <w:overflowPunct/>
        <w:topLinePunct w:val="0"/>
        <w:bidi w:val="0"/>
        <w:spacing w:beforeAutospacing="0" w:afterAutospacing="0" w:line="560" w:lineRule="exact"/>
        <w:rPr>
          <w:rFonts w:hint="eastAsia"/>
          <w:lang w:eastAsia="zh-CN"/>
        </w:rPr>
      </w:pPr>
    </w:p>
    <w:p>
      <w:pPr>
        <w:pStyle w:val="2"/>
        <w:pageBreakBefore w:val="0"/>
        <w:kinsoku/>
        <w:wordWrap/>
        <w:overflowPunct/>
        <w:topLinePunct w:val="0"/>
        <w:bidi w:val="0"/>
        <w:spacing w:beforeAutospacing="0" w:after="0" w:afterAutospacing="0" w:line="560" w:lineRule="exact"/>
        <w:rPr>
          <w:rFonts w:hint="eastAsia"/>
          <w:lang w:eastAsia="zh-CN"/>
        </w:rPr>
      </w:pPr>
    </w:p>
    <w:p>
      <w:pPr>
        <w:pageBreakBefore w:val="0"/>
        <w:kinsoku/>
        <w:wordWrap/>
        <w:overflowPunct/>
        <w:topLinePunct w:val="0"/>
        <w:bidi w:val="0"/>
        <w:spacing w:beforeAutospacing="0" w:afterAutospacing="0" w:line="560" w:lineRule="exact"/>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tbl>
      <w:tblPr>
        <w:tblStyle w:val="14"/>
        <w:tblW w:w="9180" w:type="dxa"/>
        <w:tblInd w:w="0" w:type="dxa"/>
        <w:shd w:val="clear" w:color="auto" w:fill="auto"/>
        <w:tblLayout w:type="fixed"/>
        <w:tblCellMar>
          <w:top w:w="0" w:type="dxa"/>
          <w:left w:w="0" w:type="dxa"/>
          <w:bottom w:w="0" w:type="dxa"/>
          <w:right w:w="0" w:type="dxa"/>
        </w:tblCellMar>
      </w:tblPr>
      <w:tblGrid>
        <w:gridCol w:w="832"/>
        <w:gridCol w:w="4638"/>
        <w:gridCol w:w="829"/>
        <w:gridCol w:w="1429"/>
        <w:gridCol w:w="1452"/>
      </w:tblGrid>
      <w:tr>
        <w:tblPrEx>
          <w:tblCellMar>
            <w:top w:w="0" w:type="dxa"/>
            <w:left w:w="0" w:type="dxa"/>
            <w:bottom w:w="0" w:type="dxa"/>
            <w:right w:w="0" w:type="dxa"/>
          </w:tblCellMar>
        </w:tblPrEx>
        <w:trPr>
          <w:trHeight w:val="518" w:hRule="atLeast"/>
        </w:trPr>
        <w:tc>
          <w:tcPr>
            <w:tcW w:w="832" w:type="dxa"/>
            <w:tcBorders>
              <w:top w:val="nil"/>
              <w:left w:val="nil"/>
              <w:bottom w:val="nil"/>
              <w:right w:val="nil"/>
            </w:tcBorders>
            <w:shd w:val="clear" w:color="auto" w:fill="auto"/>
            <w:noWrap/>
            <w:tcMar>
              <w:top w:w="12" w:type="dxa"/>
              <w:left w:w="12" w:type="dxa"/>
              <w:right w:w="12" w:type="dxa"/>
            </w:tcMar>
            <w:vAlign w:val="bottom"/>
          </w:tcPr>
          <w:p>
            <w:pPr>
              <w:rPr>
                <w:rFonts w:hint="eastAsia" w:ascii="仿宋" w:hAnsi="仿宋" w:eastAsia="仿宋" w:cs="仿宋"/>
                <w:i w:val="0"/>
                <w:color w:val="000000"/>
                <w:sz w:val="30"/>
                <w:szCs w:val="30"/>
                <w:u w:val="none"/>
              </w:rPr>
            </w:pPr>
          </w:p>
        </w:tc>
        <w:tc>
          <w:tcPr>
            <w:tcW w:w="8348" w:type="dxa"/>
            <w:gridSpan w:val="4"/>
            <w:tcBorders>
              <w:top w:val="nil"/>
              <w:left w:val="nil"/>
              <w:bottom w:val="nil"/>
              <w:right w:val="nil"/>
            </w:tcBorders>
            <w:shd w:val="clear" w:color="auto" w:fill="auto"/>
            <w:tcMar>
              <w:top w:w="12" w:type="dxa"/>
              <w:left w:w="12" w:type="dxa"/>
              <w:right w:w="12" w:type="dxa"/>
            </w:tcMar>
            <w:vAlign w:val="top"/>
          </w:tcPr>
          <w:p>
            <w:pPr>
              <w:keepNext w:val="0"/>
              <w:keepLines w:val="0"/>
              <w:widowControl/>
              <w:suppressLineNumbers w:val="0"/>
              <w:ind w:firstLineChars="600"/>
              <w:jc w:val="left"/>
              <w:textAlignment w:val="top"/>
              <w:rPr>
                <w:rFonts w:hint="eastAsia" w:ascii="仿宋" w:hAnsi="仿宋" w:eastAsia="仿宋" w:cs="仿宋"/>
                <w:b/>
                <w:i w:val="0"/>
                <w:color w:val="000000"/>
                <w:sz w:val="30"/>
                <w:szCs w:val="30"/>
                <w:u w:val="none"/>
              </w:rPr>
            </w:pPr>
            <w:r>
              <w:rPr>
                <w:rFonts w:hint="eastAsia" w:ascii="仿宋" w:hAnsi="仿宋" w:eastAsia="仿宋" w:cs="仿宋"/>
                <w:b w:val="0"/>
                <w:bCs w:val="0"/>
                <w:i w:val="0"/>
                <w:color w:val="000000"/>
                <w:kern w:val="0"/>
                <w:sz w:val="32"/>
                <w:szCs w:val="32"/>
                <w:u w:val="none"/>
                <w:lang w:val="en-US" w:eastAsia="zh-CN" w:bidi="ar"/>
              </w:rPr>
              <w:t xml:space="preserve"> </w:t>
            </w:r>
            <w:r>
              <w:rPr>
                <w:rStyle w:val="33"/>
                <w:rFonts w:hint="eastAsia" w:ascii="仿宋" w:hAnsi="仿宋" w:eastAsia="仿宋" w:cs="仿宋"/>
                <w:b w:val="0"/>
                <w:bCs w:val="0"/>
                <w:sz w:val="32"/>
                <w:szCs w:val="32"/>
                <w:lang w:val="en-US" w:eastAsia="zh-CN" w:bidi="ar"/>
              </w:rPr>
              <w:t xml:space="preserve"> 附表4服务贡献表</w:t>
            </w:r>
          </w:p>
        </w:tc>
      </w:tr>
      <w:tr>
        <w:tblPrEx>
          <w:shd w:val="clear" w:color="auto" w:fill="auto"/>
          <w:tblCellMar>
            <w:top w:w="0" w:type="dxa"/>
            <w:left w:w="0" w:type="dxa"/>
            <w:bottom w:w="0" w:type="dxa"/>
            <w:right w:w="0" w:type="dxa"/>
          </w:tblCellMar>
        </w:tblPrEx>
        <w:trPr>
          <w:trHeight w:val="58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序号</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指标</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单位</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2023年</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2024年</w:t>
            </w:r>
          </w:p>
        </w:tc>
      </w:tr>
      <w:tr>
        <w:tblPrEx>
          <w:tblCellMar>
            <w:top w:w="0" w:type="dxa"/>
            <w:left w:w="0" w:type="dxa"/>
            <w:bottom w:w="0" w:type="dxa"/>
            <w:right w:w="0" w:type="dxa"/>
          </w:tblCellMar>
        </w:tblPrEx>
        <w:trPr>
          <w:trHeight w:val="577" w:hRule="atLeast"/>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毕业生初次就业人数</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人</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161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110 </w:t>
            </w:r>
          </w:p>
        </w:tc>
      </w:tr>
      <w:tr>
        <w:tblPrEx>
          <w:tblCellMar>
            <w:top w:w="0" w:type="dxa"/>
            <w:left w:w="0" w:type="dxa"/>
            <w:bottom w:w="0" w:type="dxa"/>
            <w:right w:w="0" w:type="dxa"/>
          </w:tblCellMar>
        </w:tblPrEx>
        <w:trPr>
          <w:trHeight w:val="56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其中：A类：留在当地就业人数</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人</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161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109 </w:t>
            </w:r>
          </w:p>
        </w:tc>
      </w:tr>
      <w:tr>
        <w:tblPrEx>
          <w:tblCellMar>
            <w:top w:w="0" w:type="dxa"/>
            <w:left w:w="0" w:type="dxa"/>
            <w:bottom w:w="0" w:type="dxa"/>
            <w:right w:w="0" w:type="dxa"/>
          </w:tblCellMar>
        </w:tblPrEx>
        <w:trPr>
          <w:trHeight w:val="59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 B类：到西部和东北地区就业人数</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人</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r>
      <w:tr>
        <w:tblPrEx>
          <w:shd w:val="clear" w:color="auto" w:fill="auto"/>
          <w:tblCellMar>
            <w:top w:w="0" w:type="dxa"/>
            <w:left w:w="0" w:type="dxa"/>
            <w:bottom w:w="0" w:type="dxa"/>
            <w:right w:w="0" w:type="dxa"/>
          </w:tblCellMar>
        </w:tblPrEx>
        <w:trPr>
          <w:trHeight w:val="56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300" w:firstLineChars="100"/>
              <w:jc w:val="both"/>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C类：到中小微企业就业人数</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人</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103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91 </w:t>
            </w:r>
          </w:p>
        </w:tc>
      </w:tr>
      <w:tr>
        <w:tblPrEx>
          <w:tblCellMar>
            <w:top w:w="0" w:type="dxa"/>
            <w:left w:w="0" w:type="dxa"/>
            <w:bottom w:w="0" w:type="dxa"/>
            <w:right w:w="0" w:type="dxa"/>
          </w:tblCellMar>
        </w:tblPrEx>
        <w:trPr>
          <w:trHeight w:val="59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300" w:firstLineChars="100"/>
              <w:jc w:val="both"/>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D类：到大型企业就业人数</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人</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57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18 </w:t>
            </w:r>
          </w:p>
        </w:tc>
      </w:tr>
      <w:tr>
        <w:tblPrEx>
          <w:shd w:val="clear" w:color="auto" w:fill="auto"/>
          <w:tblCellMar>
            <w:top w:w="0" w:type="dxa"/>
            <w:left w:w="0" w:type="dxa"/>
            <w:bottom w:w="0" w:type="dxa"/>
            <w:right w:w="0" w:type="dxa"/>
          </w:tblCellMar>
        </w:tblPrEx>
        <w:trPr>
          <w:trHeight w:val="561" w:hRule="atLeast"/>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2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横向技术服务到款额</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万元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0"/>
                <w:szCs w:val="30"/>
                <w:u w:val="none"/>
              </w:rPr>
            </w:pPr>
          </w:p>
        </w:tc>
      </w:tr>
      <w:tr>
        <w:tblPrEx>
          <w:shd w:val="clear" w:color="auto" w:fill="auto"/>
          <w:tblCellMar>
            <w:top w:w="0" w:type="dxa"/>
            <w:left w:w="0" w:type="dxa"/>
            <w:bottom w:w="0" w:type="dxa"/>
            <w:right w:w="0" w:type="dxa"/>
          </w:tblCellMar>
        </w:tblPrEx>
        <w:trPr>
          <w:trHeight w:val="59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横向技术服务产生的经济效益</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万元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0"/>
                <w:szCs w:val="30"/>
                <w:u w:val="none"/>
              </w:rPr>
            </w:pPr>
          </w:p>
        </w:tc>
      </w:tr>
      <w:tr>
        <w:tblPrEx>
          <w:shd w:val="clear" w:color="auto" w:fill="auto"/>
          <w:tblCellMar>
            <w:top w:w="0" w:type="dxa"/>
            <w:left w:w="0" w:type="dxa"/>
            <w:bottom w:w="0" w:type="dxa"/>
            <w:right w:w="0" w:type="dxa"/>
          </w:tblCellMar>
        </w:tblPrEx>
        <w:trPr>
          <w:trHeight w:val="56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3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纵向科研经费到款额</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万元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0"/>
                <w:szCs w:val="30"/>
                <w:u w:val="none"/>
              </w:rPr>
            </w:pPr>
          </w:p>
        </w:tc>
      </w:tr>
      <w:tr>
        <w:tblPrEx>
          <w:tblCellMar>
            <w:top w:w="0" w:type="dxa"/>
            <w:left w:w="0" w:type="dxa"/>
            <w:bottom w:w="0" w:type="dxa"/>
            <w:right w:w="0" w:type="dxa"/>
          </w:tblCellMar>
        </w:tblPrEx>
        <w:trPr>
          <w:trHeight w:val="59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4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技术产权交易收入</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万元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w:t>
            </w:r>
          </w:p>
        </w:tc>
      </w:tr>
      <w:tr>
        <w:tblPrEx>
          <w:shd w:val="clear" w:color="auto" w:fill="auto"/>
          <w:tblCellMar>
            <w:top w:w="0" w:type="dxa"/>
            <w:left w:w="0" w:type="dxa"/>
            <w:bottom w:w="0" w:type="dxa"/>
            <w:right w:w="0" w:type="dxa"/>
          </w:tblCellMar>
        </w:tblPrEx>
        <w:trPr>
          <w:trHeight w:val="561" w:hRule="atLeast"/>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5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知识产权项目数量</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项</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0"/>
                <w:szCs w:val="30"/>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0"/>
                <w:szCs w:val="30"/>
                <w:u w:val="none"/>
              </w:rPr>
            </w:pPr>
          </w:p>
        </w:tc>
      </w:tr>
      <w:tr>
        <w:tblPrEx>
          <w:shd w:val="clear" w:color="auto" w:fill="auto"/>
          <w:tblCellMar>
            <w:top w:w="0" w:type="dxa"/>
            <w:left w:w="0" w:type="dxa"/>
            <w:bottom w:w="0" w:type="dxa"/>
            <w:right w:w="0" w:type="dxa"/>
          </w:tblCellMar>
        </w:tblPrEx>
        <w:trPr>
          <w:trHeight w:val="59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其中：专利授权数量</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项</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w:t>
            </w:r>
          </w:p>
        </w:tc>
      </w:tr>
      <w:tr>
        <w:tblPrEx>
          <w:shd w:val="clear" w:color="auto" w:fill="auto"/>
          <w:tblCellMar>
            <w:top w:w="0" w:type="dxa"/>
            <w:left w:w="0" w:type="dxa"/>
            <w:bottom w:w="0" w:type="dxa"/>
            <w:right w:w="0" w:type="dxa"/>
          </w:tblCellMar>
        </w:tblPrEx>
        <w:trPr>
          <w:trHeight w:val="56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发明专利授权数量</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项</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0"/>
                <w:szCs w:val="30"/>
                <w:u w:val="none"/>
              </w:rPr>
            </w:pPr>
          </w:p>
        </w:tc>
      </w:tr>
      <w:tr>
        <w:tblPrEx>
          <w:shd w:val="clear" w:color="auto" w:fill="auto"/>
          <w:tblCellMar>
            <w:top w:w="0" w:type="dxa"/>
            <w:left w:w="0" w:type="dxa"/>
            <w:bottom w:w="0" w:type="dxa"/>
            <w:right w:w="0" w:type="dxa"/>
          </w:tblCellMar>
        </w:tblPrEx>
        <w:trPr>
          <w:trHeight w:val="59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6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专利转让数量</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项</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w:t>
            </w:r>
          </w:p>
        </w:tc>
      </w:tr>
      <w:tr>
        <w:tblPrEx>
          <w:shd w:val="clear" w:color="auto" w:fill="auto"/>
          <w:tblCellMar>
            <w:top w:w="0" w:type="dxa"/>
            <w:left w:w="0" w:type="dxa"/>
            <w:bottom w:w="0" w:type="dxa"/>
            <w:right w:w="0" w:type="dxa"/>
          </w:tblCellMar>
        </w:tblPrEx>
        <w:trPr>
          <w:trHeight w:val="56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7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专利成果转化到款额</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万元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w:t>
            </w:r>
          </w:p>
        </w:tc>
      </w:tr>
      <w:tr>
        <w:tblPrEx>
          <w:shd w:val="clear" w:color="auto" w:fill="auto"/>
          <w:tblCellMar>
            <w:top w:w="0" w:type="dxa"/>
            <w:left w:w="0" w:type="dxa"/>
            <w:bottom w:w="0" w:type="dxa"/>
            <w:right w:w="0" w:type="dxa"/>
          </w:tblCellMar>
        </w:tblPrEx>
        <w:trPr>
          <w:trHeight w:val="591" w:hRule="atLeast"/>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8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非学历培训项目数</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项</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4 </w:t>
            </w:r>
          </w:p>
        </w:tc>
      </w:tr>
      <w:tr>
        <w:tblPrEx>
          <w:shd w:val="clear" w:color="auto" w:fill="auto"/>
          <w:tblCellMar>
            <w:top w:w="0" w:type="dxa"/>
            <w:left w:w="0" w:type="dxa"/>
            <w:bottom w:w="0" w:type="dxa"/>
            <w:right w:w="0" w:type="dxa"/>
          </w:tblCellMar>
        </w:tblPrEx>
        <w:trPr>
          <w:trHeight w:val="56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非学历培训学时</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学时</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30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120 </w:t>
            </w:r>
          </w:p>
        </w:tc>
      </w:tr>
      <w:tr>
        <w:tblPrEx>
          <w:shd w:val="clear" w:color="auto" w:fill="auto"/>
          <w:tblCellMar>
            <w:top w:w="0" w:type="dxa"/>
            <w:left w:w="0" w:type="dxa"/>
            <w:bottom w:w="0" w:type="dxa"/>
            <w:right w:w="0" w:type="dxa"/>
          </w:tblCellMar>
        </w:tblPrEx>
        <w:trPr>
          <w:trHeight w:val="591" w:hRule="atLeast"/>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0"/>
                <w:szCs w:val="30"/>
                <w:u w:val="none"/>
              </w:rPr>
            </w:pP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公益项目培训学时</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学时</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6 </w:t>
            </w:r>
          </w:p>
        </w:tc>
      </w:tr>
      <w:tr>
        <w:tblPrEx>
          <w:shd w:val="clear" w:color="auto" w:fill="auto"/>
          <w:tblCellMar>
            <w:top w:w="0" w:type="dxa"/>
            <w:left w:w="0" w:type="dxa"/>
            <w:bottom w:w="0" w:type="dxa"/>
            <w:right w:w="0" w:type="dxa"/>
          </w:tblCellMar>
        </w:tblPrEx>
        <w:trPr>
          <w:trHeight w:val="598"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9 </w:t>
            </w:r>
          </w:p>
        </w:tc>
        <w:tc>
          <w:tcPr>
            <w:tcW w:w="4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非学历培训到账经费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万元</w:t>
            </w:r>
          </w:p>
        </w:tc>
        <w:tc>
          <w:tcPr>
            <w:tcW w:w="1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39.30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0"/>
                <w:szCs w:val="30"/>
                <w:u w:val="none"/>
              </w:rPr>
            </w:pPr>
            <w:r>
              <w:rPr>
                <w:rFonts w:hint="eastAsia" w:ascii="仿宋" w:hAnsi="仿宋" w:eastAsia="仿宋" w:cs="仿宋"/>
                <w:i w:val="0"/>
                <w:color w:val="000000"/>
                <w:kern w:val="0"/>
                <w:sz w:val="30"/>
                <w:szCs w:val="30"/>
                <w:u w:val="none"/>
                <w:lang w:val="en-US" w:eastAsia="zh-CN" w:bidi="ar"/>
              </w:rPr>
              <w:t xml:space="preserve">14.00 </w:t>
            </w:r>
          </w:p>
        </w:tc>
      </w:tr>
    </w:tbl>
    <w:p>
      <w:pPr>
        <w:rPr>
          <w:rFonts w:hint="eastAsia"/>
          <w:lang w:eastAsia="zh-CN"/>
        </w:rPr>
      </w:pPr>
    </w:p>
    <w:p>
      <w:pPr>
        <w:pStyle w:val="2"/>
        <w:pageBreakBefore w:val="0"/>
        <w:kinsoku/>
        <w:wordWrap/>
        <w:overflowPunct/>
        <w:topLinePunct w:val="0"/>
        <w:bidi w:val="0"/>
        <w:spacing w:beforeAutospacing="0" w:after="0" w:afterAutospacing="0" w:line="560" w:lineRule="exact"/>
        <w:rPr>
          <w:rFonts w:hint="eastAsia"/>
          <w:lang w:eastAsia="zh-CN"/>
        </w:rPr>
      </w:pPr>
    </w:p>
    <w:tbl>
      <w:tblPr>
        <w:tblStyle w:val="14"/>
        <w:tblW w:w="9400" w:type="dxa"/>
        <w:tblInd w:w="0" w:type="dxa"/>
        <w:shd w:val="clear" w:color="auto" w:fill="auto"/>
        <w:tblLayout w:type="fixed"/>
        <w:tblCellMar>
          <w:top w:w="0" w:type="dxa"/>
          <w:left w:w="0" w:type="dxa"/>
          <w:bottom w:w="0" w:type="dxa"/>
          <w:right w:w="0" w:type="dxa"/>
        </w:tblCellMar>
      </w:tblPr>
      <w:tblGrid>
        <w:gridCol w:w="732"/>
        <w:gridCol w:w="5597"/>
        <w:gridCol w:w="786"/>
        <w:gridCol w:w="1067"/>
        <w:gridCol w:w="1218"/>
      </w:tblGrid>
      <w:tr>
        <w:tblPrEx>
          <w:tblCellMar>
            <w:top w:w="0" w:type="dxa"/>
            <w:left w:w="0" w:type="dxa"/>
            <w:bottom w:w="0" w:type="dxa"/>
            <w:right w:w="0" w:type="dxa"/>
          </w:tblCellMar>
        </w:tblPrEx>
        <w:trPr>
          <w:trHeight w:val="645" w:hRule="atLeast"/>
        </w:trPr>
        <w:tc>
          <w:tcPr>
            <w:tcW w:w="9400" w:type="dxa"/>
            <w:gridSpan w:val="5"/>
            <w:tcBorders>
              <w:top w:val="nil"/>
              <w:left w:val="nil"/>
              <w:bottom w:val="nil"/>
              <w:right w:val="nil"/>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附表</w:t>
            </w:r>
            <w:r>
              <w:rPr>
                <w:rStyle w:val="34"/>
                <w:rFonts w:hint="eastAsia" w:ascii="仿宋" w:hAnsi="仿宋" w:eastAsia="仿宋" w:cs="仿宋"/>
                <w:sz w:val="32"/>
                <w:szCs w:val="32"/>
                <w:lang w:val="en-US" w:eastAsia="zh-CN" w:bidi="ar"/>
              </w:rPr>
              <w:t xml:space="preserve">5 </w:t>
            </w:r>
            <w:r>
              <w:rPr>
                <w:rFonts w:hint="eastAsia" w:ascii="仿宋" w:hAnsi="仿宋" w:eastAsia="仿宋" w:cs="仿宋"/>
                <w:i w:val="0"/>
                <w:color w:val="000000"/>
                <w:kern w:val="0"/>
                <w:sz w:val="32"/>
                <w:szCs w:val="32"/>
                <w:u w:val="none"/>
                <w:lang w:val="en-US" w:eastAsia="zh-CN" w:bidi="ar"/>
              </w:rPr>
              <w:t>国际影响表</w:t>
            </w:r>
          </w:p>
        </w:tc>
      </w:tr>
      <w:tr>
        <w:tblPrEx>
          <w:shd w:val="clear" w:color="auto" w:fill="auto"/>
          <w:tblCellMar>
            <w:top w:w="0" w:type="dxa"/>
            <w:left w:w="0" w:type="dxa"/>
            <w:bottom w:w="0" w:type="dxa"/>
            <w:right w:w="0" w:type="dxa"/>
          </w:tblCellMar>
        </w:tblPrEx>
        <w:trPr>
          <w:trHeight w:val="1288"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序号</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指标</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单位</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2023年</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2024年</w:t>
            </w:r>
          </w:p>
        </w:tc>
      </w:tr>
      <w:tr>
        <w:tblPrEx>
          <w:shd w:val="clear" w:color="auto" w:fill="auto"/>
          <w:tblCellMar>
            <w:top w:w="0" w:type="dxa"/>
            <w:left w:w="0" w:type="dxa"/>
            <w:bottom w:w="0" w:type="dxa"/>
            <w:right w:w="0" w:type="dxa"/>
          </w:tblCellMar>
        </w:tblPrEx>
        <w:trPr>
          <w:trHeight w:val="1288" w:hRule="atLeast"/>
        </w:trPr>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1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开发并被国外采用的职业教育标准、资源、装备数量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shd w:val="clear" w:color="auto" w:fill="auto"/>
          <w:tblCellMar>
            <w:top w:w="0" w:type="dxa"/>
            <w:left w:w="0" w:type="dxa"/>
            <w:bottom w:w="0" w:type="dxa"/>
            <w:right w:w="0" w:type="dxa"/>
          </w:tblCellMar>
        </w:tblPrEx>
        <w:trPr>
          <w:trHeight w:val="655" w:hRule="atLeast"/>
        </w:trPr>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2"/>
                <w:szCs w:val="32"/>
                <w:u w:val="none"/>
              </w:rPr>
            </w:pP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其中：标准数量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2"/>
                <w:szCs w:val="32"/>
                <w:u w:val="none"/>
              </w:rPr>
            </w:pPr>
          </w:p>
        </w:tc>
      </w:tr>
      <w:tr>
        <w:tblPrEx>
          <w:shd w:val="clear" w:color="auto" w:fill="auto"/>
          <w:tblCellMar>
            <w:top w:w="0" w:type="dxa"/>
            <w:left w:w="0" w:type="dxa"/>
            <w:bottom w:w="0" w:type="dxa"/>
            <w:right w:w="0" w:type="dxa"/>
          </w:tblCellMar>
        </w:tblPrEx>
        <w:trPr>
          <w:trHeight w:val="655" w:hRule="atLeast"/>
        </w:trPr>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2"/>
                <w:szCs w:val="32"/>
                <w:u w:val="none"/>
              </w:rPr>
            </w:pP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专业标准数量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2"/>
                <w:szCs w:val="32"/>
                <w:u w:val="none"/>
              </w:rPr>
            </w:pPr>
          </w:p>
        </w:tc>
      </w:tr>
      <w:tr>
        <w:tblPrEx>
          <w:shd w:val="clear" w:color="auto" w:fill="auto"/>
          <w:tblCellMar>
            <w:top w:w="0" w:type="dxa"/>
            <w:left w:w="0" w:type="dxa"/>
            <w:bottom w:w="0" w:type="dxa"/>
            <w:right w:w="0" w:type="dxa"/>
          </w:tblCellMar>
        </w:tblPrEx>
        <w:trPr>
          <w:trHeight w:val="655" w:hRule="atLeast"/>
        </w:trPr>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2"/>
                <w:szCs w:val="32"/>
                <w:u w:val="none"/>
              </w:rPr>
            </w:pP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课程标准数量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2"/>
                <w:szCs w:val="32"/>
                <w:u w:val="none"/>
              </w:rPr>
            </w:pPr>
          </w:p>
        </w:tc>
      </w:tr>
      <w:tr>
        <w:tblPrEx>
          <w:shd w:val="clear" w:color="auto" w:fill="auto"/>
          <w:tblCellMar>
            <w:top w:w="0" w:type="dxa"/>
            <w:left w:w="0" w:type="dxa"/>
            <w:bottom w:w="0" w:type="dxa"/>
            <w:right w:w="0" w:type="dxa"/>
          </w:tblCellMar>
        </w:tblPrEx>
        <w:trPr>
          <w:trHeight w:val="655" w:hRule="atLeast"/>
        </w:trPr>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2"/>
                <w:szCs w:val="32"/>
                <w:u w:val="none"/>
              </w:rPr>
            </w:pP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资源数量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2"/>
                <w:szCs w:val="32"/>
                <w:u w:val="none"/>
              </w:rPr>
            </w:pPr>
          </w:p>
        </w:tc>
      </w:tr>
      <w:tr>
        <w:tblPrEx>
          <w:shd w:val="clear" w:color="auto" w:fill="auto"/>
          <w:tblCellMar>
            <w:top w:w="0" w:type="dxa"/>
            <w:left w:w="0" w:type="dxa"/>
            <w:bottom w:w="0" w:type="dxa"/>
            <w:right w:w="0" w:type="dxa"/>
          </w:tblCellMar>
        </w:tblPrEx>
        <w:trPr>
          <w:trHeight w:val="655" w:hRule="atLeast"/>
        </w:trPr>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2"/>
                <w:szCs w:val="32"/>
                <w:u w:val="none"/>
              </w:rPr>
            </w:pP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装备数量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shd w:val="clear" w:color="auto" w:fill="auto"/>
          <w:tblCellMar>
            <w:top w:w="0" w:type="dxa"/>
            <w:left w:w="0" w:type="dxa"/>
            <w:bottom w:w="0" w:type="dxa"/>
            <w:right w:w="0" w:type="dxa"/>
          </w:tblCellMar>
        </w:tblPrEx>
        <w:trPr>
          <w:trHeight w:val="655"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2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接收国外留学生专业数</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2"/>
                <w:szCs w:val="32"/>
                <w:u w:val="none"/>
              </w:rPr>
            </w:pPr>
          </w:p>
        </w:tc>
      </w:tr>
      <w:tr>
        <w:tblPrEx>
          <w:tblCellMar>
            <w:top w:w="0" w:type="dxa"/>
            <w:left w:w="0" w:type="dxa"/>
            <w:bottom w:w="0" w:type="dxa"/>
            <w:right w:w="0" w:type="dxa"/>
          </w:tblCellMar>
        </w:tblPrEx>
        <w:trPr>
          <w:trHeight w:val="655"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3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接收国外留学生人数</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人</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shd w:val="clear" w:color="auto" w:fill="auto"/>
          <w:tblCellMar>
            <w:top w:w="0" w:type="dxa"/>
            <w:left w:w="0" w:type="dxa"/>
            <w:bottom w:w="0" w:type="dxa"/>
            <w:right w:w="0" w:type="dxa"/>
          </w:tblCellMar>
        </w:tblPrEx>
        <w:trPr>
          <w:trHeight w:val="655"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4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接收国外访学教师人数</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人</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shd w:val="clear" w:color="auto" w:fill="auto"/>
          <w:tblCellMar>
            <w:top w:w="0" w:type="dxa"/>
            <w:left w:w="0" w:type="dxa"/>
            <w:bottom w:w="0" w:type="dxa"/>
            <w:right w:w="0" w:type="dxa"/>
          </w:tblCellMar>
        </w:tblPrEx>
        <w:trPr>
          <w:trHeight w:val="655" w:hRule="atLeast"/>
        </w:trPr>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5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中外合作办学专业数</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tblCellMar>
            <w:top w:w="0" w:type="dxa"/>
            <w:left w:w="0" w:type="dxa"/>
            <w:bottom w:w="0" w:type="dxa"/>
            <w:right w:w="0" w:type="dxa"/>
          </w:tblCellMar>
        </w:tblPrEx>
        <w:trPr>
          <w:trHeight w:val="655" w:hRule="atLeast"/>
        </w:trPr>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32"/>
                <w:szCs w:val="32"/>
                <w:u w:val="none"/>
              </w:rPr>
            </w:pP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其中：在校生数</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人</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shd w:val="clear" w:color="auto" w:fill="auto"/>
          <w:tblCellMar>
            <w:top w:w="0" w:type="dxa"/>
            <w:left w:w="0" w:type="dxa"/>
            <w:bottom w:w="0" w:type="dxa"/>
            <w:right w:w="0" w:type="dxa"/>
          </w:tblCellMar>
        </w:tblPrEx>
        <w:trPr>
          <w:trHeight w:val="1077"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6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专任教师赴国外指导和开展培训时间</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人日</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r>
        <w:tblPrEx>
          <w:shd w:val="clear" w:color="auto" w:fill="auto"/>
          <w:tblCellMar>
            <w:top w:w="0" w:type="dxa"/>
            <w:left w:w="0" w:type="dxa"/>
            <w:bottom w:w="0" w:type="dxa"/>
            <w:right w:w="0" w:type="dxa"/>
          </w:tblCellMar>
        </w:tblPrEx>
        <w:trPr>
          <w:trHeight w:val="892"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7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在国外组织担任职务的专任教师人数</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人</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jc w:val="left"/>
              <w:rPr>
                <w:rFonts w:hint="eastAsia" w:ascii="仿宋" w:hAnsi="仿宋" w:eastAsia="仿宋" w:cs="仿宋"/>
                <w:i w:val="0"/>
                <w:color w:val="000000"/>
                <w:sz w:val="32"/>
                <w:szCs w:val="32"/>
                <w:u w:val="none"/>
              </w:rPr>
            </w:pPr>
          </w:p>
        </w:tc>
      </w:tr>
      <w:tr>
        <w:tblPrEx>
          <w:shd w:val="clear" w:color="auto" w:fill="auto"/>
          <w:tblCellMar>
            <w:top w:w="0" w:type="dxa"/>
            <w:left w:w="0" w:type="dxa"/>
            <w:bottom w:w="0" w:type="dxa"/>
            <w:right w:w="0" w:type="dxa"/>
          </w:tblCellMar>
        </w:tblPrEx>
        <w:trPr>
          <w:trHeight w:val="665" w:hRule="atLeast"/>
        </w:trPr>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8 </w:t>
            </w:r>
          </w:p>
        </w:tc>
        <w:tc>
          <w:tcPr>
            <w:tcW w:w="55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国际技能大赛获奖数量</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Style w:val="35"/>
                <w:rFonts w:hint="eastAsia" w:ascii="仿宋" w:hAnsi="仿宋" w:eastAsia="仿宋" w:cs="仿宋"/>
                <w:sz w:val="32"/>
                <w:szCs w:val="32"/>
                <w:lang w:val="en-US" w:eastAsia="zh-CN" w:bidi="ar"/>
              </w:rPr>
              <w:t>项</w:t>
            </w:r>
          </w:p>
        </w:tc>
        <w:tc>
          <w:tcPr>
            <w:tcW w:w="10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 xml:space="preserve">0 </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32"/>
                <w:szCs w:val="32"/>
                <w:u w:val="none"/>
              </w:rPr>
            </w:pPr>
            <w:r>
              <w:rPr>
                <w:rFonts w:hint="eastAsia" w:ascii="仿宋" w:hAnsi="仿宋" w:eastAsia="仿宋" w:cs="仿宋"/>
                <w:i w:val="0"/>
                <w:color w:val="000000"/>
                <w:kern w:val="0"/>
                <w:sz w:val="32"/>
                <w:szCs w:val="32"/>
                <w:u w:val="none"/>
                <w:lang w:val="en-US" w:eastAsia="zh-CN" w:bidi="ar"/>
              </w:rPr>
              <w:t>-</w:t>
            </w:r>
          </w:p>
        </w:tc>
      </w:tr>
    </w:tbl>
    <w:p>
      <w:pPr>
        <w:pageBreakBefore w:val="0"/>
        <w:kinsoku/>
        <w:wordWrap/>
        <w:overflowPunct/>
        <w:topLinePunct w:val="0"/>
        <w:bidi w:val="0"/>
        <w:spacing w:beforeAutospacing="0" w:afterAutospacing="0" w:line="560" w:lineRule="exact"/>
        <w:rPr>
          <w:rFonts w:hint="eastAsia"/>
          <w:lang w:eastAsia="zh-CN"/>
        </w:rPr>
      </w:pPr>
    </w:p>
    <w:p>
      <w:pPr>
        <w:pStyle w:val="2"/>
        <w:pageBreakBefore w:val="0"/>
        <w:kinsoku/>
        <w:wordWrap/>
        <w:overflowPunct/>
        <w:topLinePunct w:val="0"/>
        <w:bidi w:val="0"/>
        <w:spacing w:beforeAutospacing="0" w:after="0" w:afterAutospacing="0" w:line="560" w:lineRule="exact"/>
        <w:rPr>
          <w:rFonts w:hint="eastAsia"/>
          <w:lang w:eastAsia="zh-CN"/>
        </w:rPr>
      </w:pPr>
    </w:p>
    <w:tbl>
      <w:tblPr>
        <w:tblStyle w:val="14"/>
        <w:tblW w:w="9840" w:type="dxa"/>
        <w:tblInd w:w="0" w:type="dxa"/>
        <w:shd w:val="clear" w:color="auto" w:fill="auto"/>
        <w:tblLayout w:type="fixed"/>
        <w:tblCellMar>
          <w:top w:w="0" w:type="dxa"/>
          <w:left w:w="0" w:type="dxa"/>
          <w:bottom w:w="0" w:type="dxa"/>
          <w:right w:w="0" w:type="dxa"/>
        </w:tblCellMar>
      </w:tblPr>
      <w:tblGrid>
        <w:gridCol w:w="687"/>
        <w:gridCol w:w="6140"/>
        <w:gridCol w:w="688"/>
        <w:gridCol w:w="1131"/>
        <w:gridCol w:w="1194"/>
      </w:tblGrid>
      <w:tr>
        <w:tblPrEx>
          <w:tblCellMar>
            <w:top w:w="0" w:type="dxa"/>
            <w:left w:w="0" w:type="dxa"/>
            <w:bottom w:w="0" w:type="dxa"/>
            <w:right w:w="0" w:type="dxa"/>
          </w:tblCellMar>
        </w:tblPrEx>
        <w:trPr>
          <w:trHeight w:val="526" w:hRule="atLeast"/>
        </w:trPr>
        <w:tc>
          <w:tcPr>
            <w:tcW w:w="9840" w:type="dxa"/>
            <w:gridSpan w:val="5"/>
            <w:tcBorders>
              <w:top w:val="nil"/>
              <w:left w:val="nil"/>
              <w:bottom w:val="nil"/>
              <w:right w:val="nil"/>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仿宋" w:hAnsi="仿宋" w:eastAsia="仿宋" w:cs="仿宋"/>
                <w:i w:val="0"/>
                <w:color w:val="000000"/>
                <w:sz w:val="30"/>
                <w:szCs w:val="30"/>
                <w:u w:val="none"/>
              </w:rPr>
            </w:pPr>
            <w:r>
              <w:rPr>
                <w:rStyle w:val="36"/>
                <w:rFonts w:hint="eastAsia" w:ascii="仿宋" w:hAnsi="仿宋" w:eastAsia="仿宋" w:cs="仿宋"/>
                <w:sz w:val="32"/>
                <w:szCs w:val="32"/>
                <w:lang w:val="en-US" w:eastAsia="zh-CN" w:bidi="ar"/>
              </w:rPr>
              <w:t>附表</w:t>
            </w:r>
            <w:r>
              <w:rPr>
                <w:rStyle w:val="37"/>
                <w:rFonts w:hint="eastAsia" w:ascii="仿宋" w:hAnsi="仿宋" w:eastAsia="仿宋" w:cs="仿宋"/>
                <w:sz w:val="32"/>
                <w:szCs w:val="32"/>
                <w:lang w:val="en-US" w:eastAsia="zh-CN" w:bidi="ar"/>
              </w:rPr>
              <w:t xml:space="preserve">6 </w:t>
            </w:r>
            <w:r>
              <w:rPr>
                <w:rStyle w:val="36"/>
                <w:rFonts w:hint="eastAsia" w:ascii="仿宋" w:hAnsi="仿宋" w:eastAsia="仿宋" w:cs="仿宋"/>
                <w:sz w:val="32"/>
                <w:szCs w:val="32"/>
                <w:lang w:val="en-US" w:eastAsia="zh-CN" w:bidi="ar"/>
              </w:rPr>
              <w:t>落实政策表</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序号</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指标</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单位</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2023年</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0"/>
                <w:szCs w:val="30"/>
                <w:u w:val="none"/>
              </w:rPr>
            </w:pPr>
            <w:r>
              <w:rPr>
                <w:rFonts w:hint="eastAsia" w:ascii="仿宋" w:hAnsi="仿宋" w:eastAsia="仿宋" w:cs="仿宋"/>
                <w:b/>
                <w:i w:val="0"/>
                <w:color w:val="000000"/>
                <w:kern w:val="0"/>
                <w:sz w:val="30"/>
                <w:szCs w:val="30"/>
                <w:u w:val="none"/>
                <w:lang w:val="en-US" w:eastAsia="zh-CN" w:bidi="ar"/>
              </w:rPr>
              <w:t>2024年</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全日制在校生人数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1359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1226 </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年生均财政拨款水平</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2000.00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2000.00 </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年度财政专项经费</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万元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1798.60 </w:t>
            </w:r>
          </w:p>
        </w:tc>
      </w:tr>
      <w:tr>
        <w:tblPrEx>
          <w:shd w:val="clear" w:color="auto" w:fill="auto"/>
          <w:tblCellMar>
            <w:top w:w="0" w:type="dxa"/>
            <w:left w:w="0" w:type="dxa"/>
            <w:bottom w:w="0" w:type="dxa"/>
            <w:right w:w="0" w:type="dxa"/>
          </w:tblCellMar>
        </w:tblPrEx>
        <w:trPr>
          <w:trHeight w:val="534" w:hRule="atLeast"/>
        </w:trPr>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教职员工额定编制数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60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教职工总数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75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69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其中：专任教师总数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61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思政课教师数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13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13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体育课专任教师数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美育课专任教师数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firstLineChars="10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班主任人数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25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37 </w:t>
            </w:r>
          </w:p>
        </w:tc>
      </w:tr>
      <w:tr>
        <w:tblPrEx>
          <w:shd w:val="clear" w:color="auto" w:fill="auto"/>
          <w:tblCellMar>
            <w:top w:w="0" w:type="dxa"/>
            <w:left w:w="0" w:type="dxa"/>
            <w:bottom w:w="0" w:type="dxa"/>
            <w:right w:w="0" w:type="dxa"/>
          </w:tblCellMar>
        </w:tblPrEx>
        <w:trPr>
          <w:trHeight w:val="534" w:hRule="atLeast"/>
        </w:trPr>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参加国家学生体质健康标准测试人数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952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1175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其中：学生体质测评合格率</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51.30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88.85 </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职业技能等级证书（含职业资格证书）获取人数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328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377 </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7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企业提供的校内实践教学设备值</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万元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0.12 </w:t>
            </w:r>
          </w:p>
        </w:tc>
      </w:tr>
      <w:tr>
        <w:tblPrEx>
          <w:shd w:val="clear" w:color="auto" w:fill="auto"/>
          <w:tblCellMar>
            <w:top w:w="0" w:type="dxa"/>
            <w:left w:w="0" w:type="dxa"/>
            <w:bottom w:w="0" w:type="dxa"/>
            <w:right w:w="0" w:type="dxa"/>
          </w:tblCellMar>
        </w:tblPrEx>
        <w:trPr>
          <w:trHeight w:val="53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与企业共建开放型区域产教融合实践中心数量</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个</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r>
      <w:tr>
        <w:tblPrEx>
          <w:shd w:val="clear" w:color="auto" w:fill="auto"/>
          <w:tblCellMar>
            <w:top w:w="0" w:type="dxa"/>
            <w:left w:w="0" w:type="dxa"/>
            <w:bottom w:w="0" w:type="dxa"/>
            <w:right w:w="0" w:type="dxa"/>
          </w:tblCellMar>
        </w:tblPrEx>
        <w:trPr>
          <w:trHeight w:val="534" w:hRule="atLeast"/>
        </w:trPr>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聘请行业导师人数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其中：聘请大国工匠、劳动模范人数</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行业导师年课时总量</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课时</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r>
      <w:tr>
        <w:tblPrEx>
          <w:shd w:val="clear" w:color="auto" w:fill="auto"/>
          <w:tblCellMar>
            <w:top w:w="0" w:type="dxa"/>
            <w:left w:w="0" w:type="dxa"/>
            <w:bottom w:w="0" w:type="dxa"/>
            <w:right w:w="0" w:type="dxa"/>
          </w:tblCellMar>
        </w:tblPrEx>
        <w:trPr>
          <w:trHeight w:val="400"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年支付行业导师课酬</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万元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0 </w:t>
            </w:r>
          </w:p>
        </w:tc>
      </w:tr>
      <w:tr>
        <w:tblPrEx>
          <w:shd w:val="clear" w:color="auto" w:fill="auto"/>
          <w:tblCellMar>
            <w:top w:w="0" w:type="dxa"/>
            <w:left w:w="0" w:type="dxa"/>
            <w:bottom w:w="0" w:type="dxa"/>
            <w:right w:w="0" w:type="dxa"/>
          </w:tblCellMar>
        </w:tblPrEx>
        <w:trPr>
          <w:trHeight w:val="534" w:hRule="atLeast"/>
        </w:trPr>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10 </w:t>
            </w: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年度实习专项经费</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万元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5.70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5.70 </w:t>
            </w: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534" w:hRule="atLeast"/>
        </w:trPr>
        <w:tc>
          <w:tcPr>
            <w:tcW w:w="687"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542" w:hRule="atLeast"/>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4"/>
                <w:szCs w:val="24"/>
                <w:u w:val="none"/>
              </w:rPr>
            </w:pPr>
          </w:p>
        </w:tc>
        <w:tc>
          <w:tcPr>
            <w:tcW w:w="6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其中：年实习责任保险经费</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万元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1.25 </w:t>
            </w:r>
          </w:p>
        </w:tc>
        <w:tc>
          <w:tcPr>
            <w:tcW w:w="119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2.76 </w:t>
            </w:r>
          </w:p>
        </w:tc>
      </w:tr>
    </w:tbl>
    <w:p>
      <w:pPr>
        <w:pageBreakBefore w:val="0"/>
        <w:kinsoku/>
        <w:wordWrap/>
        <w:overflowPunct/>
        <w:topLinePunct w:val="0"/>
        <w:bidi w:val="0"/>
        <w:spacing w:beforeAutospacing="0" w:afterAutospacing="0" w:line="560" w:lineRule="exact"/>
        <w:rPr>
          <w:rFonts w:hint="eastAsia"/>
          <w:sz w:val="24"/>
          <w:szCs w:val="24"/>
          <w:lang w:eastAsia="zh-CN"/>
        </w:rPr>
      </w:pPr>
      <w:r>
        <w:drawing>
          <wp:anchor distT="0" distB="0" distL="114300" distR="114300" simplePos="0" relativeHeight="251660288" behindDoc="1" locked="0" layoutInCell="1" allowOverlap="1">
            <wp:simplePos x="0" y="0"/>
            <wp:positionH relativeFrom="column">
              <wp:posOffset>-673735</wp:posOffset>
            </wp:positionH>
            <wp:positionV relativeFrom="paragraph">
              <wp:posOffset>-900430</wp:posOffset>
            </wp:positionV>
            <wp:extent cx="7632065" cy="10781030"/>
            <wp:effectExtent l="0" t="0" r="3175" b="889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0"/>
                    <a:stretch>
                      <a:fillRect/>
                    </a:stretch>
                  </pic:blipFill>
                  <pic:spPr>
                    <a:xfrm>
                      <a:off x="0" y="0"/>
                      <a:ext cx="7632065" cy="10781030"/>
                    </a:xfrm>
                    <a:prstGeom prst="rect">
                      <a:avLst/>
                    </a:prstGeom>
                    <a:noFill/>
                    <a:ln>
                      <a:noFill/>
                    </a:ln>
                  </pic:spPr>
                </pic:pic>
              </a:graphicData>
            </a:graphic>
          </wp:anchor>
        </w:drawing>
      </w:r>
    </w:p>
    <w:p>
      <w:pPr>
        <w:pStyle w:val="2"/>
        <w:rPr>
          <w:rFonts w:hint="eastAsia"/>
          <w:sz w:val="24"/>
          <w:szCs w:val="24"/>
          <w:lang w:eastAsia="zh-CN"/>
        </w:rPr>
      </w:pPr>
    </w:p>
    <w:p>
      <w:pPr>
        <w:rPr>
          <w:rFonts w:hint="eastAsia"/>
          <w:sz w:val="24"/>
          <w:szCs w:val="24"/>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3725545</wp:posOffset>
                </wp:positionH>
                <wp:positionV relativeFrom="paragraph">
                  <wp:posOffset>2005965</wp:posOffset>
                </wp:positionV>
                <wp:extent cx="850900" cy="3749675"/>
                <wp:effectExtent l="0" t="0" r="2540" b="14605"/>
                <wp:wrapNone/>
                <wp:docPr id="78" name="文本框 78"/>
                <wp:cNvGraphicFramePr/>
                <a:graphic xmlns:a="http://schemas.openxmlformats.org/drawingml/2006/main">
                  <a:graphicData uri="http://schemas.microsoft.com/office/word/2010/wordprocessingShape">
                    <wps:wsp>
                      <wps:cNvSpPr txBox="1"/>
                      <wps:spPr>
                        <a:xfrm>
                          <a:off x="5293995" y="4079240"/>
                          <a:ext cx="850900" cy="3749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 w:eastAsia="仿宋_GB2312" w:cs="仿宋"/>
                                <w:b/>
                                <w:bCs/>
                                <w:color w:val="4B6D17"/>
                                <w:kern w:val="2"/>
                                <w:sz w:val="72"/>
                                <w:szCs w:val="72"/>
                                <w:lang w:val="en-US" w:eastAsia="zh-CN" w:bidi="ar-SA"/>
                              </w:rPr>
                            </w:pPr>
                            <w:r>
                              <w:rPr>
                                <w:rFonts w:hint="eastAsia" w:ascii="仿宋_GB2312" w:hAnsi="仿宋" w:eastAsia="仿宋_GB2312" w:cs="仿宋"/>
                                <w:b/>
                                <w:bCs/>
                                <w:color w:val="4B6D17"/>
                                <w:kern w:val="2"/>
                                <w:sz w:val="72"/>
                                <w:szCs w:val="72"/>
                                <w:lang w:val="en-US" w:eastAsia="zh-CN" w:bidi="ar-SA"/>
                              </w:rPr>
                              <w:t>厚德 博学 严谨 创新</w:t>
                            </w:r>
                          </w:p>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35pt;margin-top:157.95pt;height:295.25pt;width:67pt;z-index:251689984;mso-width-relative:page;mso-height-relative:page;" fillcolor="#FFFFFF [3201]" filled="t" stroked="f" coordsize="21600,21600" o:gfxdata="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JPNsfaAAAACwEAAA8AAAAAAAAAAQAgAAAAIgAAAGRycy9kb3ducmV2LnhtbFBLAQIUABQA&#10;AAAIAIdO4kDn47QZYAIAAJ8EAAAOAAAAAAAAAAEAIAAAACkBAABkcnMvZTJvRG9jLnhtbFBLBQYA&#10;AAAABgAGAFkBAAD7BQAAAAA=&#10;">
                <v:fill on="t" focussize="0,0"/>
                <v:stroke on="f" weight="0.5pt"/>
                <v:imagedata o:title=""/>
                <o:lock v:ext="edit" aspectratio="f"/>
                <v:textbox style="layout-flow:vertical-ideographic;">
                  <w:txbxContent>
                    <w:p>
                      <w:pPr>
                        <w:rPr>
                          <w:rFonts w:hint="eastAsia" w:ascii="仿宋_GB2312" w:hAnsi="仿宋" w:eastAsia="仿宋_GB2312" w:cs="仿宋"/>
                          <w:b/>
                          <w:bCs/>
                          <w:color w:val="4B6D17"/>
                          <w:kern w:val="2"/>
                          <w:sz w:val="72"/>
                          <w:szCs w:val="72"/>
                          <w:lang w:val="en-US" w:eastAsia="zh-CN" w:bidi="ar-SA"/>
                        </w:rPr>
                      </w:pPr>
                      <w:r>
                        <w:rPr>
                          <w:rFonts w:hint="eastAsia" w:ascii="仿宋_GB2312" w:hAnsi="仿宋" w:eastAsia="仿宋_GB2312" w:cs="仿宋"/>
                          <w:b/>
                          <w:bCs/>
                          <w:color w:val="4B6D17"/>
                          <w:kern w:val="2"/>
                          <w:sz w:val="72"/>
                          <w:szCs w:val="72"/>
                          <w:lang w:val="en-US" w:eastAsia="zh-CN" w:bidi="ar-SA"/>
                        </w:rPr>
                        <w:t>厚德 博学 严谨 创新</w:t>
                      </w:r>
                    </w:p>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3246120</wp:posOffset>
                </wp:positionH>
                <wp:positionV relativeFrom="paragraph">
                  <wp:posOffset>7942580</wp:posOffset>
                </wp:positionV>
                <wp:extent cx="3374390" cy="611505"/>
                <wp:effectExtent l="0" t="0" r="0" b="0"/>
                <wp:wrapNone/>
                <wp:docPr id="83" name="文本框 83"/>
                <wp:cNvGraphicFramePr/>
                <a:graphic xmlns:a="http://schemas.openxmlformats.org/drawingml/2006/main">
                  <a:graphicData uri="http://schemas.microsoft.com/office/word/2010/wordprocessingShape">
                    <wps:wsp>
                      <wps:cNvSpPr txBox="1"/>
                      <wps:spPr>
                        <a:xfrm>
                          <a:off x="5391785" y="8968105"/>
                          <a:ext cx="3374390" cy="611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36"/>
                                <w:szCs w:val="44"/>
                                <w:lang w:val="en-US" w:eastAsia="zh-CN"/>
                              </w:rPr>
                            </w:pPr>
                            <w:r>
                              <w:rPr>
                                <w:rFonts w:hint="eastAsia"/>
                                <w:b/>
                                <w:bCs/>
                                <w:sz w:val="36"/>
                                <w:szCs w:val="44"/>
                                <w:lang w:val="en-US" w:eastAsia="zh-CN"/>
                              </w:rPr>
                              <w:t>塔城地区乌苏职业技术学校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6pt;margin-top:625.4pt;height:48.15pt;width:265.7pt;z-index:251693056;mso-width-relative:page;mso-height-relative:page;" filled="f" stroked="f" coordsize="21600,21600" o:gfxdata="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z/1ut0AAAAOAQAADwAA&#10;AAAAAAABACAAAAAiAAAAZHJzL2Rvd25yZXYueG1sUEsBAhQAFAAAAAgAh07iQFecQg9KAgAAdAQA&#10;AA4AAAAAAAAAAQAgAAAALAEAAGRycy9lMm9Eb2MueG1sUEsFBgAAAAAGAAYAWQEAAOgFAAAAAA==&#10;">
                <v:fill on="f" focussize="0,0"/>
                <v:stroke on="f" weight="0.5pt"/>
                <v:imagedata o:title=""/>
                <o:lock v:ext="edit" aspectratio="f"/>
                <v:textbox>
                  <w:txbxContent>
                    <w:p>
                      <w:pPr>
                        <w:rPr>
                          <w:rFonts w:hint="eastAsia" w:eastAsiaTheme="minorEastAsia"/>
                          <w:b/>
                          <w:bCs/>
                          <w:sz w:val="36"/>
                          <w:szCs w:val="44"/>
                          <w:lang w:val="en-US" w:eastAsia="zh-CN"/>
                        </w:rPr>
                      </w:pPr>
                      <w:r>
                        <w:rPr>
                          <w:rFonts w:hint="eastAsia"/>
                          <w:b/>
                          <w:bCs/>
                          <w:sz w:val="36"/>
                          <w:szCs w:val="44"/>
                          <w:lang w:val="en-US" w:eastAsia="zh-CN"/>
                        </w:rPr>
                        <w:t>塔城地区乌苏职业技术学校</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5826125</wp:posOffset>
                </wp:positionH>
                <wp:positionV relativeFrom="paragraph">
                  <wp:posOffset>1921510</wp:posOffset>
                </wp:positionV>
                <wp:extent cx="793750" cy="4896485"/>
                <wp:effectExtent l="0" t="0" r="0" b="0"/>
                <wp:wrapNone/>
                <wp:docPr id="81" name="文本框 81"/>
                <wp:cNvGraphicFramePr/>
                <a:graphic xmlns:a="http://schemas.openxmlformats.org/drawingml/2006/main">
                  <a:graphicData uri="http://schemas.microsoft.com/office/word/2010/wordprocessingShape">
                    <wps:wsp>
                      <wps:cNvSpPr txBox="1"/>
                      <wps:spPr>
                        <a:xfrm>
                          <a:off x="6784975" y="4471035"/>
                          <a:ext cx="793750" cy="4896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仿宋_GB2312" w:hAnsi="仿宋" w:eastAsia="仿宋_GB2312" w:cs="仿宋"/>
                                <w:b/>
                                <w:bCs/>
                                <w:color w:val="4B6D17"/>
                                <w:sz w:val="72"/>
                                <w:szCs w:val="72"/>
                              </w:rPr>
                            </w:pPr>
                            <w:r>
                              <w:rPr>
                                <w:rFonts w:hint="eastAsia" w:ascii="仿宋_GB2312" w:hAnsi="仿宋" w:eastAsia="仿宋_GB2312" w:cs="仿宋"/>
                                <w:b/>
                                <w:bCs/>
                                <w:color w:val="4B6D17"/>
                                <w:sz w:val="72"/>
                                <w:szCs w:val="72"/>
                              </w:rPr>
                              <w:t>开拓</w:t>
                            </w:r>
                            <w:r>
                              <w:rPr>
                                <w:rFonts w:hint="eastAsia" w:ascii="仿宋_GB2312" w:hAnsi="仿宋" w:eastAsia="仿宋_GB2312" w:cs="仿宋"/>
                                <w:b/>
                                <w:bCs/>
                                <w:color w:val="4B6D17"/>
                                <w:sz w:val="72"/>
                                <w:szCs w:val="72"/>
                                <w:lang w:val="en-US" w:eastAsia="zh-CN"/>
                              </w:rPr>
                              <w:t xml:space="preserve"> </w:t>
                            </w:r>
                            <w:r>
                              <w:rPr>
                                <w:rFonts w:hint="eastAsia" w:ascii="仿宋_GB2312" w:hAnsi="仿宋" w:eastAsia="仿宋_GB2312" w:cs="仿宋"/>
                                <w:b/>
                                <w:bCs/>
                                <w:color w:val="4B6D17"/>
                                <w:sz w:val="72"/>
                                <w:szCs w:val="72"/>
                              </w:rPr>
                              <w:t>求实</w:t>
                            </w:r>
                            <w:r>
                              <w:rPr>
                                <w:rFonts w:hint="eastAsia" w:ascii="仿宋_GB2312" w:hAnsi="仿宋" w:eastAsia="仿宋_GB2312" w:cs="仿宋"/>
                                <w:b/>
                                <w:bCs/>
                                <w:color w:val="4B6D17"/>
                                <w:sz w:val="72"/>
                                <w:szCs w:val="72"/>
                                <w:lang w:val="en-US" w:eastAsia="zh-CN"/>
                              </w:rPr>
                              <w:t xml:space="preserve"> </w:t>
                            </w:r>
                            <w:r>
                              <w:rPr>
                                <w:rFonts w:hint="eastAsia" w:ascii="仿宋_GB2312" w:hAnsi="仿宋" w:eastAsia="仿宋_GB2312" w:cs="仿宋"/>
                                <w:b/>
                                <w:bCs/>
                                <w:color w:val="4B6D17"/>
                                <w:sz w:val="72"/>
                                <w:szCs w:val="72"/>
                              </w:rPr>
                              <w:t>奋进</w:t>
                            </w:r>
                            <w:r>
                              <w:rPr>
                                <w:rFonts w:hint="eastAsia" w:ascii="仿宋_GB2312" w:hAnsi="仿宋" w:eastAsia="仿宋_GB2312" w:cs="仿宋"/>
                                <w:b/>
                                <w:bCs/>
                                <w:color w:val="4B6D17"/>
                                <w:sz w:val="72"/>
                                <w:szCs w:val="72"/>
                                <w:lang w:val="en-US" w:eastAsia="zh-CN"/>
                              </w:rPr>
                              <w:t xml:space="preserve"> 成</w:t>
                            </w:r>
                            <w:r>
                              <w:rPr>
                                <w:rFonts w:hint="eastAsia" w:ascii="仿宋_GB2312" w:hAnsi="仿宋" w:eastAsia="仿宋_GB2312" w:cs="仿宋"/>
                                <w:b/>
                                <w:bCs/>
                                <w:color w:val="4B6D17"/>
                                <w:sz w:val="72"/>
                                <w:szCs w:val="72"/>
                              </w:rPr>
                              <w:t>才</w:t>
                            </w:r>
                          </w:p>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8.75pt;margin-top:151.3pt;height:385.55pt;width:62.5pt;z-index:251692032;mso-width-relative:page;mso-height-relative:page;" filled="f" stroked="f" coordsize="21600,21600" o:gfxdata="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11vA3aAAAADQEAAA8AAAAA&#10;AAAAAQAgAAAAIgAAAGRycy9kb3ducmV2LnhtbFBLAQIUABQAAAAIAIdO4kBf/A1sSwIAAHYEAAAO&#10;AAAAAAAAAAEAIAAAACkBAABkcnMvZTJvRG9jLnhtbFBLBQYAAAAABgAGAFkBAADmBQAAAAA=&#10;">
                <v:fill on="f" focussize="0,0"/>
                <v:stroke on="f" weight="0.5pt"/>
                <v:imagedata o:title=""/>
                <o:lock v:ext="edit" aspectratio="f"/>
                <v:textbox style="layout-flow:vertical-ideographic;">
                  <w:txbxContent>
                    <w:p>
                      <w:pPr>
                        <w:pStyle w:val="2"/>
                        <w:ind w:left="0" w:leftChars="0" w:firstLine="0" w:firstLineChars="0"/>
                        <w:rPr>
                          <w:rFonts w:hint="eastAsia" w:ascii="仿宋_GB2312" w:hAnsi="仿宋" w:eastAsia="仿宋_GB2312" w:cs="仿宋"/>
                          <w:b/>
                          <w:bCs/>
                          <w:color w:val="4B6D17"/>
                          <w:sz w:val="72"/>
                          <w:szCs w:val="72"/>
                        </w:rPr>
                      </w:pPr>
                      <w:r>
                        <w:rPr>
                          <w:rFonts w:hint="eastAsia" w:ascii="仿宋_GB2312" w:hAnsi="仿宋" w:eastAsia="仿宋_GB2312" w:cs="仿宋"/>
                          <w:b/>
                          <w:bCs/>
                          <w:color w:val="4B6D17"/>
                          <w:sz w:val="72"/>
                          <w:szCs w:val="72"/>
                        </w:rPr>
                        <w:t>开拓</w:t>
                      </w:r>
                      <w:r>
                        <w:rPr>
                          <w:rFonts w:hint="eastAsia" w:ascii="仿宋_GB2312" w:hAnsi="仿宋" w:eastAsia="仿宋_GB2312" w:cs="仿宋"/>
                          <w:b/>
                          <w:bCs/>
                          <w:color w:val="4B6D17"/>
                          <w:sz w:val="72"/>
                          <w:szCs w:val="72"/>
                          <w:lang w:val="en-US" w:eastAsia="zh-CN"/>
                        </w:rPr>
                        <w:t xml:space="preserve"> </w:t>
                      </w:r>
                      <w:r>
                        <w:rPr>
                          <w:rFonts w:hint="eastAsia" w:ascii="仿宋_GB2312" w:hAnsi="仿宋" w:eastAsia="仿宋_GB2312" w:cs="仿宋"/>
                          <w:b/>
                          <w:bCs/>
                          <w:color w:val="4B6D17"/>
                          <w:sz w:val="72"/>
                          <w:szCs w:val="72"/>
                        </w:rPr>
                        <w:t>求实</w:t>
                      </w:r>
                      <w:r>
                        <w:rPr>
                          <w:rFonts w:hint="eastAsia" w:ascii="仿宋_GB2312" w:hAnsi="仿宋" w:eastAsia="仿宋_GB2312" w:cs="仿宋"/>
                          <w:b/>
                          <w:bCs/>
                          <w:color w:val="4B6D17"/>
                          <w:sz w:val="72"/>
                          <w:szCs w:val="72"/>
                          <w:lang w:val="en-US" w:eastAsia="zh-CN"/>
                        </w:rPr>
                        <w:t xml:space="preserve"> </w:t>
                      </w:r>
                      <w:r>
                        <w:rPr>
                          <w:rFonts w:hint="eastAsia" w:ascii="仿宋_GB2312" w:hAnsi="仿宋" w:eastAsia="仿宋_GB2312" w:cs="仿宋"/>
                          <w:b/>
                          <w:bCs/>
                          <w:color w:val="4B6D17"/>
                          <w:sz w:val="72"/>
                          <w:szCs w:val="72"/>
                        </w:rPr>
                        <w:t>奋进</w:t>
                      </w:r>
                      <w:r>
                        <w:rPr>
                          <w:rFonts w:hint="eastAsia" w:ascii="仿宋_GB2312" w:hAnsi="仿宋" w:eastAsia="仿宋_GB2312" w:cs="仿宋"/>
                          <w:b/>
                          <w:bCs/>
                          <w:color w:val="4B6D17"/>
                          <w:sz w:val="72"/>
                          <w:szCs w:val="72"/>
                          <w:lang w:val="en-US" w:eastAsia="zh-CN"/>
                        </w:rPr>
                        <w:t xml:space="preserve"> 成</w:t>
                      </w:r>
                      <w:r>
                        <w:rPr>
                          <w:rFonts w:hint="eastAsia" w:ascii="仿宋_GB2312" w:hAnsi="仿宋" w:eastAsia="仿宋_GB2312" w:cs="仿宋"/>
                          <w:b/>
                          <w:bCs/>
                          <w:color w:val="4B6D17"/>
                          <w:sz w:val="72"/>
                          <w:szCs w:val="72"/>
                        </w:rPr>
                        <w:t>才</w:t>
                      </w:r>
                    </w:p>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4704080</wp:posOffset>
                </wp:positionH>
                <wp:positionV relativeFrom="paragraph">
                  <wp:posOffset>1376045</wp:posOffset>
                </wp:positionV>
                <wp:extent cx="914400" cy="3929380"/>
                <wp:effectExtent l="0" t="0" r="0" b="2540"/>
                <wp:wrapNone/>
                <wp:docPr id="80" name="文本框 80"/>
                <wp:cNvGraphicFramePr/>
                <a:graphic xmlns:a="http://schemas.openxmlformats.org/drawingml/2006/main">
                  <a:graphicData uri="http://schemas.microsoft.com/office/word/2010/wordprocessingShape">
                    <wps:wsp>
                      <wps:cNvSpPr txBox="1"/>
                      <wps:spPr>
                        <a:xfrm>
                          <a:off x="5914390" y="4155440"/>
                          <a:ext cx="914400" cy="3929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72"/>
                                <w:szCs w:val="72"/>
                              </w:rPr>
                            </w:pPr>
                            <w:r>
                              <w:rPr>
                                <w:rFonts w:hint="eastAsia" w:ascii="仿宋_GB2312" w:hAnsi="仿宋" w:eastAsia="仿宋_GB2312" w:cs="仿宋"/>
                                <w:b/>
                                <w:bCs/>
                                <w:color w:val="4B6D17"/>
                                <w:sz w:val="72"/>
                                <w:szCs w:val="72"/>
                                <w:lang w:val="en-US" w:eastAsia="zh-CN"/>
                              </w:rPr>
                              <w:t>和谐 自强 精技 乐业</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4pt;margin-top:108.35pt;height:309.4pt;width:72pt;z-index:251691008;mso-width-relative:page;mso-height-relative:page;" fillcolor="#FFFFFF [3201]" filled="t" stroked="f" coordsize="21600,21600" o:gfxdata="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L6SF3aAAAACwEAAA8AAAAAAAAAAQAgAAAAIgAAAGRycy9kb3ducmV2LnhtbFBLAQIUABQAAAAI&#10;AIdO4kAFMdD8XQIAAJ8EAAAOAAAAAAAAAAEAIAAAACkBAABkcnMvZTJvRG9jLnhtbFBLBQYAAAAA&#10;BgAGAFkBAAD4BQAAAAA=&#10;">
                <v:fill on="t" focussize="0,0"/>
                <v:stroke on="f" weight="0.5pt"/>
                <v:imagedata o:title=""/>
                <o:lock v:ext="edit" aspectratio="f"/>
                <v:textbox style="layout-flow:vertical-ideographic;">
                  <w:txbxContent>
                    <w:p>
                      <w:pPr>
                        <w:rPr>
                          <w:sz w:val="72"/>
                          <w:szCs w:val="72"/>
                        </w:rPr>
                      </w:pPr>
                      <w:r>
                        <w:rPr>
                          <w:rFonts w:hint="eastAsia" w:ascii="仿宋_GB2312" w:hAnsi="仿宋" w:eastAsia="仿宋_GB2312" w:cs="仿宋"/>
                          <w:b/>
                          <w:bCs/>
                          <w:color w:val="4B6D17"/>
                          <w:sz w:val="72"/>
                          <w:szCs w:val="72"/>
                          <w:lang w:val="en-US" w:eastAsia="zh-CN"/>
                        </w:rPr>
                        <w:t>和谐 自强 精技 乐业</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2515235</wp:posOffset>
                </wp:positionH>
                <wp:positionV relativeFrom="paragraph">
                  <wp:posOffset>1322705</wp:posOffset>
                </wp:positionV>
                <wp:extent cx="925830" cy="4603750"/>
                <wp:effectExtent l="0" t="0" r="3810" b="13970"/>
                <wp:wrapNone/>
                <wp:docPr id="77" name="文本框 77"/>
                <wp:cNvGraphicFramePr/>
                <a:graphic xmlns:a="http://schemas.openxmlformats.org/drawingml/2006/main">
                  <a:graphicData uri="http://schemas.microsoft.com/office/word/2010/wordprocessingShape">
                    <wps:wsp>
                      <wps:cNvSpPr txBox="1"/>
                      <wps:spPr>
                        <a:xfrm>
                          <a:off x="4379595" y="3556635"/>
                          <a:ext cx="925830" cy="4603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2"/>
                                <w:szCs w:val="28"/>
                              </w:rPr>
                            </w:pPr>
                            <w:r>
                              <w:rPr>
                                <w:rFonts w:hint="eastAsia" w:ascii="仿宋_GB2312" w:hAnsi="仿宋" w:eastAsia="仿宋_GB2312" w:cs="仿宋"/>
                                <w:b/>
                                <w:bCs/>
                                <w:color w:val="4B6D17"/>
                                <w:kern w:val="2"/>
                                <w:sz w:val="72"/>
                                <w:szCs w:val="72"/>
                                <w:lang w:val="en-US" w:eastAsia="zh-CN" w:bidi="ar-SA"/>
                              </w:rPr>
                              <w:t>礼健 智诚 德技 并修</w:t>
                            </w:r>
                          </w:p>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05pt;margin-top:104.15pt;height:362.5pt;width:72.9pt;z-index:251688960;mso-width-relative:page;mso-height-relative:page;" fillcolor="#FFFFFF [3201]" filled="t" stroked="f" coordsize="21600,21600" o:gfxdata="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KieHX2AAAAAsBAAAPAAAAAAAAAAEAIAAAACIAAABkcnMvZG93bnJldi54bWxQSwECFAAU&#10;AAAACACHTuJAJzcFjmMCAACfBAAADgAAAAAAAAABACAAAAAnAQAAZHJzL2Uyb0RvYy54bWxQSwUG&#10;AAAAAAYABgBZAQAA/AUAAAAA&#10;">
                <v:fill on="t" focussize="0,0"/>
                <v:stroke on="f" weight="0.5pt"/>
                <v:imagedata o:title=""/>
                <o:lock v:ext="edit" aspectratio="f"/>
                <v:textbox style="layout-flow:vertical-ideographic;">
                  <w:txbxContent>
                    <w:p>
                      <w:pPr>
                        <w:rPr>
                          <w:sz w:val="22"/>
                          <w:szCs w:val="28"/>
                        </w:rPr>
                      </w:pPr>
                      <w:r>
                        <w:rPr>
                          <w:rFonts w:hint="eastAsia" w:ascii="仿宋_GB2312" w:hAnsi="仿宋" w:eastAsia="仿宋_GB2312" w:cs="仿宋"/>
                          <w:b/>
                          <w:bCs/>
                          <w:color w:val="4B6D17"/>
                          <w:kern w:val="2"/>
                          <w:sz w:val="72"/>
                          <w:szCs w:val="72"/>
                          <w:lang w:val="en-US" w:eastAsia="zh-CN" w:bidi="ar-SA"/>
                        </w:rPr>
                        <w:t>礼健 智诚 德技 并修</w:t>
                      </w:r>
                    </w:p>
                    <w:p/>
                  </w:txbxContent>
                </v:textbox>
              </v:shape>
            </w:pict>
          </mc:Fallback>
        </mc:AlternateContent>
      </w:r>
      <w:r>
        <w:rPr>
          <w:sz w:val="21"/>
          <w:highlight w:val="none"/>
        </w:rPr>
        <mc:AlternateContent>
          <mc:Choice Requires="wps">
            <w:drawing>
              <wp:anchor distT="0" distB="0" distL="114300" distR="114300" simplePos="0" relativeHeight="251687936" behindDoc="0" locked="0" layoutInCell="1" allowOverlap="1">
                <wp:simplePos x="0" y="0"/>
                <wp:positionH relativeFrom="column">
                  <wp:posOffset>3888740</wp:posOffset>
                </wp:positionH>
                <wp:positionV relativeFrom="paragraph">
                  <wp:posOffset>9707245</wp:posOffset>
                </wp:positionV>
                <wp:extent cx="3288030" cy="50038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288030" cy="500380"/>
                        </a:xfrm>
                        <a:prstGeom prst="rect">
                          <a:avLst/>
                        </a:prstGeom>
                        <a:noFill/>
                        <a:ln>
                          <a:noFill/>
                        </a:ln>
                      </wps:spPr>
                      <wps:txbx>
                        <w:txbxContent>
                          <w:p>
                            <w:pPr>
                              <w:rPr>
                                <w:rFonts w:hint="eastAsia" w:ascii="黑体" w:hAnsi="黑体" w:eastAsia="黑体" w:cs="黑体"/>
                                <w:sz w:val="40"/>
                                <w:szCs w:val="48"/>
                                <w:lang w:val="en-US" w:eastAsia="zh-CN"/>
                              </w:rPr>
                            </w:pPr>
                            <w:r>
                              <w:rPr>
                                <w:rFonts w:hint="eastAsia" w:ascii="黑体" w:hAnsi="黑体" w:eastAsia="黑体" w:cs="黑体"/>
                                <w:sz w:val="40"/>
                                <w:szCs w:val="48"/>
                                <w:lang w:val="en-US" w:eastAsia="zh-CN"/>
                              </w:rPr>
                              <w:t>塔城地区乌苏职业技术学校</w:t>
                            </w:r>
                          </w:p>
                        </w:txbxContent>
                      </wps:txbx>
                      <wps:bodyPr upright="1"/>
                    </wps:wsp>
                  </a:graphicData>
                </a:graphic>
              </wp:anchor>
            </w:drawing>
          </mc:Choice>
          <mc:Fallback>
            <w:pict>
              <v:shape id="_x0000_s1026" o:spid="_x0000_s1026" o:spt="202" type="#_x0000_t202" style="position:absolute;left:0pt;margin-left:306.2pt;margin-top:764.35pt;height:39.4pt;width:258.9pt;z-index:251687936;mso-width-relative:page;mso-height-relative:page;" filled="f" stroked="f" coordsize="21600,21600" o:gfxdata="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lUC&#10;6toAAAAOAQAADwAAAAAAAAABACAAAAAiAAAAZHJzL2Rvd25yZXYueG1sUEsBAhQAFAAAAAgAh07i&#10;QCxUIDGuAQAAUAMAAA4AAAAAAAAAAQAgAAAAKQEAAGRycy9lMm9Eb2MueG1sUEsFBgAAAAAGAAYA&#10;WQEAAEkFAAAAAA==&#10;">
                <v:fill on="f" focussize="0,0"/>
                <v:stroke on="f"/>
                <v:imagedata o:title=""/>
                <o:lock v:ext="edit" aspectratio="f"/>
                <v:textbox>
                  <w:txbxContent>
                    <w:p>
                      <w:pPr>
                        <w:rPr>
                          <w:rFonts w:hint="eastAsia" w:ascii="黑体" w:hAnsi="黑体" w:eastAsia="黑体" w:cs="黑体"/>
                          <w:sz w:val="40"/>
                          <w:szCs w:val="48"/>
                          <w:lang w:val="en-US" w:eastAsia="zh-CN"/>
                        </w:rPr>
                      </w:pPr>
                      <w:r>
                        <w:rPr>
                          <w:rFonts w:hint="eastAsia" w:ascii="黑体" w:hAnsi="黑体" w:eastAsia="黑体" w:cs="黑体"/>
                          <w:sz w:val="40"/>
                          <w:szCs w:val="48"/>
                          <w:lang w:val="en-US" w:eastAsia="zh-CN"/>
                        </w:rPr>
                        <w:t>塔城地区乌苏职业技术学校</w:t>
                      </w:r>
                    </w:p>
                  </w:txbxContent>
                </v:textbox>
              </v:shape>
            </w:pict>
          </mc:Fallback>
        </mc:AlternateContent>
      </w:r>
      <w:r>
        <w:rPr>
          <w:sz w:val="21"/>
          <w:highlight w:val="none"/>
        </w:rPr>
        <mc:AlternateContent>
          <mc:Choice Requires="wps">
            <w:drawing>
              <wp:anchor distT="0" distB="0" distL="114300" distR="114300" simplePos="0" relativeHeight="251694080" behindDoc="0" locked="0" layoutInCell="1" allowOverlap="1">
                <wp:simplePos x="0" y="0"/>
                <wp:positionH relativeFrom="column">
                  <wp:posOffset>4041140</wp:posOffset>
                </wp:positionH>
                <wp:positionV relativeFrom="paragraph">
                  <wp:posOffset>9859645</wp:posOffset>
                </wp:positionV>
                <wp:extent cx="3288030" cy="50038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288030" cy="500380"/>
                        </a:xfrm>
                        <a:prstGeom prst="rect">
                          <a:avLst/>
                        </a:prstGeom>
                        <a:noFill/>
                        <a:ln>
                          <a:noFill/>
                        </a:ln>
                      </wps:spPr>
                      <wps:txbx>
                        <w:txbxContent>
                          <w:p>
                            <w:pPr>
                              <w:rPr>
                                <w:rFonts w:hint="eastAsia" w:ascii="黑体" w:hAnsi="黑体" w:eastAsia="黑体" w:cs="黑体"/>
                                <w:sz w:val="40"/>
                                <w:szCs w:val="48"/>
                                <w:lang w:val="en-US" w:eastAsia="zh-CN"/>
                              </w:rPr>
                            </w:pPr>
                            <w:r>
                              <w:rPr>
                                <w:rFonts w:hint="eastAsia" w:ascii="黑体" w:hAnsi="黑体" w:eastAsia="黑体" w:cs="黑体"/>
                                <w:sz w:val="40"/>
                                <w:szCs w:val="48"/>
                                <w:lang w:val="en-US" w:eastAsia="zh-CN"/>
                              </w:rPr>
                              <w:t>塔城地区乌苏职业技术学校</w:t>
                            </w:r>
                          </w:p>
                        </w:txbxContent>
                      </wps:txbx>
                      <wps:bodyPr upright="1"/>
                    </wps:wsp>
                  </a:graphicData>
                </a:graphic>
              </wp:anchor>
            </w:drawing>
          </mc:Choice>
          <mc:Fallback>
            <w:pict>
              <v:shape id="_x0000_s1026" o:spid="_x0000_s1026" o:spt="202" type="#_x0000_t202" style="position:absolute;left:0pt;margin-left:318.2pt;margin-top:776.35pt;height:39.4pt;width:258.9pt;z-index:251694080;mso-width-relative:page;mso-height-relative:page;" filled="f" stroked="f" coordsize="21600,21600" o:gfxdata="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mLJ&#10;+toAAAAOAQAADwAAAAAAAAABACAAAAAiAAAAZHJzL2Rvd25yZXYueG1sUEsBAhQAFAAAAAgAh07i&#10;QGb+YfauAQAAUAMAAA4AAAAAAAAAAQAgAAAAKQEAAGRycy9lMm9Eb2MueG1sUEsFBgAAAAAGAAYA&#10;WQEAAEkFAAAAAA==&#10;">
                <v:fill on="f" focussize="0,0"/>
                <v:stroke on="f"/>
                <v:imagedata o:title=""/>
                <o:lock v:ext="edit" aspectratio="f"/>
                <v:textbox>
                  <w:txbxContent>
                    <w:p>
                      <w:pPr>
                        <w:rPr>
                          <w:rFonts w:hint="eastAsia" w:ascii="黑体" w:hAnsi="黑体" w:eastAsia="黑体" w:cs="黑体"/>
                          <w:sz w:val="40"/>
                          <w:szCs w:val="48"/>
                          <w:lang w:val="en-US" w:eastAsia="zh-CN"/>
                        </w:rPr>
                      </w:pPr>
                      <w:r>
                        <w:rPr>
                          <w:rFonts w:hint="eastAsia" w:ascii="黑体" w:hAnsi="黑体" w:eastAsia="黑体" w:cs="黑体"/>
                          <w:sz w:val="40"/>
                          <w:szCs w:val="48"/>
                          <w:lang w:val="en-US" w:eastAsia="zh-CN"/>
                        </w:rPr>
                        <w:t>塔城地区乌苏职业技术学校</w:t>
                      </w:r>
                    </w:p>
                  </w:txbxContent>
                </v:textbox>
              </v:shape>
            </w:pict>
          </mc:Fallback>
        </mc:AlternateContent>
      </w:r>
    </w:p>
    <w:sectPr>
      <w:footerReference r:id="rId7" w:type="default"/>
      <w:pgSz w:w="11906" w:h="16838"/>
      <w:pgMar w:top="1440" w:right="1083" w:bottom="1440" w:left="108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AB53AB2D-6A5C-434D-A927-1738F583B182}"/>
  </w:font>
  <w:font w:name="黑体">
    <w:panose1 w:val="02010609060101010101"/>
    <w:charset w:val="86"/>
    <w:family w:val="auto"/>
    <w:pitch w:val="default"/>
    <w:sig w:usb0="800002BF" w:usb1="38CF7CFA" w:usb2="00000016" w:usb3="00000000" w:csb0="00040001" w:csb1="00000000"/>
    <w:embedRegular r:id="rId2" w:fontKey="{69DD0F1D-A793-450C-AB76-3CAAE88103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6F5E71BD-6BA9-425F-AF6D-6D85C93CEF1F}"/>
  </w:font>
  <w:font w:name="Calibri Light">
    <w:panose1 w:val="020F0302020204030204"/>
    <w:charset w:val="00"/>
    <w:family w:val="swiss"/>
    <w:pitch w:val="default"/>
    <w:sig w:usb0="E0002AFF" w:usb1="C000247B" w:usb2="00000009" w:usb3="00000000" w:csb0="200001FF" w:csb1="00000000"/>
    <w:embedRegular r:id="rId4" w:fontKey="{7CD1E959-8015-47FA-8215-78B0CD48F110}"/>
  </w:font>
  <w:font w:name="楷体_GB2312">
    <w:panose1 w:val="02010609030101010101"/>
    <w:charset w:val="86"/>
    <w:family w:val="modern"/>
    <w:pitch w:val="default"/>
    <w:sig w:usb0="00000001" w:usb1="080E0000" w:usb2="00000000" w:usb3="00000000" w:csb0="00040000" w:csb1="00000000"/>
    <w:embedRegular r:id="rId5" w:fontKey="{C9CA5EB7-BC47-49DA-A07C-E8620D18D281}"/>
  </w:font>
  <w:font w:name="仿宋">
    <w:panose1 w:val="02010609060101010101"/>
    <w:charset w:val="86"/>
    <w:family w:val="auto"/>
    <w:pitch w:val="default"/>
    <w:sig w:usb0="800002BF" w:usb1="38CF7CFA" w:usb2="00000016" w:usb3="00000000" w:csb0="00040001" w:csb1="00000000"/>
    <w:embedRegular r:id="rId6" w:fontKey="{91015A5D-19D0-4FA3-8FC3-39E9A7BEE5CB}"/>
  </w:font>
  <w:font w:name="微软雅黑">
    <w:panose1 w:val="020B0503020204020204"/>
    <w:charset w:val="86"/>
    <w:family w:val="auto"/>
    <w:pitch w:val="default"/>
    <w:sig w:usb0="80000287" w:usb1="28CF3C50" w:usb2="00000016" w:usb3="00000000" w:csb0="0004001F" w:csb1="00000000"/>
    <w:embedRegular r:id="rId7" w:fontKey="{7F660416-2560-4E01-ADE2-3E0C6730096A}"/>
  </w:font>
  <w:font w:name="仿宋_GB2312">
    <w:panose1 w:val="02010609030101010101"/>
    <w:charset w:val="86"/>
    <w:family w:val="modern"/>
    <w:pitch w:val="default"/>
    <w:sig w:usb0="00000001" w:usb1="080E0000" w:usb2="00000000" w:usb3="00000000" w:csb0="00040000" w:csb1="00000000"/>
    <w:embedRegular r:id="rId8" w:fontKey="{5B2A9854-5337-443A-8FDB-7804B2932EB0}"/>
  </w:font>
  <w:font w:name="华文楷体">
    <w:panose1 w:val="02010600040101010101"/>
    <w:charset w:val="86"/>
    <w:family w:val="auto"/>
    <w:pitch w:val="default"/>
    <w:sig w:usb0="00000287" w:usb1="080F0000" w:usb2="00000000" w:usb3="00000000" w:csb0="0004009F" w:csb1="DFD70000"/>
    <w:embedRegular r:id="rId9" w:fontKey="{10575FAA-0F2E-4802-96EA-F0638EC5AC00}"/>
  </w:font>
  <w:font w:name="方正小标宋简体">
    <w:panose1 w:val="02010601030101010101"/>
    <w:charset w:val="86"/>
    <w:family w:val="auto"/>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embedRegular r:id="rId10" w:fontKey="{D4CF6C19-3091-4F33-9C10-01D7A8E9607C}"/>
  </w:font>
  <w:font w:name="华文仿宋">
    <w:panose1 w:val="02010600040101010101"/>
    <w:charset w:val="7A"/>
    <w:family w:val="auto"/>
    <w:pitch w:val="default"/>
    <w:sig w:usb0="00000287" w:usb1="080F0000" w:usb2="00000000" w:usb3="00000000" w:csb0="0004009F" w:csb1="DFD70000"/>
    <w:embedRegular r:id="rId11" w:fontKey="{93FB4168-70F2-4A99-B1B0-A727DBD07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1MzZlZTAwYzk4MDYwYTM0YjdmYjA0MTUyOWFmOTQifQ=="/>
  </w:docVars>
  <w:rsids>
    <w:rsidRoot w:val="5605213D"/>
    <w:rsid w:val="0011258B"/>
    <w:rsid w:val="0014406D"/>
    <w:rsid w:val="00164C26"/>
    <w:rsid w:val="002C61F7"/>
    <w:rsid w:val="002E0708"/>
    <w:rsid w:val="004B2B21"/>
    <w:rsid w:val="005714C6"/>
    <w:rsid w:val="005A0FB6"/>
    <w:rsid w:val="006833D3"/>
    <w:rsid w:val="006A1F35"/>
    <w:rsid w:val="006B6D1F"/>
    <w:rsid w:val="006C5140"/>
    <w:rsid w:val="0078530A"/>
    <w:rsid w:val="00B0507A"/>
    <w:rsid w:val="00D91EDB"/>
    <w:rsid w:val="01545A05"/>
    <w:rsid w:val="01567C26"/>
    <w:rsid w:val="015C2B0C"/>
    <w:rsid w:val="01861AC5"/>
    <w:rsid w:val="018D0F17"/>
    <w:rsid w:val="01A00C4B"/>
    <w:rsid w:val="01A7027D"/>
    <w:rsid w:val="01AF33B2"/>
    <w:rsid w:val="01B6046E"/>
    <w:rsid w:val="01E274B5"/>
    <w:rsid w:val="01E84620"/>
    <w:rsid w:val="0204567E"/>
    <w:rsid w:val="021D673F"/>
    <w:rsid w:val="022A2E24"/>
    <w:rsid w:val="024A0BB7"/>
    <w:rsid w:val="025F0B06"/>
    <w:rsid w:val="02906F11"/>
    <w:rsid w:val="02A8425B"/>
    <w:rsid w:val="02CE3596"/>
    <w:rsid w:val="02F157AE"/>
    <w:rsid w:val="03034482"/>
    <w:rsid w:val="030D2310"/>
    <w:rsid w:val="031A4A2D"/>
    <w:rsid w:val="032A37DD"/>
    <w:rsid w:val="03321D76"/>
    <w:rsid w:val="03421913"/>
    <w:rsid w:val="0348159A"/>
    <w:rsid w:val="03522419"/>
    <w:rsid w:val="035C086D"/>
    <w:rsid w:val="0365214C"/>
    <w:rsid w:val="037A05EF"/>
    <w:rsid w:val="037E4FBC"/>
    <w:rsid w:val="03887BE8"/>
    <w:rsid w:val="038A3960"/>
    <w:rsid w:val="038C592B"/>
    <w:rsid w:val="038D2C25"/>
    <w:rsid w:val="03926F6B"/>
    <w:rsid w:val="03A13C4C"/>
    <w:rsid w:val="03A27EF1"/>
    <w:rsid w:val="03CD1A9F"/>
    <w:rsid w:val="03EF5EB9"/>
    <w:rsid w:val="040E3E24"/>
    <w:rsid w:val="04277401"/>
    <w:rsid w:val="042C7D4C"/>
    <w:rsid w:val="043164D2"/>
    <w:rsid w:val="04387860"/>
    <w:rsid w:val="046C12B8"/>
    <w:rsid w:val="046E71E3"/>
    <w:rsid w:val="048C5A1D"/>
    <w:rsid w:val="04912ACD"/>
    <w:rsid w:val="04936845"/>
    <w:rsid w:val="04992949"/>
    <w:rsid w:val="04A503F1"/>
    <w:rsid w:val="04BC5D9C"/>
    <w:rsid w:val="04F461BD"/>
    <w:rsid w:val="04FE4606"/>
    <w:rsid w:val="05092FAB"/>
    <w:rsid w:val="050E305B"/>
    <w:rsid w:val="0545478A"/>
    <w:rsid w:val="0548762F"/>
    <w:rsid w:val="054966D7"/>
    <w:rsid w:val="057517D5"/>
    <w:rsid w:val="05790336"/>
    <w:rsid w:val="057F6DC9"/>
    <w:rsid w:val="05834B0B"/>
    <w:rsid w:val="0584422D"/>
    <w:rsid w:val="0588240A"/>
    <w:rsid w:val="05926700"/>
    <w:rsid w:val="059565ED"/>
    <w:rsid w:val="05A30D0A"/>
    <w:rsid w:val="05DE61E6"/>
    <w:rsid w:val="05E530D0"/>
    <w:rsid w:val="05F81055"/>
    <w:rsid w:val="060914B4"/>
    <w:rsid w:val="061D286A"/>
    <w:rsid w:val="06206C00"/>
    <w:rsid w:val="06216CD2"/>
    <w:rsid w:val="06255BC2"/>
    <w:rsid w:val="06492C11"/>
    <w:rsid w:val="064C75F3"/>
    <w:rsid w:val="065546FA"/>
    <w:rsid w:val="066E1617"/>
    <w:rsid w:val="06734B80"/>
    <w:rsid w:val="068F5587"/>
    <w:rsid w:val="06CD3785"/>
    <w:rsid w:val="06D51014"/>
    <w:rsid w:val="06DF3FC3"/>
    <w:rsid w:val="06E11AE9"/>
    <w:rsid w:val="07041C7C"/>
    <w:rsid w:val="071023CF"/>
    <w:rsid w:val="071A324D"/>
    <w:rsid w:val="071C0D73"/>
    <w:rsid w:val="07372051"/>
    <w:rsid w:val="073D0CEA"/>
    <w:rsid w:val="073F4A62"/>
    <w:rsid w:val="07494217"/>
    <w:rsid w:val="076201AE"/>
    <w:rsid w:val="07666493"/>
    <w:rsid w:val="07716F4D"/>
    <w:rsid w:val="078D0207"/>
    <w:rsid w:val="07996868"/>
    <w:rsid w:val="07A14593"/>
    <w:rsid w:val="07A50D69"/>
    <w:rsid w:val="07A56FBB"/>
    <w:rsid w:val="07A70F85"/>
    <w:rsid w:val="07AA637F"/>
    <w:rsid w:val="07B05960"/>
    <w:rsid w:val="07C5140B"/>
    <w:rsid w:val="07CA4C73"/>
    <w:rsid w:val="07CC279A"/>
    <w:rsid w:val="07DE071F"/>
    <w:rsid w:val="07F65A68"/>
    <w:rsid w:val="08320F3F"/>
    <w:rsid w:val="084762C4"/>
    <w:rsid w:val="08533465"/>
    <w:rsid w:val="088210AA"/>
    <w:rsid w:val="08C6368D"/>
    <w:rsid w:val="08D94112"/>
    <w:rsid w:val="090849FF"/>
    <w:rsid w:val="09215BEC"/>
    <w:rsid w:val="09265ED9"/>
    <w:rsid w:val="09290516"/>
    <w:rsid w:val="09455F12"/>
    <w:rsid w:val="094840A2"/>
    <w:rsid w:val="097F383C"/>
    <w:rsid w:val="09913F42"/>
    <w:rsid w:val="0992356F"/>
    <w:rsid w:val="09BD211A"/>
    <w:rsid w:val="09DF7EEF"/>
    <w:rsid w:val="09F510F6"/>
    <w:rsid w:val="09FF07C4"/>
    <w:rsid w:val="0A2D5046"/>
    <w:rsid w:val="0A2F1F5A"/>
    <w:rsid w:val="0A374116"/>
    <w:rsid w:val="0A374D61"/>
    <w:rsid w:val="0A3C34DB"/>
    <w:rsid w:val="0A465749"/>
    <w:rsid w:val="0A600201"/>
    <w:rsid w:val="0A984BB5"/>
    <w:rsid w:val="0AAE43D8"/>
    <w:rsid w:val="0AC459AA"/>
    <w:rsid w:val="0AC736EC"/>
    <w:rsid w:val="0AD007F3"/>
    <w:rsid w:val="0AD3127A"/>
    <w:rsid w:val="0AE778EA"/>
    <w:rsid w:val="0AFB1076"/>
    <w:rsid w:val="0AFF3250"/>
    <w:rsid w:val="0B304DED"/>
    <w:rsid w:val="0B3568A8"/>
    <w:rsid w:val="0B3A5C6C"/>
    <w:rsid w:val="0B3F3282"/>
    <w:rsid w:val="0B5218A1"/>
    <w:rsid w:val="0B602DC9"/>
    <w:rsid w:val="0B644B24"/>
    <w:rsid w:val="0B732F2C"/>
    <w:rsid w:val="0B776EC0"/>
    <w:rsid w:val="0B7849E6"/>
    <w:rsid w:val="0B7F2F84"/>
    <w:rsid w:val="0B860EB1"/>
    <w:rsid w:val="0B882E7B"/>
    <w:rsid w:val="0B8C3FEE"/>
    <w:rsid w:val="0B911F88"/>
    <w:rsid w:val="0B955598"/>
    <w:rsid w:val="0B996E37"/>
    <w:rsid w:val="0BB46A91"/>
    <w:rsid w:val="0BB73761"/>
    <w:rsid w:val="0BBA0B5B"/>
    <w:rsid w:val="0BCB23A4"/>
    <w:rsid w:val="0BD43CC8"/>
    <w:rsid w:val="0BD62DC8"/>
    <w:rsid w:val="0BE938AD"/>
    <w:rsid w:val="0BFB189F"/>
    <w:rsid w:val="0C012C2E"/>
    <w:rsid w:val="0C1C35C4"/>
    <w:rsid w:val="0C254802"/>
    <w:rsid w:val="0C49044A"/>
    <w:rsid w:val="0C6E7ED8"/>
    <w:rsid w:val="0C721436"/>
    <w:rsid w:val="0C816CBA"/>
    <w:rsid w:val="0C943AA2"/>
    <w:rsid w:val="0CA77331"/>
    <w:rsid w:val="0CBE467B"/>
    <w:rsid w:val="0CC52908"/>
    <w:rsid w:val="0CC779D3"/>
    <w:rsid w:val="0CCC48C1"/>
    <w:rsid w:val="0CCD3CE8"/>
    <w:rsid w:val="0CDB347F"/>
    <w:rsid w:val="0D0F0441"/>
    <w:rsid w:val="0D1D37DE"/>
    <w:rsid w:val="0D29243C"/>
    <w:rsid w:val="0D42705A"/>
    <w:rsid w:val="0D674D12"/>
    <w:rsid w:val="0D7A12B9"/>
    <w:rsid w:val="0D887163"/>
    <w:rsid w:val="0D8D4779"/>
    <w:rsid w:val="0D9E7FB5"/>
    <w:rsid w:val="0DD264D4"/>
    <w:rsid w:val="0DE9148B"/>
    <w:rsid w:val="0E043CAF"/>
    <w:rsid w:val="0E1511B6"/>
    <w:rsid w:val="0E1A2561"/>
    <w:rsid w:val="0E382EB9"/>
    <w:rsid w:val="0E464928"/>
    <w:rsid w:val="0E5533B0"/>
    <w:rsid w:val="0E5A55FF"/>
    <w:rsid w:val="0E727929"/>
    <w:rsid w:val="0E7E0566"/>
    <w:rsid w:val="0E7F7B0E"/>
    <w:rsid w:val="0E9C09EC"/>
    <w:rsid w:val="0EB146FC"/>
    <w:rsid w:val="0EB416B3"/>
    <w:rsid w:val="0EC56195"/>
    <w:rsid w:val="0F0D035A"/>
    <w:rsid w:val="0F1A028E"/>
    <w:rsid w:val="0F517A28"/>
    <w:rsid w:val="0F5337A0"/>
    <w:rsid w:val="0F786C55"/>
    <w:rsid w:val="0F7F0BE0"/>
    <w:rsid w:val="0FA77648"/>
    <w:rsid w:val="0FD04DF1"/>
    <w:rsid w:val="0FD85A54"/>
    <w:rsid w:val="0FD91EF8"/>
    <w:rsid w:val="0FDD12BC"/>
    <w:rsid w:val="0FED2815"/>
    <w:rsid w:val="0FF24D67"/>
    <w:rsid w:val="100E37A4"/>
    <w:rsid w:val="101E3D8B"/>
    <w:rsid w:val="10437371"/>
    <w:rsid w:val="10675755"/>
    <w:rsid w:val="107D33B4"/>
    <w:rsid w:val="109E7AB4"/>
    <w:rsid w:val="10C5247C"/>
    <w:rsid w:val="10C83D1A"/>
    <w:rsid w:val="10D97CD5"/>
    <w:rsid w:val="10F14A8A"/>
    <w:rsid w:val="10F7015B"/>
    <w:rsid w:val="1109680C"/>
    <w:rsid w:val="111B209C"/>
    <w:rsid w:val="11421D1E"/>
    <w:rsid w:val="11586E4C"/>
    <w:rsid w:val="115C0412"/>
    <w:rsid w:val="11643A43"/>
    <w:rsid w:val="119D6F55"/>
    <w:rsid w:val="11BC387F"/>
    <w:rsid w:val="11CD76AC"/>
    <w:rsid w:val="11E25A4F"/>
    <w:rsid w:val="120F1089"/>
    <w:rsid w:val="12163467"/>
    <w:rsid w:val="122338FE"/>
    <w:rsid w:val="122B4561"/>
    <w:rsid w:val="12380A2C"/>
    <w:rsid w:val="12617F82"/>
    <w:rsid w:val="12745F08"/>
    <w:rsid w:val="12957C2C"/>
    <w:rsid w:val="129C720C"/>
    <w:rsid w:val="12B74046"/>
    <w:rsid w:val="12C37CA8"/>
    <w:rsid w:val="12E22503"/>
    <w:rsid w:val="12F157AA"/>
    <w:rsid w:val="132E6025"/>
    <w:rsid w:val="13336289"/>
    <w:rsid w:val="134A0A16"/>
    <w:rsid w:val="13741F37"/>
    <w:rsid w:val="139127F7"/>
    <w:rsid w:val="139879D4"/>
    <w:rsid w:val="139B74C4"/>
    <w:rsid w:val="13A7515E"/>
    <w:rsid w:val="13C04A3C"/>
    <w:rsid w:val="13C54541"/>
    <w:rsid w:val="13D03611"/>
    <w:rsid w:val="13D12EE6"/>
    <w:rsid w:val="13D1738A"/>
    <w:rsid w:val="13DD7ADC"/>
    <w:rsid w:val="13E329ED"/>
    <w:rsid w:val="13EC0ACD"/>
    <w:rsid w:val="13FA0089"/>
    <w:rsid w:val="14067033"/>
    <w:rsid w:val="1408165B"/>
    <w:rsid w:val="141D612B"/>
    <w:rsid w:val="14324F46"/>
    <w:rsid w:val="14546A08"/>
    <w:rsid w:val="14551D69"/>
    <w:rsid w:val="14693C36"/>
    <w:rsid w:val="146E6986"/>
    <w:rsid w:val="147F0B94"/>
    <w:rsid w:val="14A14C79"/>
    <w:rsid w:val="14E96541"/>
    <w:rsid w:val="15015A4D"/>
    <w:rsid w:val="154A0266"/>
    <w:rsid w:val="154C4F1A"/>
    <w:rsid w:val="15567B46"/>
    <w:rsid w:val="155838BF"/>
    <w:rsid w:val="15605210"/>
    <w:rsid w:val="156F6E5A"/>
    <w:rsid w:val="157306F8"/>
    <w:rsid w:val="157A34A6"/>
    <w:rsid w:val="15AC7766"/>
    <w:rsid w:val="15AE1730"/>
    <w:rsid w:val="15B617F4"/>
    <w:rsid w:val="15BF5528"/>
    <w:rsid w:val="15CC0870"/>
    <w:rsid w:val="15D373E9"/>
    <w:rsid w:val="15E30600"/>
    <w:rsid w:val="15E50ECA"/>
    <w:rsid w:val="15EC04AB"/>
    <w:rsid w:val="15EC3507"/>
    <w:rsid w:val="15F2239C"/>
    <w:rsid w:val="16421E79"/>
    <w:rsid w:val="166C5148"/>
    <w:rsid w:val="16781D3E"/>
    <w:rsid w:val="168801D3"/>
    <w:rsid w:val="168D3A3C"/>
    <w:rsid w:val="16924BAE"/>
    <w:rsid w:val="169F214C"/>
    <w:rsid w:val="16B9038D"/>
    <w:rsid w:val="16BC2ED2"/>
    <w:rsid w:val="16C44F84"/>
    <w:rsid w:val="16DA097F"/>
    <w:rsid w:val="16E65EED"/>
    <w:rsid w:val="16ED3B2F"/>
    <w:rsid w:val="17022978"/>
    <w:rsid w:val="171C091C"/>
    <w:rsid w:val="1739327C"/>
    <w:rsid w:val="1740285C"/>
    <w:rsid w:val="17435EA8"/>
    <w:rsid w:val="17840521"/>
    <w:rsid w:val="17C20FC1"/>
    <w:rsid w:val="17C84600"/>
    <w:rsid w:val="17D17A30"/>
    <w:rsid w:val="17D336D0"/>
    <w:rsid w:val="17E4768B"/>
    <w:rsid w:val="17E551B2"/>
    <w:rsid w:val="17F5308B"/>
    <w:rsid w:val="17F93F61"/>
    <w:rsid w:val="17FD699F"/>
    <w:rsid w:val="18137F71"/>
    <w:rsid w:val="181810E3"/>
    <w:rsid w:val="182416DB"/>
    <w:rsid w:val="182B350C"/>
    <w:rsid w:val="18624C16"/>
    <w:rsid w:val="186A2DD3"/>
    <w:rsid w:val="18BD1B3C"/>
    <w:rsid w:val="18E86A24"/>
    <w:rsid w:val="18ED4CE6"/>
    <w:rsid w:val="18FE477D"/>
    <w:rsid w:val="19067AD5"/>
    <w:rsid w:val="19121FD6"/>
    <w:rsid w:val="1912647A"/>
    <w:rsid w:val="191C4C03"/>
    <w:rsid w:val="19314B52"/>
    <w:rsid w:val="19410B0E"/>
    <w:rsid w:val="19520625"/>
    <w:rsid w:val="196C2483"/>
    <w:rsid w:val="19927D75"/>
    <w:rsid w:val="199B7FF1"/>
    <w:rsid w:val="19A8687F"/>
    <w:rsid w:val="19C63549"/>
    <w:rsid w:val="19D379B8"/>
    <w:rsid w:val="19E73463"/>
    <w:rsid w:val="19EA5BA1"/>
    <w:rsid w:val="19FA13E8"/>
    <w:rsid w:val="1A7F5449"/>
    <w:rsid w:val="1A807414"/>
    <w:rsid w:val="1A9D7FC6"/>
    <w:rsid w:val="1AC437A4"/>
    <w:rsid w:val="1ADC0AEE"/>
    <w:rsid w:val="1AE2585D"/>
    <w:rsid w:val="1AE300CE"/>
    <w:rsid w:val="1AE71241"/>
    <w:rsid w:val="1B0561AA"/>
    <w:rsid w:val="1B2129A5"/>
    <w:rsid w:val="1B281F85"/>
    <w:rsid w:val="1B446693"/>
    <w:rsid w:val="1B6E6F88"/>
    <w:rsid w:val="1B752E97"/>
    <w:rsid w:val="1B814994"/>
    <w:rsid w:val="1B9C5D53"/>
    <w:rsid w:val="1BA710FC"/>
    <w:rsid w:val="1BB90E2F"/>
    <w:rsid w:val="1BB9742E"/>
    <w:rsid w:val="1BF260EF"/>
    <w:rsid w:val="1C567E61"/>
    <w:rsid w:val="1C5E6390"/>
    <w:rsid w:val="1C6012AB"/>
    <w:rsid w:val="1C6F468F"/>
    <w:rsid w:val="1C7B7E93"/>
    <w:rsid w:val="1C8D76F3"/>
    <w:rsid w:val="1C99656B"/>
    <w:rsid w:val="1CA27B15"/>
    <w:rsid w:val="1CB735C0"/>
    <w:rsid w:val="1CBB2985"/>
    <w:rsid w:val="1CDB647D"/>
    <w:rsid w:val="1CF73540"/>
    <w:rsid w:val="1D003CA6"/>
    <w:rsid w:val="1D091942"/>
    <w:rsid w:val="1D1125A5"/>
    <w:rsid w:val="1D1B4813"/>
    <w:rsid w:val="1D200B5B"/>
    <w:rsid w:val="1D290F49"/>
    <w:rsid w:val="1D547061"/>
    <w:rsid w:val="1D5726AE"/>
    <w:rsid w:val="1D74208B"/>
    <w:rsid w:val="1D9F2C02"/>
    <w:rsid w:val="1D9F5304"/>
    <w:rsid w:val="1DB00010"/>
    <w:rsid w:val="1DB47B00"/>
    <w:rsid w:val="1DBC69B5"/>
    <w:rsid w:val="1E05210A"/>
    <w:rsid w:val="1E0B5246"/>
    <w:rsid w:val="1E205C1B"/>
    <w:rsid w:val="1E827A99"/>
    <w:rsid w:val="1E9B481C"/>
    <w:rsid w:val="1EBA7398"/>
    <w:rsid w:val="1EC42B97"/>
    <w:rsid w:val="1EE11DD2"/>
    <w:rsid w:val="1EF220FA"/>
    <w:rsid w:val="1EFA7794"/>
    <w:rsid w:val="1F1D6D27"/>
    <w:rsid w:val="1F1F71FB"/>
    <w:rsid w:val="1F3F0F0F"/>
    <w:rsid w:val="1F460C2C"/>
    <w:rsid w:val="1F6D61B8"/>
    <w:rsid w:val="1F9300D8"/>
    <w:rsid w:val="1FC93B5B"/>
    <w:rsid w:val="1FC967A8"/>
    <w:rsid w:val="1FD47FE6"/>
    <w:rsid w:val="1FE14222"/>
    <w:rsid w:val="200A3A07"/>
    <w:rsid w:val="200E34D5"/>
    <w:rsid w:val="200F101E"/>
    <w:rsid w:val="201F799D"/>
    <w:rsid w:val="2057409C"/>
    <w:rsid w:val="206A15D7"/>
    <w:rsid w:val="208A0FEC"/>
    <w:rsid w:val="208A2D9A"/>
    <w:rsid w:val="20916BB4"/>
    <w:rsid w:val="20A06D29"/>
    <w:rsid w:val="20A420AE"/>
    <w:rsid w:val="20C55B80"/>
    <w:rsid w:val="20FA0E09"/>
    <w:rsid w:val="20FD17BE"/>
    <w:rsid w:val="20FF42D3"/>
    <w:rsid w:val="20FF72E4"/>
    <w:rsid w:val="21204E2B"/>
    <w:rsid w:val="21242A53"/>
    <w:rsid w:val="214D441A"/>
    <w:rsid w:val="2156677D"/>
    <w:rsid w:val="21657C15"/>
    <w:rsid w:val="216655B5"/>
    <w:rsid w:val="21B52629"/>
    <w:rsid w:val="21BC51D5"/>
    <w:rsid w:val="21BF4CC5"/>
    <w:rsid w:val="21C455E4"/>
    <w:rsid w:val="21CB18BC"/>
    <w:rsid w:val="21D97B35"/>
    <w:rsid w:val="21E519A1"/>
    <w:rsid w:val="21EE732A"/>
    <w:rsid w:val="21FC3824"/>
    <w:rsid w:val="22530B9A"/>
    <w:rsid w:val="22535E5E"/>
    <w:rsid w:val="225A7297"/>
    <w:rsid w:val="228323A4"/>
    <w:rsid w:val="228F5BA2"/>
    <w:rsid w:val="229408B9"/>
    <w:rsid w:val="22C179E6"/>
    <w:rsid w:val="22E9024C"/>
    <w:rsid w:val="22F62969"/>
    <w:rsid w:val="22FF7A6F"/>
    <w:rsid w:val="23270D74"/>
    <w:rsid w:val="2355768F"/>
    <w:rsid w:val="23754AA7"/>
    <w:rsid w:val="2383244E"/>
    <w:rsid w:val="23952182"/>
    <w:rsid w:val="239969B1"/>
    <w:rsid w:val="23A221A9"/>
    <w:rsid w:val="23A45F21"/>
    <w:rsid w:val="23AB3753"/>
    <w:rsid w:val="23AB5501"/>
    <w:rsid w:val="23B24AE2"/>
    <w:rsid w:val="24081086"/>
    <w:rsid w:val="241C75F2"/>
    <w:rsid w:val="24212C83"/>
    <w:rsid w:val="2423153B"/>
    <w:rsid w:val="242B219E"/>
    <w:rsid w:val="2450754A"/>
    <w:rsid w:val="24516679"/>
    <w:rsid w:val="245E07C6"/>
    <w:rsid w:val="24651B54"/>
    <w:rsid w:val="247B3126"/>
    <w:rsid w:val="247E2C16"/>
    <w:rsid w:val="2481372D"/>
    <w:rsid w:val="2499158E"/>
    <w:rsid w:val="249A1C21"/>
    <w:rsid w:val="24A02B8C"/>
    <w:rsid w:val="24B85131"/>
    <w:rsid w:val="24C35462"/>
    <w:rsid w:val="24F667D0"/>
    <w:rsid w:val="250A64A0"/>
    <w:rsid w:val="251610A0"/>
    <w:rsid w:val="25162E4E"/>
    <w:rsid w:val="251D41DD"/>
    <w:rsid w:val="253D662D"/>
    <w:rsid w:val="25583467"/>
    <w:rsid w:val="256B319A"/>
    <w:rsid w:val="25761B3F"/>
    <w:rsid w:val="258A0049"/>
    <w:rsid w:val="258F159E"/>
    <w:rsid w:val="25987D07"/>
    <w:rsid w:val="25A0096A"/>
    <w:rsid w:val="25E6350A"/>
    <w:rsid w:val="25EC4C35"/>
    <w:rsid w:val="25FC3DF2"/>
    <w:rsid w:val="25FF2AF6"/>
    <w:rsid w:val="26094761"/>
    <w:rsid w:val="2609650F"/>
    <w:rsid w:val="260F2F8C"/>
    <w:rsid w:val="261750D0"/>
    <w:rsid w:val="263F264B"/>
    <w:rsid w:val="263F5BCC"/>
    <w:rsid w:val="26404627"/>
    <w:rsid w:val="26434D40"/>
    <w:rsid w:val="26526108"/>
    <w:rsid w:val="26551754"/>
    <w:rsid w:val="265C6F87"/>
    <w:rsid w:val="269C55D5"/>
    <w:rsid w:val="26A30712"/>
    <w:rsid w:val="26EE2542"/>
    <w:rsid w:val="26F31699"/>
    <w:rsid w:val="270B40B9"/>
    <w:rsid w:val="272C056F"/>
    <w:rsid w:val="273B2771"/>
    <w:rsid w:val="273E668C"/>
    <w:rsid w:val="275A34C6"/>
    <w:rsid w:val="275B1F1D"/>
    <w:rsid w:val="278A18D2"/>
    <w:rsid w:val="278C73F8"/>
    <w:rsid w:val="27901863"/>
    <w:rsid w:val="27947DB7"/>
    <w:rsid w:val="279F35CF"/>
    <w:rsid w:val="27BC5F2F"/>
    <w:rsid w:val="27BE4B0B"/>
    <w:rsid w:val="27D35027"/>
    <w:rsid w:val="27D54622"/>
    <w:rsid w:val="27D8088F"/>
    <w:rsid w:val="27ED2C8A"/>
    <w:rsid w:val="27FA25B3"/>
    <w:rsid w:val="28081174"/>
    <w:rsid w:val="281A4E61"/>
    <w:rsid w:val="282B09BF"/>
    <w:rsid w:val="28380E06"/>
    <w:rsid w:val="284015D2"/>
    <w:rsid w:val="28506677"/>
    <w:rsid w:val="285E1492"/>
    <w:rsid w:val="28610884"/>
    <w:rsid w:val="2864476D"/>
    <w:rsid w:val="28724840"/>
    <w:rsid w:val="28877790"/>
    <w:rsid w:val="288E4399"/>
    <w:rsid w:val="289431CA"/>
    <w:rsid w:val="289D0D97"/>
    <w:rsid w:val="28BA1D43"/>
    <w:rsid w:val="28BE5CD7"/>
    <w:rsid w:val="28C91E5D"/>
    <w:rsid w:val="28EC45F2"/>
    <w:rsid w:val="2916166F"/>
    <w:rsid w:val="29183639"/>
    <w:rsid w:val="291856B6"/>
    <w:rsid w:val="292F44DF"/>
    <w:rsid w:val="2964117F"/>
    <w:rsid w:val="2987256D"/>
    <w:rsid w:val="298F31CF"/>
    <w:rsid w:val="29BB5D72"/>
    <w:rsid w:val="29BE48F3"/>
    <w:rsid w:val="29CC6E69"/>
    <w:rsid w:val="29F64FFC"/>
    <w:rsid w:val="2A1831C5"/>
    <w:rsid w:val="2A5266D7"/>
    <w:rsid w:val="2A6B7798"/>
    <w:rsid w:val="2ABC4498"/>
    <w:rsid w:val="2ACB6489"/>
    <w:rsid w:val="2ADE2AE6"/>
    <w:rsid w:val="2AE33073"/>
    <w:rsid w:val="2AE337D3"/>
    <w:rsid w:val="2AEE17B2"/>
    <w:rsid w:val="2AEF2177"/>
    <w:rsid w:val="2AF552B4"/>
    <w:rsid w:val="2AFA28CA"/>
    <w:rsid w:val="2AFB4FC0"/>
    <w:rsid w:val="2B004385"/>
    <w:rsid w:val="2B0B2D29"/>
    <w:rsid w:val="2B141BDE"/>
    <w:rsid w:val="2B14398C"/>
    <w:rsid w:val="2B146082"/>
    <w:rsid w:val="2B1940D6"/>
    <w:rsid w:val="2B1C0A93"/>
    <w:rsid w:val="2B1F1365"/>
    <w:rsid w:val="2B261911"/>
    <w:rsid w:val="2B2654FC"/>
    <w:rsid w:val="2B32641C"/>
    <w:rsid w:val="2B366FE8"/>
    <w:rsid w:val="2B5F6B40"/>
    <w:rsid w:val="2B990335"/>
    <w:rsid w:val="2BA6467F"/>
    <w:rsid w:val="2BB05DAB"/>
    <w:rsid w:val="2BC90C1A"/>
    <w:rsid w:val="2BCE6231"/>
    <w:rsid w:val="2BD92122"/>
    <w:rsid w:val="2BE664C3"/>
    <w:rsid w:val="2BFD7DB0"/>
    <w:rsid w:val="2C1650DD"/>
    <w:rsid w:val="2C35433F"/>
    <w:rsid w:val="2C3A1B18"/>
    <w:rsid w:val="2C402B82"/>
    <w:rsid w:val="2C444745"/>
    <w:rsid w:val="2C527B22"/>
    <w:rsid w:val="2C66290D"/>
    <w:rsid w:val="2C73502A"/>
    <w:rsid w:val="2C7D37B3"/>
    <w:rsid w:val="2C816A8A"/>
    <w:rsid w:val="2C8D0211"/>
    <w:rsid w:val="2CA230DE"/>
    <w:rsid w:val="2CCC3747"/>
    <w:rsid w:val="2CDD4252"/>
    <w:rsid w:val="2CE101E6"/>
    <w:rsid w:val="2CE657FC"/>
    <w:rsid w:val="2D0B7011"/>
    <w:rsid w:val="2D1F2D19"/>
    <w:rsid w:val="2D200C18"/>
    <w:rsid w:val="2D371BB4"/>
    <w:rsid w:val="2D460049"/>
    <w:rsid w:val="2D564730"/>
    <w:rsid w:val="2D5C786C"/>
    <w:rsid w:val="2D727090"/>
    <w:rsid w:val="2D782C20"/>
    <w:rsid w:val="2D875248"/>
    <w:rsid w:val="2D8F1D74"/>
    <w:rsid w:val="2D9D235F"/>
    <w:rsid w:val="2DA34C81"/>
    <w:rsid w:val="2DB05275"/>
    <w:rsid w:val="2DB24D4A"/>
    <w:rsid w:val="2DC16930"/>
    <w:rsid w:val="2DFB52D7"/>
    <w:rsid w:val="2E057F04"/>
    <w:rsid w:val="2E1A1B41"/>
    <w:rsid w:val="2E4B3B69"/>
    <w:rsid w:val="2E555FE9"/>
    <w:rsid w:val="2E905A1F"/>
    <w:rsid w:val="2E9A2060"/>
    <w:rsid w:val="2E9E0AF5"/>
    <w:rsid w:val="2EA4771D"/>
    <w:rsid w:val="2ED26038"/>
    <w:rsid w:val="2EDE48D9"/>
    <w:rsid w:val="2EE10029"/>
    <w:rsid w:val="2EE351E2"/>
    <w:rsid w:val="2EED7AD4"/>
    <w:rsid w:val="2EEE0998"/>
    <w:rsid w:val="2F0401BB"/>
    <w:rsid w:val="2F3445FD"/>
    <w:rsid w:val="2F3C023A"/>
    <w:rsid w:val="2F4B1946"/>
    <w:rsid w:val="2F546A4D"/>
    <w:rsid w:val="2F6F3887"/>
    <w:rsid w:val="2F8102FB"/>
    <w:rsid w:val="2F9904EA"/>
    <w:rsid w:val="2FBA60E9"/>
    <w:rsid w:val="2FE914EA"/>
    <w:rsid w:val="2FFD5337"/>
    <w:rsid w:val="30240B15"/>
    <w:rsid w:val="3048012F"/>
    <w:rsid w:val="30515682"/>
    <w:rsid w:val="30595204"/>
    <w:rsid w:val="30662444"/>
    <w:rsid w:val="309A7844"/>
    <w:rsid w:val="30A137DD"/>
    <w:rsid w:val="30C54D6A"/>
    <w:rsid w:val="30ED1D3D"/>
    <w:rsid w:val="30FB5378"/>
    <w:rsid w:val="31177F87"/>
    <w:rsid w:val="31462D0D"/>
    <w:rsid w:val="31623972"/>
    <w:rsid w:val="316513E5"/>
    <w:rsid w:val="31796C3F"/>
    <w:rsid w:val="318566A2"/>
    <w:rsid w:val="31A25188"/>
    <w:rsid w:val="31AA329C"/>
    <w:rsid w:val="31D200FD"/>
    <w:rsid w:val="31E247E4"/>
    <w:rsid w:val="321815D1"/>
    <w:rsid w:val="321F28F3"/>
    <w:rsid w:val="3227669B"/>
    <w:rsid w:val="32655415"/>
    <w:rsid w:val="3293788C"/>
    <w:rsid w:val="329D695D"/>
    <w:rsid w:val="32AA2E28"/>
    <w:rsid w:val="32E10961"/>
    <w:rsid w:val="32F26CA9"/>
    <w:rsid w:val="33030EB6"/>
    <w:rsid w:val="33044C2E"/>
    <w:rsid w:val="33092244"/>
    <w:rsid w:val="33605193"/>
    <w:rsid w:val="33743B62"/>
    <w:rsid w:val="337C6572"/>
    <w:rsid w:val="337D0287"/>
    <w:rsid w:val="33900CD8"/>
    <w:rsid w:val="33946E19"/>
    <w:rsid w:val="33955886"/>
    <w:rsid w:val="33956335"/>
    <w:rsid w:val="33A31D51"/>
    <w:rsid w:val="33CF4EA7"/>
    <w:rsid w:val="33F05822"/>
    <w:rsid w:val="33FA40FA"/>
    <w:rsid w:val="34012F1B"/>
    <w:rsid w:val="34172780"/>
    <w:rsid w:val="341964B7"/>
    <w:rsid w:val="341C1B03"/>
    <w:rsid w:val="34237336"/>
    <w:rsid w:val="34346E4D"/>
    <w:rsid w:val="34480B4A"/>
    <w:rsid w:val="345920CE"/>
    <w:rsid w:val="346040E6"/>
    <w:rsid w:val="3467738C"/>
    <w:rsid w:val="348245D2"/>
    <w:rsid w:val="348558FB"/>
    <w:rsid w:val="34857EC5"/>
    <w:rsid w:val="349D223E"/>
    <w:rsid w:val="349F4C0E"/>
    <w:rsid w:val="34AC732B"/>
    <w:rsid w:val="34B146CB"/>
    <w:rsid w:val="34B95429"/>
    <w:rsid w:val="34C44C99"/>
    <w:rsid w:val="34CE40CC"/>
    <w:rsid w:val="34F62354"/>
    <w:rsid w:val="3501637C"/>
    <w:rsid w:val="350E58F0"/>
    <w:rsid w:val="351A24E7"/>
    <w:rsid w:val="352A38F1"/>
    <w:rsid w:val="355754E9"/>
    <w:rsid w:val="35740A27"/>
    <w:rsid w:val="3583008C"/>
    <w:rsid w:val="3595723D"/>
    <w:rsid w:val="35AE2C2F"/>
    <w:rsid w:val="35B53FBD"/>
    <w:rsid w:val="35BB5A78"/>
    <w:rsid w:val="35E271A2"/>
    <w:rsid w:val="35ED210C"/>
    <w:rsid w:val="360C62D3"/>
    <w:rsid w:val="36237179"/>
    <w:rsid w:val="36493C9F"/>
    <w:rsid w:val="36503E10"/>
    <w:rsid w:val="3652465A"/>
    <w:rsid w:val="368423DF"/>
    <w:rsid w:val="36987B67"/>
    <w:rsid w:val="369E0EF6"/>
    <w:rsid w:val="36D735FF"/>
    <w:rsid w:val="36DF7544"/>
    <w:rsid w:val="36E44B5A"/>
    <w:rsid w:val="36F80606"/>
    <w:rsid w:val="370419F2"/>
    <w:rsid w:val="371321BA"/>
    <w:rsid w:val="3719504D"/>
    <w:rsid w:val="371F5B92"/>
    <w:rsid w:val="37215DAE"/>
    <w:rsid w:val="37216138"/>
    <w:rsid w:val="373A0C1E"/>
    <w:rsid w:val="376822D6"/>
    <w:rsid w:val="378679C0"/>
    <w:rsid w:val="37A61E10"/>
    <w:rsid w:val="37A83DDA"/>
    <w:rsid w:val="37AF6638"/>
    <w:rsid w:val="37B26A07"/>
    <w:rsid w:val="37BC1633"/>
    <w:rsid w:val="37CA427B"/>
    <w:rsid w:val="37CD6645"/>
    <w:rsid w:val="37E636D0"/>
    <w:rsid w:val="37E84929"/>
    <w:rsid w:val="37F25055"/>
    <w:rsid w:val="37FB65FF"/>
    <w:rsid w:val="380B25BB"/>
    <w:rsid w:val="381C0324"/>
    <w:rsid w:val="382256A7"/>
    <w:rsid w:val="3825367C"/>
    <w:rsid w:val="386D6DD1"/>
    <w:rsid w:val="388359BF"/>
    <w:rsid w:val="3885236D"/>
    <w:rsid w:val="389B749B"/>
    <w:rsid w:val="38A30036"/>
    <w:rsid w:val="38A62B0D"/>
    <w:rsid w:val="38C846C8"/>
    <w:rsid w:val="38CA4224"/>
    <w:rsid w:val="38E35AD8"/>
    <w:rsid w:val="38E76B84"/>
    <w:rsid w:val="38FA68B7"/>
    <w:rsid w:val="38FC6146"/>
    <w:rsid w:val="39400042"/>
    <w:rsid w:val="39434F90"/>
    <w:rsid w:val="3951224F"/>
    <w:rsid w:val="39513FFD"/>
    <w:rsid w:val="39627FB8"/>
    <w:rsid w:val="396A50BF"/>
    <w:rsid w:val="396E2E01"/>
    <w:rsid w:val="39936509"/>
    <w:rsid w:val="399F120C"/>
    <w:rsid w:val="39A14F85"/>
    <w:rsid w:val="39C66799"/>
    <w:rsid w:val="39CB45DC"/>
    <w:rsid w:val="39DE1D35"/>
    <w:rsid w:val="39E03482"/>
    <w:rsid w:val="3A263E74"/>
    <w:rsid w:val="3A8C19CE"/>
    <w:rsid w:val="3ADE3A4D"/>
    <w:rsid w:val="3AE27603"/>
    <w:rsid w:val="3B1245AD"/>
    <w:rsid w:val="3B140067"/>
    <w:rsid w:val="3B245E6D"/>
    <w:rsid w:val="3B2F18C9"/>
    <w:rsid w:val="3B6C15C2"/>
    <w:rsid w:val="3B9B5A04"/>
    <w:rsid w:val="3B9D0142"/>
    <w:rsid w:val="3BAB3E99"/>
    <w:rsid w:val="3BD01B51"/>
    <w:rsid w:val="3C1A2DCC"/>
    <w:rsid w:val="3C20775A"/>
    <w:rsid w:val="3C2D0D52"/>
    <w:rsid w:val="3C4165AB"/>
    <w:rsid w:val="3C466490"/>
    <w:rsid w:val="3C4D4F50"/>
    <w:rsid w:val="3C4E0CC8"/>
    <w:rsid w:val="3C535D39"/>
    <w:rsid w:val="3C7557AA"/>
    <w:rsid w:val="3C770627"/>
    <w:rsid w:val="3C81109D"/>
    <w:rsid w:val="3C90308E"/>
    <w:rsid w:val="3CB85249"/>
    <w:rsid w:val="3CF4361D"/>
    <w:rsid w:val="3CFB2BFE"/>
    <w:rsid w:val="3D023F8C"/>
    <w:rsid w:val="3D1837B0"/>
    <w:rsid w:val="3D1F6DA5"/>
    <w:rsid w:val="3D5642D8"/>
    <w:rsid w:val="3D6469F5"/>
    <w:rsid w:val="3D8E75CE"/>
    <w:rsid w:val="3D997F87"/>
    <w:rsid w:val="3DA05824"/>
    <w:rsid w:val="3DA52B6A"/>
    <w:rsid w:val="3DAD7631"/>
    <w:rsid w:val="3DDA6CB7"/>
    <w:rsid w:val="3DFD29A6"/>
    <w:rsid w:val="3E116573"/>
    <w:rsid w:val="3E2241BA"/>
    <w:rsid w:val="3E2B12C1"/>
    <w:rsid w:val="3E570B37"/>
    <w:rsid w:val="3E5A3954"/>
    <w:rsid w:val="3E9A6446"/>
    <w:rsid w:val="3EAD3FF2"/>
    <w:rsid w:val="3ECA0ADA"/>
    <w:rsid w:val="3F163D1F"/>
    <w:rsid w:val="3F282217"/>
    <w:rsid w:val="3F43263A"/>
    <w:rsid w:val="3F454604"/>
    <w:rsid w:val="3F6525B0"/>
    <w:rsid w:val="3F6842E5"/>
    <w:rsid w:val="3F6941B4"/>
    <w:rsid w:val="3F73566E"/>
    <w:rsid w:val="3F892743"/>
    <w:rsid w:val="3F8E5FAB"/>
    <w:rsid w:val="3FA255B3"/>
    <w:rsid w:val="3FBE1D66"/>
    <w:rsid w:val="3FDB4491"/>
    <w:rsid w:val="3FEC2CD2"/>
    <w:rsid w:val="4001087F"/>
    <w:rsid w:val="40161AFD"/>
    <w:rsid w:val="401E398A"/>
    <w:rsid w:val="405D3A2C"/>
    <w:rsid w:val="409A125F"/>
    <w:rsid w:val="40B30F05"/>
    <w:rsid w:val="40B530C4"/>
    <w:rsid w:val="40B94D77"/>
    <w:rsid w:val="40CF0629"/>
    <w:rsid w:val="40D96739"/>
    <w:rsid w:val="40DF6A92"/>
    <w:rsid w:val="40E1035D"/>
    <w:rsid w:val="40E6301F"/>
    <w:rsid w:val="40EF78AD"/>
    <w:rsid w:val="410B117F"/>
    <w:rsid w:val="41123FC3"/>
    <w:rsid w:val="41232723"/>
    <w:rsid w:val="414B62A2"/>
    <w:rsid w:val="415154E2"/>
    <w:rsid w:val="415428DD"/>
    <w:rsid w:val="41662610"/>
    <w:rsid w:val="41702AD0"/>
    <w:rsid w:val="41A82C28"/>
    <w:rsid w:val="41CD4433"/>
    <w:rsid w:val="41CE2C59"/>
    <w:rsid w:val="41D028AB"/>
    <w:rsid w:val="41EE2D31"/>
    <w:rsid w:val="422B5D33"/>
    <w:rsid w:val="42354773"/>
    <w:rsid w:val="4278075F"/>
    <w:rsid w:val="429E4FC7"/>
    <w:rsid w:val="42AE52AB"/>
    <w:rsid w:val="42BF6B7D"/>
    <w:rsid w:val="42D24401"/>
    <w:rsid w:val="42D40179"/>
    <w:rsid w:val="42DD6902"/>
    <w:rsid w:val="42DF6B1E"/>
    <w:rsid w:val="42F44377"/>
    <w:rsid w:val="42FE5862"/>
    <w:rsid w:val="43275A42"/>
    <w:rsid w:val="433513BF"/>
    <w:rsid w:val="433976C4"/>
    <w:rsid w:val="433A3D54"/>
    <w:rsid w:val="434B7D0F"/>
    <w:rsid w:val="43664B49"/>
    <w:rsid w:val="436808C1"/>
    <w:rsid w:val="43924050"/>
    <w:rsid w:val="4392593E"/>
    <w:rsid w:val="43D37346"/>
    <w:rsid w:val="43D74407"/>
    <w:rsid w:val="43F263DD"/>
    <w:rsid w:val="44157E50"/>
    <w:rsid w:val="445F1CC4"/>
    <w:rsid w:val="446B5B00"/>
    <w:rsid w:val="448E4357"/>
    <w:rsid w:val="449445B6"/>
    <w:rsid w:val="449A2CFC"/>
    <w:rsid w:val="44B61C2D"/>
    <w:rsid w:val="44BB380A"/>
    <w:rsid w:val="44D22496"/>
    <w:rsid w:val="44DF4D9E"/>
    <w:rsid w:val="44E57469"/>
    <w:rsid w:val="451C7BB5"/>
    <w:rsid w:val="451E56DB"/>
    <w:rsid w:val="454E7441"/>
    <w:rsid w:val="45725A27"/>
    <w:rsid w:val="457F1EF2"/>
    <w:rsid w:val="459C4852"/>
    <w:rsid w:val="45A02594"/>
    <w:rsid w:val="45C94E39"/>
    <w:rsid w:val="45E34F1C"/>
    <w:rsid w:val="45FD1795"/>
    <w:rsid w:val="46050649"/>
    <w:rsid w:val="46222FA9"/>
    <w:rsid w:val="46284DA5"/>
    <w:rsid w:val="462A00B0"/>
    <w:rsid w:val="46476EB4"/>
    <w:rsid w:val="465B64BB"/>
    <w:rsid w:val="46625A9C"/>
    <w:rsid w:val="467E331E"/>
    <w:rsid w:val="46853ACF"/>
    <w:rsid w:val="46872807"/>
    <w:rsid w:val="46AF05B5"/>
    <w:rsid w:val="46C8590B"/>
    <w:rsid w:val="46DC1E07"/>
    <w:rsid w:val="46FC0A6C"/>
    <w:rsid w:val="47280A93"/>
    <w:rsid w:val="47290367"/>
    <w:rsid w:val="473176DF"/>
    <w:rsid w:val="47321912"/>
    <w:rsid w:val="47392CA0"/>
    <w:rsid w:val="47490A0A"/>
    <w:rsid w:val="476365C7"/>
    <w:rsid w:val="47770B52"/>
    <w:rsid w:val="4785474F"/>
    <w:rsid w:val="47B10A89"/>
    <w:rsid w:val="47BB2886"/>
    <w:rsid w:val="47DF7A24"/>
    <w:rsid w:val="47FE1246"/>
    <w:rsid w:val="481608EC"/>
    <w:rsid w:val="481A5543"/>
    <w:rsid w:val="481B23A6"/>
    <w:rsid w:val="481C1C7A"/>
    <w:rsid w:val="48272AF9"/>
    <w:rsid w:val="48335942"/>
    <w:rsid w:val="484C07B1"/>
    <w:rsid w:val="48607974"/>
    <w:rsid w:val="487C33A3"/>
    <w:rsid w:val="4883037A"/>
    <w:rsid w:val="48AC47F0"/>
    <w:rsid w:val="48BA540D"/>
    <w:rsid w:val="48CB3DCC"/>
    <w:rsid w:val="48D13C35"/>
    <w:rsid w:val="48FC21D7"/>
    <w:rsid w:val="48FD0FA1"/>
    <w:rsid w:val="490746D8"/>
    <w:rsid w:val="4927216F"/>
    <w:rsid w:val="49437E06"/>
    <w:rsid w:val="49476478"/>
    <w:rsid w:val="49543DC1"/>
    <w:rsid w:val="495D7CF3"/>
    <w:rsid w:val="49935F6C"/>
    <w:rsid w:val="4999217F"/>
    <w:rsid w:val="49EC224C"/>
    <w:rsid w:val="49FC5DE1"/>
    <w:rsid w:val="49FF7881"/>
    <w:rsid w:val="4A2F2139"/>
    <w:rsid w:val="4A3824E8"/>
    <w:rsid w:val="4A3C6604"/>
    <w:rsid w:val="4A7E2731"/>
    <w:rsid w:val="4A8F4985"/>
    <w:rsid w:val="4A9106FD"/>
    <w:rsid w:val="4ABB577A"/>
    <w:rsid w:val="4AC97E97"/>
    <w:rsid w:val="4AD1434D"/>
    <w:rsid w:val="4AF37694"/>
    <w:rsid w:val="4B02377E"/>
    <w:rsid w:val="4B0B57E5"/>
    <w:rsid w:val="4B133808"/>
    <w:rsid w:val="4B2B6DA4"/>
    <w:rsid w:val="4B2C45F5"/>
    <w:rsid w:val="4B3C7E60"/>
    <w:rsid w:val="4B591595"/>
    <w:rsid w:val="4B790939"/>
    <w:rsid w:val="4B7C315C"/>
    <w:rsid w:val="4B7F0E9E"/>
    <w:rsid w:val="4B8D35BB"/>
    <w:rsid w:val="4BA6642B"/>
    <w:rsid w:val="4BB46D99"/>
    <w:rsid w:val="4BE331DB"/>
    <w:rsid w:val="4BFF5B3B"/>
    <w:rsid w:val="4C0849EF"/>
    <w:rsid w:val="4C0C0983"/>
    <w:rsid w:val="4C115F9A"/>
    <w:rsid w:val="4C12586E"/>
    <w:rsid w:val="4C1B77B7"/>
    <w:rsid w:val="4C5B7215"/>
    <w:rsid w:val="4C5F6EE4"/>
    <w:rsid w:val="4C72630D"/>
    <w:rsid w:val="4C732F78"/>
    <w:rsid w:val="4C736DCA"/>
    <w:rsid w:val="4C757CBC"/>
    <w:rsid w:val="4C7B1665"/>
    <w:rsid w:val="4C874E63"/>
    <w:rsid w:val="4C8E75EA"/>
    <w:rsid w:val="4C991AEB"/>
    <w:rsid w:val="4C9E7102"/>
    <w:rsid w:val="4CA7245A"/>
    <w:rsid w:val="4CB701C3"/>
    <w:rsid w:val="4CBB4158"/>
    <w:rsid w:val="4CC76658"/>
    <w:rsid w:val="4CF51418"/>
    <w:rsid w:val="4D0D7ED3"/>
    <w:rsid w:val="4D1F0243"/>
    <w:rsid w:val="4D2910C1"/>
    <w:rsid w:val="4D4C2979"/>
    <w:rsid w:val="4D565C2E"/>
    <w:rsid w:val="4D5C3245"/>
    <w:rsid w:val="4D5F3B5F"/>
    <w:rsid w:val="4D6334E9"/>
    <w:rsid w:val="4D8515C9"/>
    <w:rsid w:val="4DA4699A"/>
    <w:rsid w:val="4DA60964"/>
    <w:rsid w:val="4DCB2178"/>
    <w:rsid w:val="4DCB3F26"/>
    <w:rsid w:val="4DCF13D9"/>
    <w:rsid w:val="4DED3B42"/>
    <w:rsid w:val="4E143B1F"/>
    <w:rsid w:val="4E191136"/>
    <w:rsid w:val="4E2A3343"/>
    <w:rsid w:val="4E304602"/>
    <w:rsid w:val="4E4835E9"/>
    <w:rsid w:val="4E907D88"/>
    <w:rsid w:val="4E9823FF"/>
    <w:rsid w:val="4EB96475"/>
    <w:rsid w:val="4EC15A64"/>
    <w:rsid w:val="4ECE0172"/>
    <w:rsid w:val="4ED141EC"/>
    <w:rsid w:val="4ED9366C"/>
    <w:rsid w:val="4F0B1AC8"/>
    <w:rsid w:val="4F2C57AC"/>
    <w:rsid w:val="4F310701"/>
    <w:rsid w:val="4F367AC5"/>
    <w:rsid w:val="4F560168"/>
    <w:rsid w:val="4F583EE0"/>
    <w:rsid w:val="4F610FE6"/>
    <w:rsid w:val="4F624D5E"/>
    <w:rsid w:val="4F6463E1"/>
    <w:rsid w:val="4F6B0EDA"/>
    <w:rsid w:val="4F766114"/>
    <w:rsid w:val="4F806F93"/>
    <w:rsid w:val="4F8E16AF"/>
    <w:rsid w:val="4FA25BD4"/>
    <w:rsid w:val="4FD01CC8"/>
    <w:rsid w:val="4FDE40C0"/>
    <w:rsid w:val="4FF534DD"/>
    <w:rsid w:val="500D0826"/>
    <w:rsid w:val="505226DD"/>
    <w:rsid w:val="505D123E"/>
    <w:rsid w:val="50680222"/>
    <w:rsid w:val="506C063F"/>
    <w:rsid w:val="509A0A44"/>
    <w:rsid w:val="50A43C01"/>
    <w:rsid w:val="50B05655"/>
    <w:rsid w:val="50BB0282"/>
    <w:rsid w:val="50EA500B"/>
    <w:rsid w:val="50EC2B32"/>
    <w:rsid w:val="50FE4613"/>
    <w:rsid w:val="510C4F82"/>
    <w:rsid w:val="5119769F"/>
    <w:rsid w:val="51206ED5"/>
    <w:rsid w:val="513220D6"/>
    <w:rsid w:val="515941C5"/>
    <w:rsid w:val="518E3BE9"/>
    <w:rsid w:val="518E4305"/>
    <w:rsid w:val="51954F77"/>
    <w:rsid w:val="51C31420"/>
    <w:rsid w:val="51D81308"/>
    <w:rsid w:val="51DD691E"/>
    <w:rsid w:val="51E15998"/>
    <w:rsid w:val="51E57A85"/>
    <w:rsid w:val="51F779E0"/>
    <w:rsid w:val="51FB0B52"/>
    <w:rsid w:val="51FD08E1"/>
    <w:rsid w:val="52041D74"/>
    <w:rsid w:val="52137536"/>
    <w:rsid w:val="527E3C5D"/>
    <w:rsid w:val="52807674"/>
    <w:rsid w:val="52911BE2"/>
    <w:rsid w:val="52A33438"/>
    <w:rsid w:val="52A631B4"/>
    <w:rsid w:val="52B256B5"/>
    <w:rsid w:val="52C75188"/>
    <w:rsid w:val="52C84ED8"/>
    <w:rsid w:val="52CB1675"/>
    <w:rsid w:val="53312A7E"/>
    <w:rsid w:val="535B5D4C"/>
    <w:rsid w:val="53623FBA"/>
    <w:rsid w:val="536F1BBE"/>
    <w:rsid w:val="536F35A6"/>
    <w:rsid w:val="53733096"/>
    <w:rsid w:val="53950327"/>
    <w:rsid w:val="539B083F"/>
    <w:rsid w:val="53C91E6B"/>
    <w:rsid w:val="53F87A3F"/>
    <w:rsid w:val="53FC269A"/>
    <w:rsid w:val="5426635A"/>
    <w:rsid w:val="54745318"/>
    <w:rsid w:val="548117E3"/>
    <w:rsid w:val="54921C42"/>
    <w:rsid w:val="54AC5C2B"/>
    <w:rsid w:val="54C55B73"/>
    <w:rsid w:val="54CE673E"/>
    <w:rsid w:val="54DB5397"/>
    <w:rsid w:val="55055F70"/>
    <w:rsid w:val="55191A1B"/>
    <w:rsid w:val="55264138"/>
    <w:rsid w:val="555A786A"/>
    <w:rsid w:val="557430F6"/>
    <w:rsid w:val="559E63C4"/>
    <w:rsid w:val="55B160F8"/>
    <w:rsid w:val="55CF47D0"/>
    <w:rsid w:val="55D158AA"/>
    <w:rsid w:val="55E738C7"/>
    <w:rsid w:val="55E77D6B"/>
    <w:rsid w:val="55EC7130"/>
    <w:rsid w:val="56024BA5"/>
    <w:rsid w:val="5605213D"/>
    <w:rsid w:val="56114DE8"/>
    <w:rsid w:val="56160D40"/>
    <w:rsid w:val="563167DC"/>
    <w:rsid w:val="564C5E20"/>
    <w:rsid w:val="56520719"/>
    <w:rsid w:val="565E4F71"/>
    <w:rsid w:val="5688184B"/>
    <w:rsid w:val="56B91708"/>
    <w:rsid w:val="56CD6F61"/>
    <w:rsid w:val="56EC7480"/>
    <w:rsid w:val="56F73FDE"/>
    <w:rsid w:val="56F74E5D"/>
    <w:rsid w:val="571C3651"/>
    <w:rsid w:val="575D6537"/>
    <w:rsid w:val="57672F12"/>
    <w:rsid w:val="57802226"/>
    <w:rsid w:val="57825F9E"/>
    <w:rsid w:val="57A06424"/>
    <w:rsid w:val="57B20DC8"/>
    <w:rsid w:val="57BF7CCF"/>
    <w:rsid w:val="57C33EC0"/>
    <w:rsid w:val="57C71C02"/>
    <w:rsid w:val="57DA7E30"/>
    <w:rsid w:val="57F10A2D"/>
    <w:rsid w:val="58055B5F"/>
    <w:rsid w:val="580746F5"/>
    <w:rsid w:val="580A62B2"/>
    <w:rsid w:val="58201313"/>
    <w:rsid w:val="582B03E3"/>
    <w:rsid w:val="582F7751"/>
    <w:rsid w:val="58397D2F"/>
    <w:rsid w:val="584B2834"/>
    <w:rsid w:val="584F0427"/>
    <w:rsid w:val="58523BC2"/>
    <w:rsid w:val="58565030"/>
    <w:rsid w:val="585F008D"/>
    <w:rsid w:val="58816255"/>
    <w:rsid w:val="58B77EC9"/>
    <w:rsid w:val="58C93758"/>
    <w:rsid w:val="58CD3249"/>
    <w:rsid w:val="58CF671F"/>
    <w:rsid w:val="58D63B5A"/>
    <w:rsid w:val="58D97E3F"/>
    <w:rsid w:val="58E0114E"/>
    <w:rsid w:val="58E14C34"/>
    <w:rsid w:val="58F85DEC"/>
    <w:rsid w:val="590E560F"/>
    <w:rsid w:val="591A2206"/>
    <w:rsid w:val="59254D4A"/>
    <w:rsid w:val="59376914"/>
    <w:rsid w:val="593C3F2A"/>
    <w:rsid w:val="594916BC"/>
    <w:rsid w:val="597D200F"/>
    <w:rsid w:val="59CA6016"/>
    <w:rsid w:val="59DB7BE7"/>
    <w:rsid w:val="59F667CF"/>
    <w:rsid w:val="5A010C64"/>
    <w:rsid w:val="5A2367A4"/>
    <w:rsid w:val="5A271315"/>
    <w:rsid w:val="5A4528F8"/>
    <w:rsid w:val="5A5F25C6"/>
    <w:rsid w:val="5A673B89"/>
    <w:rsid w:val="5A6A4AC7"/>
    <w:rsid w:val="5A8268F7"/>
    <w:rsid w:val="5A833F8A"/>
    <w:rsid w:val="5AB85DC9"/>
    <w:rsid w:val="5AB87F28"/>
    <w:rsid w:val="5AE12FDB"/>
    <w:rsid w:val="5B184523"/>
    <w:rsid w:val="5B1C4013"/>
    <w:rsid w:val="5B3E042E"/>
    <w:rsid w:val="5B3F7D02"/>
    <w:rsid w:val="5B6D486F"/>
    <w:rsid w:val="5B865931"/>
    <w:rsid w:val="5B907106"/>
    <w:rsid w:val="5B98279E"/>
    <w:rsid w:val="5BAD110F"/>
    <w:rsid w:val="5BCC7E92"/>
    <w:rsid w:val="5C074A7D"/>
    <w:rsid w:val="5C0D7E00"/>
    <w:rsid w:val="5C14118E"/>
    <w:rsid w:val="5C225659"/>
    <w:rsid w:val="5C294C3A"/>
    <w:rsid w:val="5C2D3FFE"/>
    <w:rsid w:val="5C8E2CEF"/>
    <w:rsid w:val="5C9A5B38"/>
    <w:rsid w:val="5CAC7619"/>
    <w:rsid w:val="5CB07109"/>
    <w:rsid w:val="5CB63FF4"/>
    <w:rsid w:val="5CB94E58"/>
    <w:rsid w:val="5CBE327B"/>
    <w:rsid w:val="5CD56326"/>
    <w:rsid w:val="5CDD77D2"/>
    <w:rsid w:val="5CDE3260"/>
    <w:rsid w:val="5CF039A9"/>
    <w:rsid w:val="5CFA4828"/>
    <w:rsid w:val="5CFA65D6"/>
    <w:rsid w:val="5D263062"/>
    <w:rsid w:val="5D283143"/>
    <w:rsid w:val="5D4D4958"/>
    <w:rsid w:val="5D4D7582"/>
    <w:rsid w:val="5D5B59A3"/>
    <w:rsid w:val="5D681792"/>
    <w:rsid w:val="5D6D6DA8"/>
    <w:rsid w:val="5D731EE5"/>
    <w:rsid w:val="5D981D7D"/>
    <w:rsid w:val="5D9B663A"/>
    <w:rsid w:val="5DBD6FCC"/>
    <w:rsid w:val="5DBF7C99"/>
    <w:rsid w:val="5DC12353"/>
    <w:rsid w:val="5DE51034"/>
    <w:rsid w:val="5DE57EB0"/>
    <w:rsid w:val="5DF23751"/>
    <w:rsid w:val="5E262E91"/>
    <w:rsid w:val="5E32585B"/>
    <w:rsid w:val="5E385608"/>
    <w:rsid w:val="5E3B0FF8"/>
    <w:rsid w:val="5E652175"/>
    <w:rsid w:val="5E7A5C21"/>
    <w:rsid w:val="5E9D546B"/>
    <w:rsid w:val="5EA20CD3"/>
    <w:rsid w:val="5EAF519E"/>
    <w:rsid w:val="5EB85F66"/>
    <w:rsid w:val="5EBB3B43"/>
    <w:rsid w:val="5EEC4BD7"/>
    <w:rsid w:val="5EF442F3"/>
    <w:rsid w:val="5EFC554B"/>
    <w:rsid w:val="5EFC634C"/>
    <w:rsid w:val="5F0C3E73"/>
    <w:rsid w:val="5F100333"/>
    <w:rsid w:val="5F155949"/>
    <w:rsid w:val="5F223BC2"/>
    <w:rsid w:val="5F281EB1"/>
    <w:rsid w:val="5F304531"/>
    <w:rsid w:val="5F4E2C09"/>
    <w:rsid w:val="5F70492E"/>
    <w:rsid w:val="5F7A31CA"/>
    <w:rsid w:val="5F7F494C"/>
    <w:rsid w:val="5FB567E4"/>
    <w:rsid w:val="5FBA292B"/>
    <w:rsid w:val="5FCF49FC"/>
    <w:rsid w:val="5FF67529"/>
    <w:rsid w:val="5FF92B75"/>
    <w:rsid w:val="60164F7F"/>
    <w:rsid w:val="6029717B"/>
    <w:rsid w:val="60363DC9"/>
    <w:rsid w:val="6090299C"/>
    <w:rsid w:val="60934D78"/>
    <w:rsid w:val="609D763D"/>
    <w:rsid w:val="60A056E7"/>
    <w:rsid w:val="60A46F85"/>
    <w:rsid w:val="60B028AD"/>
    <w:rsid w:val="60B71B8D"/>
    <w:rsid w:val="60D3303C"/>
    <w:rsid w:val="60E036FC"/>
    <w:rsid w:val="60E079BB"/>
    <w:rsid w:val="60F231B0"/>
    <w:rsid w:val="613D4CE3"/>
    <w:rsid w:val="61532759"/>
    <w:rsid w:val="618E0278"/>
    <w:rsid w:val="620D6DAC"/>
    <w:rsid w:val="62297B44"/>
    <w:rsid w:val="62344338"/>
    <w:rsid w:val="62391872"/>
    <w:rsid w:val="624D3BE8"/>
    <w:rsid w:val="624D71A8"/>
    <w:rsid w:val="624F3EEF"/>
    <w:rsid w:val="62593D9F"/>
    <w:rsid w:val="625E7607"/>
    <w:rsid w:val="628B1A2B"/>
    <w:rsid w:val="62C54F90"/>
    <w:rsid w:val="62CC631F"/>
    <w:rsid w:val="62DA4EE0"/>
    <w:rsid w:val="62DE42A4"/>
    <w:rsid w:val="63091321"/>
    <w:rsid w:val="630B6B76"/>
    <w:rsid w:val="630F26B0"/>
    <w:rsid w:val="631A1780"/>
    <w:rsid w:val="63260A0C"/>
    <w:rsid w:val="634265E1"/>
    <w:rsid w:val="634B78F8"/>
    <w:rsid w:val="635900EE"/>
    <w:rsid w:val="63786031"/>
    <w:rsid w:val="63A36518"/>
    <w:rsid w:val="63A64DC2"/>
    <w:rsid w:val="63AF2C16"/>
    <w:rsid w:val="63B923AB"/>
    <w:rsid w:val="63CE60C7"/>
    <w:rsid w:val="6408782B"/>
    <w:rsid w:val="64122457"/>
    <w:rsid w:val="64124205"/>
    <w:rsid w:val="64202DC6"/>
    <w:rsid w:val="643248A8"/>
    <w:rsid w:val="64326656"/>
    <w:rsid w:val="64354B69"/>
    <w:rsid w:val="643C1EFF"/>
    <w:rsid w:val="643D6FD7"/>
    <w:rsid w:val="643E022A"/>
    <w:rsid w:val="64616F3B"/>
    <w:rsid w:val="64874BF3"/>
    <w:rsid w:val="64A5151D"/>
    <w:rsid w:val="64B13A1E"/>
    <w:rsid w:val="64B43F9C"/>
    <w:rsid w:val="64DC6CFB"/>
    <w:rsid w:val="64FB346E"/>
    <w:rsid w:val="650F21E1"/>
    <w:rsid w:val="652341F0"/>
    <w:rsid w:val="65257F68"/>
    <w:rsid w:val="653B3C30"/>
    <w:rsid w:val="654E1A04"/>
    <w:rsid w:val="65510C1C"/>
    <w:rsid w:val="656C5CE6"/>
    <w:rsid w:val="65796CD3"/>
    <w:rsid w:val="65C6799D"/>
    <w:rsid w:val="65E25B40"/>
    <w:rsid w:val="65EB57FF"/>
    <w:rsid w:val="65ED6CD8"/>
    <w:rsid w:val="65F8567D"/>
    <w:rsid w:val="660B0C5E"/>
    <w:rsid w:val="660C63EF"/>
    <w:rsid w:val="66247DDD"/>
    <w:rsid w:val="662E140F"/>
    <w:rsid w:val="66373AC9"/>
    <w:rsid w:val="66486604"/>
    <w:rsid w:val="6663343E"/>
    <w:rsid w:val="66650F64"/>
    <w:rsid w:val="667C005C"/>
    <w:rsid w:val="668D4EF0"/>
    <w:rsid w:val="668F3111"/>
    <w:rsid w:val="66961918"/>
    <w:rsid w:val="66996E60"/>
    <w:rsid w:val="66A3383B"/>
    <w:rsid w:val="66B71DB0"/>
    <w:rsid w:val="66C537B1"/>
    <w:rsid w:val="66E60D72"/>
    <w:rsid w:val="6712237C"/>
    <w:rsid w:val="67127086"/>
    <w:rsid w:val="671E1113"/>
    <w:rsid w:val="67530C5C"/>
    <w:rsid w:val="675B4115"/>
    <w:rsid w:val="676236F6"/>
    <w:rsid w:val="676C00D0"/>
    <w:rsid w:val="677564D7"/>
    <w:rsid w:val="67802817"/>
    <w:rsid w:val="67876CB8"/>
    <w:rsid w:val="679338AF"/>
    <w:rsid w:val="67A930D3"/>
    <w:rsid w:val="67E10ABE"/>
    <w:rsid w:val="67EE0AE5"/>
    <w:rsid w:val="67FF33DC"/>
    <w:rsid w:val="680447AD"/>
    <w:rsid w:val="682826AF"/>
    <w:rsid w:val="683A3D2B"/>
    <w:rsid w:val="683F7593"/>
    <w:rsid w:val="6844317B"/>
    <w:rsid w:val="684D11C4"/>
    <w:rsid w:val="684D7F02"/>
    <w:rsid w:val="686F7E78"/>
    <w:rsid w:val="68790CF7"/>
    <w:rsid w:val="687A05CB"/>
    <w:rsid w:val="68810AC0"/>
    <w:rsid w:val="688C2F03"/>
    <w:rsid w:val="68967E6C"/>
    <w:rsid w:val="6897117D"/>
    <w:rsid w:val="68AD09A1"/>
    <w:rsid w:val="68B4267B"/>
    <w:rsid w:val="68C1269E"/>
    <w:rsid w:val="68F760C0"/>
    <w:rsid w:val="690305C1"/>
    <w:rsid w:val="69117181"/>
    <w:rsid w:val="69220F42"/>
    <w:rsid w:val="69450BD9"/>
    <w:rsid w:val="695B21AB"/>
    <w:rsid w:val="696D1EDE"/>
    <w:rsid w:val="69795411"/>
    <w:rsid w:val="697D452E"/>
    <w:rsid w:val="69966816"/>
    <w:rsid w:val="699F29DF"/>
    <w:rsid w:val="69A43B52"/>
    <w:rsid w:val="69CE60E5"/>
    <w:rsid w:val="69D63F27"/>
    <w:rsid w:val="69FA7C16"/>
    <w:rsid w:val="6A0D5B9B"/>
    <w:rsid w:val="6A107439"/>
    <w:rsid w:val="6A1A02B8"/>
    <w:rsid w:val="6A325601"/>
    <w:rsid w:val="6A4315BC"/>
    <w:rsid w:val="6A4E7F61"/>
    <w:rsid w:val="6A5674EB"/>
    <w:rsid w:val="6A575068"/>
    <w:rsid w:val="6A635409"/>
    <w:rsid w:val="6A6908F7"/>
    <w:rsid w:val="6A6E6993"/>
    <w:rsid w:val="6A6F6406"/>
    <w:rsid w:val="6A9A6D03"/>
    <w:rsid w:val="6A9C6F1F"/>
    <w:rsid w:val="6AA45FFE"/>
    <w:rsid w:val="6AAA163C"/>
    <w:rsid w:val="6ABF49BB"/>
    <w:rsid w:val="6AE03B49"/>
    <w:rsid w:val="6AFD00C2"/>
    <w:rsid w:val="6B035506"/>
    <w:rsid w:val="6B165733"/>
    <w:rsid w:val="6B205CF8"/>
    <w:rsid w:val="6B291D9C"/>
    <w:rsid w:val="6B2E02FC"/>
    <w:rsid w:val="6B39476E"/>
    <w:rsid w:val="6B3A3F04"/>
    <w:rsid w:val="6B4750DC"/>
    <w:rsid w:val="6B56531F"/>
    <w:rsid w:val="6B6537B4"/>
    <w:rsid w:val="6B945E48"/>
    <w:rsid w:val="6BB773FF"/>
    <w:rsid w:val="6BBD714D"/>
    <w:rsid w:val="6BCA186A"/>
    <w:rsid w:val="6BCF6E80"/>
    <w:rsid w:val="6BD6020E"/>
    <w:rsid w:val="6BDB75D3"/>
    <w:rsid w:val="6BF86909"/>
    <w:rsid w:val="6BFA214F"/>
    <w:rsid w:val="6BFF1513"/>
    <w:rsid w:val="6C030483"/>
    <w:rsid w:val="6C044D7B"/>
    <w:rsid w:val="6C0D6B20"/>
    <w:rsid w:val="6C10344F"/>
    <w:rsid w:val="6C103720"/>
    <w:rsid w:val="6C116B64"/>
    <w:rsid w:val="6C2064A4"/>
    <w:rsid w:val="6C2A49C0"/>
    <w:rsid w:val="6C3C4515"/>
    <w:rsid w:val="6C44161C"/>
    <w:rsid w:val="6C523D39"/>
    <w:rsid w:val="6C5F0204"/>
    <w:rsid w:val="6C6A1502"/>
    <w:rsid w:val="6C807C4B"/>
    <w:rsid w:val="6C8845F7"/>
    <w:rsid w:val="6C997714"/>
    <w:rsid w:val="6C9C5A58"/>
    <w:rsid w:val="6CA35367"/>
    <w:rsid w:val="6CA95923"/>
    <w:rsid w:val="6CB467A2"/>
    <w:rsid w:val="6CDF43EA"/>
    <w:rsid w:val="6CED3A62"/>
    <w:rsid w:val="6CEE4F56"/>
    <w:rsid w:val="6D033285"/>
    <w:rsid w:val="6D062D75"/>
    <w:rsid w:val="6D303758"/>
    <w:rsid w:val="6D317DF2"/>
    <w:rsid w:val="6D341690"/>
    <w:rsid w:val="6D3B5308"/>
    <w:rsid w:val="6D497313"/>
    <w:rsid w:val="6D4C69DA"/>
    <w:rsid w:val="6D5D0BE7"/>
    <w:rsid w:val="6D5E2269"/>
    <w:rsid w:val="6D6C2BD8"/>
    <w:rsid w:val="6E11552E"/>
    <w:rsid w:val="6E314C1B"/>
    <w:rsid w:val="6E31797E"/>
    <w:rsid w:val="6E38075B"/>
    <w:rsid w:val="6E5E1BAD"/>
    <w:rsid w:val="6E7066F8"/>
    <w:rsid w:val="6E7A1325"/>
    <w:rsid w:val="6E957F0D"/>
    <w:rsid w:val="6EB42BD3"/>
    <w:rsid w:val="6ECC2E76"/>
    <w:rsid w:val="6ED50C51"/>
    <w:rsid w:val="6ED70525"/>
    <w:rsid w:val="6EDC1FE0"/>
    <w:rsid w:val="6EDD1095"/>
    <w:rsid w:val="6EE37630"/>
    <w:rsid w:val="6EED5E51"/>
    <w:rsid w:val="6EFD5AB2"/>
    <w:rsid w:val="6EFE1F56"/>
    <w:rsid w:val="6F197A53"/>
    <w:rsid w:val="6F3E59BF"/>
    <w:rsid w:val="6F6052EA"/>
    <w:rsid w:val="6F6B6EC0"/>
    <w:rsid w:val="6F8C57B4"/>
    <w:rsid w:val="6F997ED1"/>
    <w:rsid w:val="6FB940CF"/>
    <w:rsid w:val="6FDB4045"/>
    <w:rsid w:val="6FE31AC8"/>
    <w:rsid w:val="6FEC48C6"/>
    <w:rsid w:val="6FF2313D"/>
    <w:rsid w:val="701E3F32"/>
    <w:rsid w:val="704E0CBB"/>
    <w:rsid w:val="70520E9C"/>
    <w:rsid w:val="705838E8"/>
    <w:rsid w:val="705A7660"/>
    <w:rsid w:val="70643F21"/>
    <w:rsid w:val="706B04AD"/>
    <w:rsid w:val="70B054D2"/>
    <w:rsid w:val="70BF3967"/>
    <w:rsid w:val="70CC1BE0"/>
    <w:rsid w:val="70D56CE6"/>
    <w:rsid w:val="70E64F11"/>
    <w:rsid w:val="70F00E05"/>
    <w:rsid w:val="710019DC"/>
    <w:rsid w:val="710B44B6"/>
    <w:rsid w:val="711C5DC8"/>
    <w:rsid w:val="713C0B14"/>
    <w:rsid w:val="7150636D"/>
    <w:rsid w:val="715A4658"/>
    <w:rsid w:val="71897D3D"/>
    <w:rsid w:val="7196432A"/>
    <w:rsid w:val="719C15B2"/>
    <w:rsid w:val="719D62F3"/>
    <w:rsid w:val="71AA0173"/>
    <w:rsid w:val="71E800C7"/>
    <w:rsid w:val="71EF3DD8"/>
    <w:rsid w:val="721E46BD"/>
    <w:rsid w:val="722815B7"/>
    <w:rsid w:val="7238752D"/>
    <w:rsid w:val="725620A9"/>
    <w:rsid w:val="726A7902"/>
    <w:rsid w:val="72750781"/>
    <w:rsid w:val="72865A9D"/>
    <w:rsid w:val="728A3B01"/>
    <w:rsid w:val="72AE5A41"/>
    <w:rsid w:val="72B8066E"/>
    <w:rsid w:val="72C214EC"/>
    <w:rsid w:val="72D94F98"/>
    <w:rsid w:val="739E4C09"/>
    <w:rsid w:val="73AA6208"/>
    <w:rsid w:val="73C53042"/>
    <w:rsid w:val="73E63D5D"/>
    <w:rsid w:val="73E81B7A"/>
    <w:rsid w:val="73EB6821"/>
    <w:rsid w:val="73F76ABD"/>
    <w:rsid w:val="74082F2F"/>
    <w:rsid w:val="742A7349"/>
    <w:rsid w:val="744D11B3"/>
    <w:rsid w:val="745919DD"/>
    <w:rsid w:val="745E0E59"/>
    <w:rsid w:val="748702F8"/>
    <w:rsid w:val="74884070"/>
    <w:rsid w:val="74BA1537"/>
    <w:rsid w:val="74DD616A"/>
    <w:rsid w:val="74E4574A"/>
    <w:rsid w:val="74EB6AD9"/>
    <w:rsid w:val="74EE481B"/>
    <w:rsid w:val="74F811F5"/>
    <w:rsid w:val="74F93EE2"/>
    <w:rsid w:val="751653F3"/>
    <w:rsid w:val="75324707"/>
    <w:rsid w:val="7544443B"/>
    <w:rsid w:val="75501031"/>
    <w:rsid w:val="757F5473"/>
    <w:rsid w:val="759A405B"/>
    <w:rsid w:val="75A5137D"/>
    <w:rsid w:val="75A82C1C"/>
    <w:rsid w:val="75C54491"/>
    <w:rsid w:val="75DF1F4C"/>
    <w:rsid w:val="75EB0D5A"/>
    <w:rsid w:val="75F75951"/>
    <w:rsid w:val="761338CF"/>
    <w:rsid w:val="762F0C47"/>
    <w:rsid w:val="763224E5"/>
    <w:rsid w:val="76432944"/>
    <w:rsid w:val="76487F5B"/>
    <w:rsid w:val="76693215"/>
    <w:rsid w:val="767945B8"/>
    <w:rsid w:val="76830F93"/>
    <w:rsid w:val="769E5DCD"/>
    <w:rsid w:val="76B949B4"/>
    <w:rsid w:val="76BB697E"/>
    <w:rsid w:val="76E301FF"/>
    <w:rsid w:val="76E539FB"/>
    <w:rsid w:val="76FB1E6F"/>
    <w:rsid w:val="77093988"/>
    <w:rsid w:val="77204908"/>
    <w:rsid w:val="77284CD7"/>
    <w:rsid w:val="77445EF3"/>
    <w:rsid w:val="77495D38"/>
    <w:rsid w:val="77597BC4"/>
    <w:rsid w:val="7778661E"/>
    <w:rsid w:val="777A2396"/>
    <w:rsid w:val="7791148D"/>
    <w:rsid w:val="77955421"/>
    <w:rsid w:val="77B533CE"/>
    <w:rsid w:val="77BC29AE"/>
    <w:rsid w:val="77DA4BE2"/>
    <w:rsid w:val="77DF1812"/>
    <w:rsid w:val="77E43CB3"/>
    <w:rsid w:val="77EB3293"/>
    <w:rsid w:val="77EE0719"/>
    <w:rsid w:val="781C32C2"/>
    <w:rsid w:val="78240D57"/>
    <w:rsid w:val="782557C0"/>
    <w:rsid w:val="782A0C8C"/>
    <w:rsid w:val="782B18E2"/>
    <w:rsid w:val="784A6749"/>
    <w:rsid w:val="784F6FA6"/>
    <w:rsid w:val="786077DD"/>
    <w:rsid w:val="78615304"/>
    <w:rsid w:val="78663DD9"/>
    <w:rsid w:val="786810B6"/>
    <w:rsid w:val="786C6182"/>
    <w:rsid w:val="7871349B"/>
    <w:rsid w:val="7880578A"/>
    <w:rsid w:val="788C2381"/>
    <w:rsid w:val="78964FAD"/>
    <w:rsid w:val="789B6A68"/>
    <w:rsid w:val="789E3E62"/>
    <w:rsid w:val="78AD22F7"/>
    <w:rsid w:val="78AE1FE3"/>
    <w:rsid w:val="78B6564F"/>
    <w:rsid w:val="78B67C13"/>
    <w:rsid w:val="78CD30FF"/>
    <w:rsid w:val="78DC4DD7"/>
    <w:rsid w:val="79065229"/>
    <w:rsid w:val="79181E66"/>
    <w:rsid w:val="792377CC"/>
    <w:rsid w:val="79256331"/>
    <w:rsid w:val="792C3B64"/>
    <w:rsid w:val="792D4739"/>
    <w:rsid w:val="79424C03"/>
    <w:rsid w:val="79773031"/>
    <w:rsid w:val="799534B7"/>
    <w:rsid w:val="79992863"/>
    <w:rsid w:val="79CD4C4A"/>
    <w:rsid w:val="79D02741"/>
    <w:rsid w:val="79E85CDC"/>
    <w:rsid w:val="79E9794C"/>
    <w:rsid w:val="7A115CEF"/>
    <w:rsid w:val="7A166B42"/>
    <w:rsid w:val="7A173C13"/>
    <w:rsid w:val="7A242A33"/>
    <w:rsid w:val="7A293BFF"/>
    <w:rsid w:val="7A805F15"/>
    <w:rsid w:val="7A8B5E58"/>
    <w:rsid w:val="7AD60594"/>
    <w:rsid w:val="7ADB314B"/>
    <w:rsid w:val="7AFE508C"/>
    <w:rsid w:val="7B097E6B"/>
    <w:rsid w:val="7B17753D"/>
    <w:rsid w:val="7B2C1BF9"/>
    <w:rsid w:val="7B3867F0"/>
    <w:rsid w:val="7B3F7B7E"/>
    <w:rsid w:val="7B630764"/>
    <w:rsid w:val="7BBD0AA3"/>
    <w:rsid w:val="7BDF18C4"/>
    <w:rsid w:val="7C1677F4"/>
    <w:rsid w:val="7C1E3C37"/>
    <w:rsid w:val="7C2B0102"/>
    <w:rsid w:val="7C3C71DE"/>
    <w:rsid w:val="7C63789C"/>
    <w:rsid w:val="7CA83501"/>
    <w:rsid w:val="7CAA1027"/>
    <w:rsid w:val="7CBB76D8"/>
    <w:rsid w:val="7CC55E61"/>
    <w:rsid w:val="7CE33E67"/>
    <w:rsid w:val="7D1E1A15"/>
    <w:rsid w:val="7D221505"/>
    <w:rsid w:val="7D2B7EDD"/>
    <w:rsid w:val="7D3138CD"/>
    <w:rsid w:val="7D376633"/>
    <w:rsid w:val="7D43322A"/>
    <w:rsid w:val="7D4C0330"/>
    <w:rsid w:val="7D60025D"/>
    <w:rsid w:val="7D920499"/>
    <w:rsid w:val="7DA55C93"/>
    <w:rsid w:val="7DBD7BFC"/>
    <w:rsid w:val="7DE247F1"/>
    <w:rsid w:val="7DEB18F7"/>
    <w:rsid w:val="7DF516A8"/>
    <w:rsid w:val="7E01736D"/>
    <w:rsid w:val="7E087401"/>
    <w:rsid w:val="7E0B3D48"/>
    <w:rsid w:val="7E130E4E"/>
    <w:rsid w:val="7E24305B"/>
    <w:rsid w:val="7E2D0162"/>
    <w:rsid w:val="7E350DC4"/>
    <w:rsid w:val="7E5E47BF"/>
    <w:rsid w:val="7E5E658D"/>
    <w:rsid w:val="7E6671D0"/>
    <w:rsid w:val="7E7958A6"/>
    <w:rsid w:val="7E81400A"/>
    <w:rsid w:val="7F005876"/>
    <w:rsid w:val="7F1629A4"/>
    <w:rsid w:val="7F3D5490"/>
    <w:rsid w:val="7F473A17"/>
    <w:rsid w:val="7FB56661"/>
    <w:rsid w:val="7FC70142"/>
    <w:rsid w:val="7FCA378E"/>
    <w:rsid w:val="7FCE6DA9"/>
    <w:rsid w:val="7FD129C1"/>
    <w:rsid w:val="7FDC1E3F"/>
    <w:rsid w:val="7FE231CE"/>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autoRedefine/>
    <w:qFormat/>
    <w:uiPriority w:val="0"/>
    <w:pPr>
      <w:keepNext/>
      <w:keepLines/>
      <w:spacing w:line="560" w:lineRule="exact"/>
      <w:ind w:firstLine="200" w:firstLineChars="200"/>
      <w:outlineLvl w:val="0"/>
    </w:pPr>
    <w:rPr>
      <w:rFonts w:eastAsia="黑体"/>
      <w:bCs/>
      <w:kern w:val="44"/>
      <w:sz w:val="32"/>
      <w:szCs w:val="44"/>
    </w:rPr>
  </w:style>
  <w:style w:type="paragraph" w:styleId="5">
    <w:name w:val="heading 2"/>
    <w:basedOn w:val="1"/>
    <w:next w:val="1"/>
    <w:link w:val="27"/>
    <w:unhideWhenUsed/>
    <w:qFormat/>
    <w:uiPriority w:val="0"/>
    <w:pPr>
      <w:keepNext/>
      <w:keepLines/>
      <w:spacing w:line="560" w:lineRule="exact"/>
      <w:ind w:firstLine="200" w:firstLineChars="200"/>
      <w:outlineLvl w:val="1"/>
    </w:pPr>
    <w:rPr>
      <w:rFonts w:eastAsia="楷体_GB2312" w:asciiTheme="majorHAnsi" w:hAnsiTheme="majorHAnsi" w:cstheme="majorBidi"/>
      <w:b/>
      <w:bCs/>
      <w:sz w:val="32"/>
      <w:szCs w:val="32"/>
    </w:rPr>
  </w:style>
  <w:style w:type="paragraph" w:styleId="6">
    <w:name w:val="heading 3"/>
    <w:basedOn w:val="1"/>
    <w:next w:val="1"/>
    <w:link w:val="24"/>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autoRedefine/>
    <w:semiHidden/>
    <w:unhideWhenUsed/>
    <w:qFormat/>
    <w:uiPriority w:val="99"/>
    <w:pPr>
      <w:spacing w:after="120"/>
    </w:pPr>
  </w:style>
  <w:style w:type="paragraph" w:styleId="7">
    <w:name w:val="toc 3"/>
    <w:basedOn w:val="1"/>
    <w:next w:val="1"/>
    <w:qFormat/>
    <w:uiPriority w:val="0"/>
    <w:pPr>
      <w:ind w:left="840" w:leftChars="400"/>
    </w:pPr>
  </w:style>
  <w:style w:type="paragraph" w:styleId="8">
    <w:name w:val="Date"/>
    <w:basedOn w:val="1"/>
    <w:next w:val="1"/>
    <w:autoRedefine/>
    <w:qFormat/>
    <w:uiPriority w:val="0"/>
    <w:pPr>
      <w:spacing w:line="360" w:lineRule="atLeast"/>
    </w:pPr>
    <w:rPr>
      <w:rFonts w:ascii="宋体" w:hAnsi="Calibri"/>
      <w:kern w:val="0"/>
      <w:sz w:val="24"/>
      <w:szCs w:val="20"/>
    </w:rPr>
  </w:style>
  <w:style w:type="paragraph" w:styleId="9">
    <w:name w:val="footer"/>
    <w:basedOn w:val="1"/>
    <w:autoRedefine/>
    <w:qFormat/>
    <w:uiPriority w:val="0"/>
    <w:pPr>
      <w:tabs>
        <w:tab w:val="center" w:pos="4153"/>
        <w:tab w:val="right" w:pos="8306"/>
      </w:tabs>
      <w:snapToGrid w:val="0"/>
      <w:jc w:val="left"/>
    </w:pPr>
    <w:rPr>
      <w:rFonts w:ascii="Times New Roman" w:hAnsi="Times New Roman" w:eastAsia="宋体" w:cs="Times New Roman"/>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autoRedefine/>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Emphasis"/>
    <w:basedOn w:val="16"/>
    <w:autoRedefine/>
    <w:qFormat/>
    <w:uiPriority w:val="0"/>
    <w:rPr>
      <w:i/>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Arial" w:hAnsi="Arial" w:eastAsia="Arial" w:cs="Arial"/>
      <w:sz w:val="21"/>
      <w:szCs w:val="21"/>
      <w:lang w:val="en-US" w:eastAsia="en-US" w:bidi="ar-SA"/>
    </w:rPr>
  </w:style>
  <w:style w:type="paragraph" w:styleId="21">
    <w:name w:val="List Paragraph"/>
    <w:basedOn w:val="1"/>
    <w:qFormat/>
    <w:uiPriority w:val="34"/>
    <w:pPr>
      <w:ind w:firstLine="420" w:firstLineChars="200"/>
    </w:pPr>
  </w:style>
  <w:style w:type="paragraph" w:customStyle="1" w:styleId="22">
    <w:name w:val="标题 Char Char"/>
    <w:basedOn w:val="1"/>
    <w:qFormat/>
    <w:uiPriority w:val="0"/>
    <w:pPr>
      <w:spacing w:before="240" w:after="60"/>
      <w:jc w:val="center"/>
      <w:outlineLvl w:val="0"/>
    </w:pPr>
    <w:rPr>
      <w:rFonts w:ascii="Arial" w:hAnsi="Arial" w:eastAsia="宋体"/>
      <w:b/>
      <w:szCs w:val="22"/>
    </w:rPr>
  </w:style>
  <w:style w:type="paragraph" w:customStyle="1" w:styleId="23">
    <w:name w:val="UserStyle_0"/>
    <w:basedOn w:val="1"/>
    <w:next w:val="8"/>
    <w:semiHidden/>
    <w:qFormat/>
    <w:uiPriority w:val="0"/>
    <w:pPr>
      <w:spacing w:line="320" w:lineRule="exact"/>
      <w:jc w:val="center"/>
    </w:pPr>
    <w:rPr>
      <w:kern w:val="0"/>
      <w:szCs w:val="20"/>
    </w:rPr>
  </w:style>
  <w:style w:type="character" w:customStyle="1" w:styleId="24">
    <w:name w:val="标题 3 Char"/>
    <w:link w:val="6"/>
    <w:qFormat/>
    <w:uiPriority w:val="0"/>
    <w:rPr>
      <w:rFonts w:hint="eastAsia" w:ascii="宋体" w:hAnsi="宋体" w:eastAsia="宋体" w:cs="宋体"/>
      <w:b/>
      <w:bCs/>
      <w:kern w:val="0"/>
      <w:sz w:val="27"/>
      <w:szCs w:val="27"/>
      <w:lang w:val="en-US" w:eastAsia="zh-CN" w:bidi="ar"/>
    </w:rPr>
  </w:style>
  <w:style w:type="character" w:customStyle="1" w:styleId="25">
    <w:name w:val="标题 1 Char"/>
    <w:link w:val="4"/>
    <w:qFormat/>
    <w:uiPriority w:val="0"/>
    <w:rPr>
      <w:rFonts w:eastAsia="黑体"/>
      <w:bCs/>
      <w:kern w:val="44"/>
      <w:sz w:val="32"/>
      <w:szCs w:val="44"/>
    </w:rPr>
  </w:style>
  <w:style w:type="paragraph" w:customStyle="1" w:styleId="26">
    <w:name w:val="表一"/>
    <w:basedOn w:val="1"/>
    <w:qFormat/>
    <w:uiPriority w:val="0"/>
    <w:pPr>
      <w:jc w:val="center"/>
    </w:pPr>
    <w:rPr>
      <w:rFonts w:ascii="Times New Roman" w:hAnsi="Times New Roman" w:eastAsia="仿宋" w:cs="Times New Roman"/>
      <w:sz w:val="32"/>
    </w:rPr>
  </w:style>
  <w:style w:type="character" w:customStyle="1" w:styleId="27">
    <w:name w:val="标题 2 Char"/>
    <w:link w:val="5"/>
    <w:qFormat/>
    <w:uiPriority w:val="0"/>
    <w:rPr>
      <w:rFonts w:eastAsia="楷体_GB2312" w:asciiTheme="majorHAnsi" w:hAnsiTheme="majorHAnsi" w:cstheme="majorBidi"/>
      <w:b/>
      <w:bCs/>
      <w:sz w:val="32"/>
      <w:szCs w:val="32"/>
    </w:rPr>
  </w:style>
  <w:style w:type="character" w:customStyle="1" w:styleId="28">
    <w:name w:val="font51"/>
    <w:basedOn w:val="16"/>
    <w:qFormat/>
    <w:uiPriority w:val="0"/>
    <w:rPr>
      <w:rFonts w:ascii="宋体" w:hAnsi="宋体" w:eastAsia="宋体" w:cs="宋体"/>
      <w:color w:val="000000"/>
      <w:sz w:val="20"/>
      <w:szCs w:val="20"/>
      <w:u w:val="none"/>
    </w:rPr>
  </w:style>
  <w:style w:type="character" w:customStyle="1" w:styleId="29">
    <w:name w:val="font41"/>
    <w:basedOn w:val="16"/>
    <w:qFormat/>
    <w:uiPriority w:val="0"/>
    <w:rPr>
      <w:rFonts w:ascii="宋体" w:hAnsi="宋体" w:eastAsia="宋体" w:cs="宋体"/>
      <w:color w:val="000000"/>
      <w:sz w:val="16"/>
      <w:szCs w:val="16"/>
      <w:u w:val="none"/>
    </w:rPr>
  </w:style>
  <w:style w:type="character" w:customStyle="1" w:styleId="30">
    <w:name w:val="font31"/>
    <w:basedOn w:val="16"/>
    <w:qFormat/>
    <w:uiPriority w:val="0"/>
    <w:rPr>
      <w:rFonts w:ascii="宋体" w:hAnsi="宋体" w:eastAsia="宋体" w:cs="宋体"/>
      <w:b/>
      <w:color w:val="000000"/>
      <w:sz w:val="16"/>
      <w:szCs w:val="16"/>
      <w:u w:val="none"/>
    </w:rPr>
  </w:style>
  <w:style w:type="character" w:customStyle="1" w:styleId="31">
    <w:name w:val="font11"/>
    <w:basedOn w:val="16"/>
    <w:qFormat/>
    <w:uiPriority w:val="0"/>
    <w:rPr>
      <w:rFonts w:ascii="宋体" w:hAnsi="宋体" w:eastAsia="宋体" w:cs="宋体"/>
      <w:b/>
      <w:color w:val="000000"/>
      <w:sz w:val="16"/>
      <w:szCs w:val="16"/>
      <w:u w:val="none"/>
    </w:rPr>
  </w:style>
  <w:style w:type="character" w:customStyle="1" w:styleId="32">
    <w:name w:val="font01"/>
    <w:basedOn w:val="16"/>
    <w:qFormat/>
    <w:uiPriority w:val="0"/>
    <w:rPr>
      <w:rFonts w:ascii="宋体" w:hAnsi="宋体" w:eastAsia="宋体" w:cs="宋体"/>
      <w:color w:val="000000"/>
      <w:sz w:val="16"/>
      <w:szCs w:val="16"/>
      <w:u w:val="none"/>
    </w:rPr>
  </w:style>
  <w:style w:type="character" w:customStyle="1" w:styleId="33">
    <w:name w:val="font21"/>
    <w:basedOn w:val="16"/>
    <w:qFormat/>
    <w:uiPriority w:val="0"/>
    <w:rPr>
      <w:rFonts w:ascii="宋体" w:hAnsi="宋体" w:eastAsia="宋体" w:cs="宋体"/>
      <w:b/>
      <w:color w:val="000000"/>
      <w:sz w:val="20"/>
      <w:szCs w:val="20"/>
      <w:u w:val="none"/>
    </w:rPr>
  </w:style>
  <w:style w:type="character" w:customStyle="1" w:styleId="34">
    <w:name w:val="font81"/>
    <w:basedOn w:val="16"/>
    <w:qFormat/>
    <w:uiPriority w:val="0"/>
    <w:rPr>
      <w:rFonts w:hint="default" w:ascii="Times New Roman" w:hAnsi="Times New Roman" w:cs="Times New Roman"/>
      <w:b/>
      <w:color w:val="000000"/>
      <w:sz w:val="20"/>
      <w:szCs w:val="20"/>
      <w:u w:val="none"/>
    </w:rPr>
  </w:style>
  <w:style w:type="character" w:customStyle="1" w:styleId="35">
    <w:name w:val="font91"/>
    <w:basedOn w:val="16"/>
    <w:qFormat/>
    <w:uiPriority w:val="0"/>
    <w:rPr>
      <w:rFonts w:ascii="宋体" w:hAnsi="宋体" w:eastAsia="宋体" w:cs="宋体"/>
      <w:color w:val="000000"/>
      <w:sz w:val="16"/>
      <w:szCs w:val="16"/>
      <w:u w:val="none"/>
    </w:rPr>
  </w:style>
  <w:style w:type="character" w:customStyle="1" w:styleId="36">
    <w:name w:val="font61"/>
    <w:basedOn w:val="16"/>
    <w:qFormat/>
    <w:uiPriority w:val="0"/>
    <w:rPr>
      <w:rFonts w:ascii="宋体" w:hAnsi="宋体" w:eastAsia="宋体" w:cs="宋体"/>
      <w:color w:val="000000"/>
      <w:sz w:val="20"/>
      <w:szCs w:val="20"/>
      <w:u w:val="none"/>
    </w:rPr>
  </w:style>
  <w:style w:type="character" w:customStyle="1" w:styleId="37">
    <w:name w:val="font71"/>
    <w:basedOn w:val="16"/>
    <w:qFormat/>
    <w:uiPriority w:val="0"/>
    <w:rPr>
      <w:rFonts w:hint="default" w:ascii="Times New Roman" w:hAnsi="Times New Roman" w:cs="Times New Roman"/>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chart" Target="charts/chart6.xml"/><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chart" Target="charts/chart5.xml"/><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chart" Target="charts/chart3.xml"/><Relationship Id="rId16" Type="http://schemas.openxmlformats.org/officeDocument/2006/relationships/image" Target="media/image6.jpeg"/><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5" Type="http://schemas.microsoft.com/office/2011/relationships/chartColorStyle" Target="colors5.xml"/><Relationship Id="rId4" Type="http://schemas.microsoft.com/office/2011/relationships/chartStyle" Target="style5.xml"/><Relationship Id="rId3" Type="http://schemas.openxmlformats.org/officeDocument/2006/relationships/image" Target="../media/image27.png"/><Relationship Id="rId2" Type="http://schemas.openxmlformats.org/officeDocument/2006/relationships/themeOverride" Target="../theme/themeOverride4.xml"/><Relationship Id="rId1" Type="http://schemas.openxmlformats.org/officeDocument/2006/relationships/oleObject" Target="file:///C:\Users\YSJ\AppData\Local\Temp\wps.fahhHx\Workbook1.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3.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毕业生去向分布</a:t>
            </a:r>
          </a:p>
        </c:rich>
      </c:tx>
      <c:layout>
        <c:manualLayout>
          <c:xMode val="edge"/>
          <c:yMode val="edge"/>
          <c:x val="0.426793911572844"/>
          <c:y val="0.0254993625159371"/>
        </c:manualLayout>
      </c:layout>
      <c:overlay val="0"/>
      <c:spPr>
        <a:noFill/>
        <a:ln>
          <a:noFill/>
        </a:ln>
        <a:effectLst/>
      </c:spPr>
    </c:title>
    <c:autoTitleDeleted val="0"/>
    <c:plotArea>
      <c:layout>
        <c:manualLayout>
          <c:layoutTarget val="inner"/>
          <c:xMode val="edge"/>
          <c:yMode val="edge"/>
          <c:x val="0.0578777175684642"/>
          <c:y val="0.298342541436465"/>
          <c:w val="0.931311911089635"/>
          <c:h val="0.660093497662558"/>
        </c:manualLayout>
      </c:layout>
      <c:barChart>
        <c:barDir val="col"/>
        <c:grouping val="clustered"/>
        <c:varyColors val="0"/>
        <c:ser>
          <c:idx val="0"/>
          <c:order val="0"/>
          <c:tx>
            <c:strRef>
              <c:f>Sheet1!$A$1</c:f>
              <c:strCache>
                <c:ptCount val="1"/>
                <c:pt idx="0">
                  <c:v>就业</c:v>
                </c:pt>
              </c:strCache>
            </c:strRef>
          </c:tx>
          <c:spPr>
            <a:solidFill>
              <a:schemeClr val="accent1"/>
            </a:solidFill>
            <a:ln>
              <a:noFill/>
            </a:ln>
            <a:effectLst/>
          </c:spPr>
          <c:invertIfNegative val="0"/>
          <c:dLbls>
            <c:delete val="1"/>
          </c:dLbls>
          <c:cat>
            <c:numRef>
              <c:f>Sheet1!#REF!</c:f>
              <c:numCache>
                <c:ptCount val="0"/>
              </c:numCache>
            </c:numRef>
          </c:cat>
          <c:val>
            <c:numRef>
              <c:f>Sheet1!$A$2</c:f>
              <c:numCache>
                <c:formatCode>General</c:formatCode>
                <c:ptCount val="1"/>
                <c:pt idx="0">
                  <c:v>110</c:v>
                </c:pt>
              </c:numCache>
            </c:numRef>
          </c:val>
        </c:ser>
        <c:ser>
          <c:idx val="1"/>
          <c:order val="1"/>
          <c:tx>
            <c:strRef>
              <c:f>Sheet1!$B$1</c:f>
              <c:strCache>
                <c:ptCount val="1"/>
                <c:pt idx="0">
                  <c:v>升学</c:v>
                </c:pt>
              </c:strCache>
            </c:strRef>
          </c:tx>
          <c:spPr>
            <a:solidFill>
              <a:schemeClr val="accent2"/>
            </a:solidFill>
            <a:ln>
              <a:noFill/>
            </a:ln>
            <a:effectLst/>
          </c:spPr>
          <c:invertIfNegative val="0"/>
          <c:dLbls>
            <c:delete val="1"/>
          </c:dLbls>
          <c:cat>
            <c:numRef>
              <c:f>Sheet1!#REF!</c:f>
              <c:numCache>
                <c:ptCount val="0"/>
              </c:numCache>
            </c:numRef>
          </c:cat>
          <c:val>
            <c:numRef>
              <c:f>Sheet1!$B$2</c:f>
              <c:numCache>
                <c:formatCode>General</c:formatCode>
                <c:ptCount val="1"/>
                <c:pt idx="0">
                  <c:v>104</c:v>
                </c:pt>
              </c:numCache>
            </c:numRef>
          </c:val>
        </c:ser>
        <c:ser>
          <c:idx val="2"/>
          <c:order val="2"/>
          <c:tx>
            <c:strRef>
              <c:f>Sheet1!$C$1</c:f>
              <c:strCache>
                <c:ptCount val="1"/>
                <c:pt idx="0">
                  <c:v>未就业</c:v>
                </c:pt>
              </c:strCache>
            </c:strRef>
          </c:tx>
          <c:spPr>
            <a:solidFill>
              <a:schemeClr val="accent3"/>
            </a:solidFill>
            <a:ln>
              <a:noFill/>
            </a:ln>
            <a:effectLst/>
          </c:spPr>
          <c:invertIfNegative val="0"/>
          <c:dLbls>
            <c:delete val="1"/>
          </c:dLbls>
          <c:cat>
            <c:numRef>
              <c:f>Sheet1!#REF!</c:f>
              <c:numCache>
                <c:ptCount val="0"/>
              </c:numCache>
            </c:numRef>
          </c:cat>
          <c:val>
            <c:numRef>
              <c:f>Sheet1!$C$2</c:f>
              <c:numCache>
                <c:formatCode>General</c:formatCode>
                <c:ptCount val="1"/>
                <c:pt idx="0">
                  <c:v>3</c:v>
                </c:pt>
              </c:numCache>
            </c:numRef>
          </c:val>
        </c:ser>
        <c:dLbls>
          <c:showLegendKey val="0"/>
          <c:showVal val="0"/>
          <c:showCatName val="0"/>
          <c:showSerName val="0"/>
          <c:showPercent val="0"/>
          <c:showBubbleSize val="0"/>
        </c:dLbls>
        <c:gapWidth val="246"/>
        <c:overlap val="-28"/>
        <c:axId val="295165937"/>
        <c:axId val="55951077"/>
      </c:barChart>
      <c:catAx>
        <c:axId val="2951659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951077"/>
        <c:crosses val="autoZero"/>
        <c:auto val="1"/>
        <c:lblAlgn val="ctr"/>
        <c:lblOffset val="100"/>
        <c:noMultiLvlLbl val="0"/>
      </c:catAx>
      <c:valAx>
        <c:axId val="5595107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5165937"/>
        <c:crosses val="autoZero"/>
        <c:crossBetween val="between"/>
      </c:valAx>
      <c:spPr>
        <a:noFill/>
        <a:ln>
          <a:noFill/>
        </a:ln>
        <a:effectLst/>
      </c:spPr>
    </c:plotArea>
    <c:legend>
      <c:legendPos val="b"/>
      <c:layout>
        <c:manualLayout>
          <c:xMode val="edge"/>
          <c:yMode val="edge"/>
          <c:x val="0.621375661375661"/>
          <c:y val="0.195995785036881"/>
          <c:w val="0.214285714285714"/>
          <c:h val="0.070600632244467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432937181664"/>
          <c:y val="0.154947583738174"/>
          <c:w val="0.3461233729485"/>
          <c:h val="0.781897212989005"/>
        </c:manualLayout>
      </c:layout>
      <c:pieChart>
        <c:varyColors val="1"/>
        <c:ser>
          <c:idx val="0"/>
          <c:order val="0"/>
          <c:tx>
            <c:strRef>
              <c:f>Sheet1!$B$1</c:f>
              <c:strCache>
                <c:ptCount val="1"/>
                <c:pt idx="0">
                  <c:v>产业分布</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Sheet1!$A$2:$A$4</c:f>
              <c:strCache>
                <c:ptCount val="3"/>
                <c:pt idx="0">
                  <c:v>第一产业</c:v>
                </c:pt>
                <c:pt idx="1">
                  <c:v>第二产业</c:v>
                </c:pt>
                <c:pt idx="2">
                  <c:v>第三产业</c:v>
                </c:pt>
              </c:strCache>
            </c:strRef>
          </c:cat>
          <c:val>
            <c:numRef>
              <c:f>Sheet1!$B$2:$B$4</c:f>
              <c:numCache>
                <c:formatCode>General</c:formatCode>
                <c:ptCount val="3"/>
                <c:pt idx="0">
                  <c:v>4</c:v>
                </c:pt>
                <c:pt idx="1">
                  <c:v>40</c:v>
                </c:pt>
                <c:pt idx="2">
                  <c:v>66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创新创业成果统计</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elete val="1"/>
          </c:dLbls>
          <c:cat>
            <c:strRef>
              <c:f>Sheet1!$A$2:$A$5</c:f>
              <c:strCache>
                <c:ptCount val="4"/>
                <c:pt idx="0">
                  <c:v>培训创新创业项目设计数量</c:v>
                </c:pt>
                <c:pt idx="1">
                  <c:v>创新创业大赛获奖个数</c:v>
                </c:pt>
                <c:pt idx="2">
                  <c:v>在课程中融入创新创业案例个数</c:v>
                </c:pt>
                <c:pt idx="3">
                  <c:v>培训学生数量</c:v>
                </c:pt>
              </c:strCache>
            </c:strRef>
          </c:cat>
          <c:val>
            <c:numRef>
              <c:f>Sheet1!$B$2:$B$5</c:f>
              <c:numCache>
                <c:formatCode>General</c:formatCode>
                <c:ptCount val="4"/>
                <c:pt idx="0">
                  <c:v>2</c:v>
                </c:pt>
                <c:pt idx="1">
                  <c:v>2</c:v>
                </c:pt>
                <c:pt idx="2">
                  <c:v>6</c:v>
                </c:pt>
                <c:pt idx="3">
                  <c:v>517</c:v>
                </c:pt>
              </c:numCache>
            </c:numRef>
          </c:val>
        </c:ser>
        <c:ser>
          <c:idx val="1"/>
          <c:order val="1"/>
          <c:tx>
            <c:strRef>
              <c:f>Sheet1!$C$1</c:f>
              <c:strCache>
                <c:ptCount val="1"/>
                <c:pt idx="0">
                  <c:v>2024年</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delete val="1"/>
          </c:dLbls>
          <c:cat>
            <c:strRef>
              <c:f>Sheet1!$A$2:$A$5</c:f>
              <c:strCache>
                <c:ptCount val="4"/>
                <c:pt idx="0">
                  <c:v>培训创新创业项目设计数量</c:v>
                </c:pt>
                <c:pt idx="1">
                  <c:v>创新创业大赛获奖个数</c:v>
                </c:pt>
                <c:pt idx="2">
                  <c:v>在课程中融入创新创业案例个数</c:v>
                </c:pt>
                <c:pt idx="3">
                  <c:v>培训学生数量</c:v>
                </c:pt>
              </c:strCache>
            </c:strRef>
          </c:cat>
          <c:val>
            <c:numRef>
              <c:f>Sheet1!$C$2:$C$5</c:f>
              <c:numCache>
                <c:formatCode>General</c:formatCode>
                <c:ptCount val="4"/>
                <c:pt idx="0">
                  <c:v>4</c:v>
                </c:pt>
                <c:pt idx="1">
                  <c:v>4</c:v>
                </c:pt>
                <c:pt idx="2">
                  <c:v>11</c:v>
                </c:pt>
                <c:pt idx="3">
                  <c:v>619</c:v>
                </c:pt>
              </c:numCache>
            </c:numRef>
          </c:val>
        </c:ser>
        <c:dLbls>
          <c:showLegendKey val="0"/>
          <c:showVal val="1"/>
          <c:showCatName val="0"/>
          <c:showSerName val="0"/>
          <c:showPercent val="0"/>
          <c:showBubbleSize val="0"/>
        </c:dLbls>
        <c:gapWidth val="75"/>
        <c:overlap val="-25"/>
        <c:axId val="321117172"/>
        <c:axId val="117931474"/>
      </c:barChart>
      <c:catAx>
        <c:axId val="321117172"/>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17931474"/>
        <c:crosses val="autoZero"/>
        <c:auto val="1"/>
        <c:lblAlgn val="ctr"/>
        <c:lblOffset val="100"/>
        <c:noMultiLvlLbl val="0"/>
      </c:catAx>
      <c:valAx>
        <c:axId val="117931474"/>
        <c:scaling>
          <c:orientation val="minMax"/>
        </c:scaling>
        <c:delete val="0"/>
        <c:axPos val="l"/>
        <c:majorGridlines>
          <c:spPr>
            <a:ln w="6350" cap="flat" cmpd="sng" algn="ctr">
              <a:solidFill>
                <a:schemeClr val="tx1">
                  <a:lumMod val="50000"/>
                  <a:lumOff val="50000"/>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211171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职普融通学生升学统计表</a:t>
            </a:r>
          </a:p>
        </c:rich>
      </c:tx>
      <c:layout>
        <c:manualLayout>
          <c:xMode val="edge"/>
          <c:yMode val="edge"/>
          <c:x val="0.0308880129090482"/>
          <c:y val="0.0308710033076075"/>
        </c:manualLayout>
      </c:layout>
      <c:overlay val="0"/>
      <c:spPr>
        <a:noFill/>
        <a:ln>
          <a:noFill/>
        </a:ln>
        <a:effectLst/>
      </c:spPr>
    </c:title>
    <c:autoTitleDeleted val="0"/>
    <c:plotArea>
      <c:layout>
        <c:manualLayout>
          <c:layoutTarget val="inner"/>
          <c:xMode val="edge"/>
          <c:yMode val="edge"/>
          <c:x val="0.0286240898286693"/>
          <c:y val="0.1728609000872"/>
          <c:w val="0.912060629818372"/>
          <c:h val="0.745711135611907"/>
        </c:manualLayout>
      </c:layout>
      <c:barChart>
        <c:barDir val="col"/>
        <c:grouping val="clustered"/>
        <c:varyColors val="0"/>
        <c:ser>
          <c:idx val="0"/>
          <c:order val="0"/>
          <c:tx>
            <c:strRef>
              <c:f>Sheet1!$B$1</c:f>
              <c:strCache>
                <c:ptCount val="1"/>
                <c:pt idx="0">
                  <c:v>2023年</c:v>
                </c:pt>
              </c:strCache>
            </c:strRef>
          </c:tx>
          <c:spPr>
            <a:solidFill>
              <a:srgbClr val="34B2E4"/>
            </a:solidFill>
            <a:ln>
              <a:noFill/>
            </a:ln>
            <a:effectLst>
              <a:outerShdw blurRad="101600" dist="38100" dir="18900000" algn="bl" rotWithShape="0">
                <a:srgbClr val="065380">
                  <a:alpha val="3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升入大学学生人数</c:v>
                </c:pt>
              </c:strCache>
            </c:strRef>
          </c:cat>
          <c:val>
            <c:numRef>
              <c:f>Sheet1!$B$2</c:f>
              <c:numCache>
                <c:formatCode>General</c:formatCode>
                <c:ptCount val="1"/>
                <c:pt idx="0">
                  <c:v>91</c:v>
                </c:pt>
              </c:numCache>
            </c:numRef>
          </c:val>
        </c:ser>
        <c:ser>
          <c:idx val="1"/>
          <c:order val="1"/>
          <c:tx>
            <c:strRef>
              <c:f>Sheet1!$C$1</c:f>
              <c:strCache>
                <c:ptCount val="1"/>
                <c:pt idx="0">
                  <c:v>2024年</c:v>
                </c:pt>
              </c:strCache>
            </c:strRef>
          </c:tx>
          <c:spPr>
            <a:solidFill>
              <a:srgbClr val="065381"/>
            </a:solidFill>
            <a:ln>
              <a:noFill/>
            </a:ln>
            <a:effectLst>
              <a:outerShdw blurRad="101600" dist="38100" dir="18900000" algn="bl" rotWithShape="0">
                <a:srgbClr val="065380">
                  <a:alpha val="3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升入大学学生人数</c:v>
                </c:pt>
              </c:strCache>
            </c:strRef>
          </c:cat>
          <c:val>
            <c:numRef>
              <c:f>Sheet1!$C$2</c:f>
              <c:numCache>
                <c:formatCode>General</c:formatCode>
                <c:ptCount val="1"/>
                <c:pt idx="0">
                  <c:v>104</c:v>
                </c:pt>
              </c:numCache>
            </c:numRef>
          </c:val>
        </c:ser>
        <c:dLbls>
          <c:showLegendKey val="0"/>
          <c:showVal val="1"/>
          <c:showCatName val="0"/>
          <c:showSerName val="0"/>
          <c:showPercent val="0"/>
          <c:showBubbleSize val="0"/>
        </c:dLbls>
        <c:gapWidth val="219"/>
        <c:overlap val="-27"/>
        <c:axId val="641269665"/>
        <c:axId val="390627272"/>
      </c:barChart>
      <c:catAx>
        <c:axId val="641269665"/>
        <c:scaling>
          <c:orientation val="minMax"/>
        </c:scaling>
        <c:delete val="0"/>
        <c:axPos val="b"/>
        <c:numFmt formatCode="General" sourceLinked="1"/>
        <c:majorTickMark val="none"/>
        <c:minorTickMark val="none"/>
        <c:tickLblPos val="nextTo"/>
        <c:spPr>
          <a:noFill/>
          <a:ln w="3175" cap="flat" cmpd="sng" algn="ctr">
            <a:noFill/>
            <a:round/>
          </a:ln>
          <a:effectLst/>
        </c:spPr>
        <c:txPr>
          <a:bodyPr rot="-60000000" spcFirstLastPara="0" vertOverflow="ellipsis" vert="horz" wrap="square" anchor="ctr" anchorCtr="1" forceAA="0"/>
          <a:lstStyle/>
          <a:p>
            <a:pPr>
              <a:defRPr lang="zh-CN" sz="800" b="0" i="0" u="none" strike="noStrike" kern="1200" baseline="0">
                <a:ln>
                  <a:noFill/>
                </a:l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90627272"/>
        <c:crosses val="autoZero"/>
        <c:auto val="1"/>
        <c:lblAlgn val="ctr"/>
        <c:lblOffset val="100"/>
        <c:noMultiLvlLbl val="0"/>
      </c:catAx>
      <c:valAx>
        <c:axId val="390627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zh-CN" sz="1195"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41269665"/>
        <c:crosses val="autoZero"/>
        <c:crossBetween val="between"/>
      </c:valAx>
      <c:spPr>
        <a:gradFill>
          <a:gsLst>
            <a:gs pos="0">
              <a:srgbClr val="F4F4F4"/>
            </a:gs>
            <a:gs pos="100000">
              <a:srgbClr val="E8E8E8"/>
            </a:gs>
          </a:gsLst>
          <a:lin ang="5400000" scaled="0"/>
        </a:gradFill>
        <a:ln>
          <a:solidFill>
            <a:schemeClr val="bg1">
              <a:lumMod val="85000"/>
            </a:schemeClr>
          </a:solidFill>
        </a:ln>
        <a:effectLst>
          <a:innerShdw blurRad="114300">
            <a:srgbClr val="065380">
              <a:alpha val="12000"/>
            </a:srgbClr>
          </a:innerShdw>
        </a:effectLst>
      </c:spPr>
    </c:plotArea>
    <c:legend>
      <c:legendPos val="t"/>
      <c:layout>
        <c:manualLayout>
          <c:xMode val="edge"/>
          <c:yMode val="edge"/>
          <c:x val="0.643799817065203"/>
          <c:y val="0.0341786108048512"/>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rgbClr val="F9F9F9"/>
    </a:solidFill>
    <a:ln w="9525" cap="flat" cmpd="sng" algn="ctr">
      <a:solidFill>
        <a:schemeClr val="bg1">
          <a:lumMod val="9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a:t>专业建设标志性成果统计</a:t>
            </a:r>
            <a:endParaRPr lang="en-US" altLang="zh-CN"/>
          </a:p>
        </c:rich>
      </c:tx>
      <c:layout/>
      <c:overlay val="0"/>
      <c:spPr>
        <a:noFill/>
        <a:ln>
          <a:noFill/>
        </a:ln>
        <a:effectLst/>
      </c:spPr>
    </c:title>
    <c:autoTitleDeleted val="0"/>
    <c:plotArea>
      <c:layout>
        <c:manualLayout>
          <c:layoutTarget val="inner"/>
          <c:xMode val="edge"/>
          <c:yMode val="edge"/>
          <c:x val="0.0284727709010037"/>
          <c:y val="0.302452316076294"/>
          <c:w val="0.917537236999971"/>
          <c:h val="0.332508907985747"/>
        </c:manualLayout>
      </c:layout>
      <c:barChart>
        <c:barDir val="col"/>
        <c:grouping val="clustered"/>
        <c:varyColors val="0"/>
        <c:ser>
          <c:idx val="0"/>
          <c:order val="0"/>
          <c:tx>
            <c:strRef>
              <c:f>[Workbook1.xlsx]Sheet1!$B$1</c:f>
              <c:strCache>
                <c:ptCount val="1"/>
                <c:pt idx="0">
                  <c:v>2023年</c:v>
                </c:pt>
              </c:strCache>
            </c:strRef>
          </c:tx>
          <c:spPr>
            <a:blipFill rotWithShape="1">
              <a:blip xmlns:r="http://schemas.openxmlformats.org/officeDocument/2006/relationships" r:embed="rId3">
                <a:duotone>
                  <a:schemeClr val="accent1"/>
                  <a:prstClr val="white"/>
                </a:duotone>
              </a:blip>
              <a:stretch>
                <a:fillRect/>
              </a:stretch>
            </a:blipFill>
            <a:ln>
              <a:noFill/>
            </a:ln>
            <a:effectLst>
              <a:outerShdw blurRad="76200" dir="13500000" sy="23000" kx="1200000" algn="br" rotWithShape="0">
                <a:prstClr val="black">
                  <a:alpha val="20000"/>
                </a:prstClr>
              </a:outerShdw>
            </a:effectLst>
          </c:spPr>
          <c:invertIfNegative val="0"/>
          <c:dPt>
            <c:idx val="1"/>
            <c:invertIfNegative val="0"/>
            <c:bubble3D val="0"/>
            <c:spPr>
              <a:blipFill rotWithShape="1">
                <a:blip xmlns:r="http://schemas.openxmlformats.org/officeDocument/2006/relationships" r:embed="rId3">
                  <a:duotone>
                    <a:schemeClr val="accent1"/>
                    <a:prstClr val="white"/>
                  </a:duotone>
                </a:blip>
                <a:stretch>
                  <a:fillRect/>
                </a:stretch>
              </a:blipFill>
              <a:ln>
                <a:noFill/>
              </a:ln>
              <a:effectLst>
                <a:outerShdw blurRad="76200" dir="18900000" sy="23000" kx="-1200000" algn="bl" rotWithShape="0">
                  <a:prstClr val="black">
                    <a:alpha val="20000"/>
                  </a:prstClr>
                </a:outerShdw>
              </a:effectLst>
            </c:spPr>
          </c:dPt>
          <c:dLbls>
            <c:dLbl>
              <c:idx val="0"/>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1"/>
              <c:layout/>
              <c:dLblPos val="outEnd"/>
              <c:showLegendKey val="0"/>
              <c:showVal val="1"/>
              <c:showCatName val="0"/>
              <c:showSerName val="0"/>
              <c:showPercent val="0"/>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[Workbook1.xlsx]Sheet1!$A$2:$A$6</c:f>
              <c:strCache>
                <c:ptCount val="5"/>
                <c:pt idx="0">
                  <c:v>新增专业数量</c:v>
                </c:pt>
                <c:pt idx="1">
                  <c:v>“名师名匠”工作室新增数量</c:v>
                </c:pt>
                <c:pt idx="2">
                  <c:v>学生取得高级工及以上证书人数</c:v>
                </c:pt>
                <c:pt idx="3">
                  <c:v>“1+X”证书试点培训考核学生数</c:v>
                </c:pt>
                <c:pt idx="4">
                  <c:v>新建专业实训车间面积</c:v>
                </c:pt>
              </c:strCache>
            </c:strRef>
          </c:cat>
          <c:val>
            <c:numRef>
              <c:f>[Workbook1.xlsx]Sheet1!$B$2:$B$6</c:f>
              <c:numCache>
                <c:formatCode>General</c:formatCode>
                <c:ptCount val="5"/>
                <c:pt idx="0">
                  <c:v>0</c:v>
                </c:pt>
                <c:pt idx="1">
                  <c:v>1</c:v>
                </c:pt>
                <c:pt idx="2">
                  <c:v>0</c:v>
                </c:pt>
                <c:pt idx="3">
                  <c:v>328</c:v>
                </c:pt>
                <c:pt idx="4">
                  <c:v>1560</c:v>
                </c:pt>
              </c:numCache>
            </c:numRef>
          </c:val>
        </c:ser>
        <c:ser>
          <c:idx val="1"/>
          <c:order val="1"/>
          <c:tx>
            <c:strRef>
              <c:f>[Workbook1.xlsx]Sheet1!$C$1</c:f>
              <c:strCache>
                <c:ptCount val="1"/>
                <c:pt idx="0">
                  <c:v>2024年</c:v>
                </c:pt>
              </c:strCache>
            </c:strRef>
          </c:tx>
          <c:spPr>
            <a:blipFill rotWithShape="1">
              <a:blip xmlns:r="http://schemas.openxmlformats.org/officeDocument/2006/relationships" r:embed="rId3">
                <a:duotone>
                  <a:schemeClr val="accent2"/>
                  <a:prstClr val="white"/>
                </a:duotone>
              </a:blip>
              <a:stretch>
                <a:fillRect/>
              </a:stretch>
            </a:blipFill>
            <a:ln>
              <a:noFill/>
            </a:ln>
            <a:effectLst>
              <a:outerShdw blurRad="76200" dir="13500000" sy="23000" kx="1200000" algn="br" rotWithShape="0">
                <a:prstClr val="black">
                  <a:alpha val="20000"/>
                </a:prstClr>
              </a:outerShdw>
            </a:effectLst>
          </c:spPr>
          <c:invertIfNegative val="0"/>
          <c:dPt>
            <c:idx val="1"/>
            <c:invertIfNegative val="0"/>
            <c:bubble3D val="0"/>
            <c:spPr>
              <a:blipFill rotWithShape="1">
                <a:blip xmlns:r="http://schemas.openxmlformats.org/officeDocument/2006/relationships" r:embed="rId3">
                  <a:duotone>
                    <a:schemeClr val="accent2"/>
                    <a:prstClr val="white"/>
                  </a:duotone>
                </a:blip>
                <a:stretch>
                  <a:fillRect/>
                </a:stretch>
              </a:blipFill>
              <a:ln>
                <a:noFill/>
              </a:ln>
              <a:effectLst>
                <a:outerShdw blurRad="76200" dir="18900000" sy="23000" kx="-1200000" algn="bl" rotWithShape="0">
                  <a:prstClr val="black">
                    <a:alpha val="20000"/>
                  </a:prst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[Workbook1.xlsx]Sheet1!$A$2:$A$6</c:f>
              <c:strCache>
                <c:ptCount val="5"/>
                <c:pt idx="0">
                  <c:v>新增专业数量</c:v>
                </c:pt>
                <c:pt idx="1">
                  <c:v>“名师名匠”工作室新增数量</c:v>
                </c:pt>
                <c:pt idx="2">
                  <c:v>学生取得高级工及以上证书人数</c:v>
                </c:pt>
                <c:pt idx="3">
                  <c:v>“1+X”证书试点培训考核学生数</c:v>
                </c:pt>
                <c:pt idx="4">
                  <c:v>新建专业实训车间面积</c:v>
                </c:pt>
              </c:strCache>
            </c:strRef>
          </c:cat>
          <c:val>
            <c:numRef>
              <c:f>[Workbook1.xlsx]Sheet1!$C$2:$C$6</c:f>
              <c:numCache>
                <c:formatCode>General</c:formatCode>
                <c:ptCount val="5"/>
                <c:pt idx="0">
                  <c:v>3</c:v>
                </c:pt>
                <c:pt idx="1">
                  <c:v>7</c:v>
                </c:pt>
                <c:pt idx="2">
                  <c:v>66</c:v>
                </c:pt>
                <c:pt idx="3">
                  <c:v>317</c:v>
                </c:pt>
                <c:pt idx="4">
                  <c:v>400</c:v>
                </c:pt>
              </c:numCache>
            </c:numRef>
          </c:val>
        </c:ser>
        <c:dLbls>
          <c:showLegendKey val="0"/>
          <c:showVal val="1"/>
          <c:showCatName val="0"/>
          <c:showSerName val="0"/>
          <c:showPercent val="0"/>
          <c:showBubbleSize val="0"/>
        </c:dLbls>
        <c:gapWidth val="200"/>
        <c:overlap val="-10"/>
        <c:axId val="64091437"/>
        <c:axId val="898409427"/>
      </c:barChart>
      <c:catAx>
        <c:axId val="64091437"/>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98409427"/>
        <c:crosses val="autoZero"/>
        <c:auto val="1"/>
        <c:lblAlgn val="ctr"/>
        <c:lblOffset val="100"/>
        <c:noMultiLvlLbl val="0"/>
      </c:catAx>
      <c:valAx>
        <c:axId val="898409427"/>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4091437"/>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2023年</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自治区级“双师型”教师数量</c:v>
                </c:pt>
                <c:pt idx="1">
                  <c:v>“双师型”教师比例</c:v>
                </c:pt>
                <c:pt idx="2">
                  <c:v>高级“双师型”教师比例</c:v>
                </c:pt>
              </c:strCache>
            </c:strRef>
          </c:cat>
          <c:val>
            <c:numRef>
              <c:f>Sheet1!$B$2:$B$4</c:f>
              <c:numCache>
                <c:formatCode>General</c:formatCode>
                <c:ptCount val="3"/>
                <c:pt idx="0">
                  <c:v>14</c:v>
                </c:pt>
                <c:pt idx="1" c:formatCode="0%">
                  <c:v>0.22</c:v>
                </c:pt>
                <c:pt idx="2" c:formatCode="0%">
                  <c:v>0.07</c:v>
                </c:pt>
              </c:numCache>
            </c:numRef>
          </c:val>
        </c:ser>
        <c:ser>
          <c:idx val="1"/>
          <c:order val="1"/>
          <c:tx>
            <c:strRef>
              <c:f>Sheet1!$C$1</c:f>
              <c:strCache>
                <c:ptCount val="1"/>
                <c:pt idx="0">
                  <c:v>2024年</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自治区级“双师型”教师数量</c:v>
                </c:pt>
                <c:pt idx="1">
                  <c:v>“双师型”教师比例</c:v>
                </c:pt>
                <c:pt idx="2">
                  <c:v>高级“双师型”教师比例</c:v>
                </c:pt>
              </c:strCache>
            </c:strRef>
          </c:cat>
          <c:val>
            <c:numRef>
              <c:f>Sheet1!$C$2:$C$4</c:f>
              <c:numCache>
                <c:formatCode>General</c:formatCode>
                <c:ptCount val="3"/>
                <c:pt idx="0">
                  <c:v>23</c:v>
                </c:pt>
                <c:pt idx="1" c:formatCode="0%">
                  <c:v>0.37</c:v>
                </c:pt>
                <c:pt idx="2" c:formatCode="0%">
                  <c:v>0.04</c:v>
                </c:pt>
              </c:numCache>
            </c:numRef>
          </c:val>
        </c:ser>
        <c:dLbls>
          <c:showLegendKey val="0"/>
          <c:showVal val="1"/>
          <c:showCatName val="0"/>
          <c:showSerName val="0"/>
          <c:showPercent val="0"/>
          <c:showBubbleSize val="0"/>
        </c:dLbls>
        <c:gapWidth val="246"/>
        <c:overlap val="-28"/>
        <c:axId val="637253356"/>
        <c:axId val="638401746"/>
      </c:barChart>
      <c:catAx>
        <c:axId val="637253356"/>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38401746"/>
        <c:crosses val="autoZero"/>
        <c:auto val="1"/>
        <c:lblAlgn val="ctr"/>
        <c:lblOffset val="100"/>
        <c:noMultiLvlLbl val="0"/>
      </c:catAx>
      <c:valAx>
        <c:axId val="638401746"/>
        <c:scaling>
          <c:orientation val="minMax"/>
        </c:scaling>
        <c:delete val="0"/>
        <c:axPos val="l"/>
        <c:majorGridlines>
          <c:spPr>
            <a:ln w="6350" cap="flat" cmpd="sng" algn="ctr">
              <a:solidFill>
                <a:schemeClr val="tx1">
                  <a:lumMod val="50000"/>
                  <a:lumOff val="50000"/>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37253356"/>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68">
    <a:dk1>
      <a:srgbClr val="000000"/>
    </a:dk1>
    <a:lt1>
      <a:srgbClr val="FFFFFF"/>
    </a:lt1>
    <a:dk2>
      <a:srgbClr val="44546A"/>
    </a:dk2>
    <a:lt2>
      <a:srgbClr val="E7E6E6"/>
    </a:lt2>
    <a:accent1>
      <a:srgbClr val="FE7B89"/>
    </a:accent1>
    <a:accent2>
      <a:srgbClr val="FFCC25"/>
    </a:accent2>
    <a:accent3>
      <a:srgbClr val="83D686"/>
    </a:accent3>
    <a:accent4>
      <a:srgbClr val="50A2F6"/>
    </a:accent4>
    <a:accent5>
      <a:srgbClr val="27CBBB"/>
    </a:accent5>
    <a:accent6>
      <a:srgbClr val="FE9F2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30362</Words>
  <Characters>32076</Characters>
  <Lines>1</Lines>
  <Paragraphs>1</Paragraphs>
  <TotalTime>49</TotalTime>
  <ScaleCrop>false</ScaleCrop>
  <LinksUpToDate>false</LinksUpToDate>
  <CharactersWithSpaces>33018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2023-12-05T08:14:00Z</dcterms:created>
  <dc:creator>123</dc:creator>
  <cp:lastModifiedBy>喜文</cp:lastModifiedBy>
  <cp:lastPrinted>2024-11-26T08:33:00Z</cp:lastPrinted>
  <dcterms:modified xsi:type="dcterms:W3CDTF">2025-03-12T08:41:45Z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D9A8229C936748189D475B2292A3D23D_13</vt:lpwstr>
  </property>
  <property fmtid="{D5CDD505-2E9C-101B-9397-08002B2CF9AE}" pid="4" name="KSOTemplateDocerSaveRecord">
    <vt:lpwstr>eyJoZGlkIjoiMWMxYTg1YmMxNWY2ZDY0N2VlNTVhMjQ4MDAyNGJkODQiLCJ1c2VySWQiOiI3MTcwNjczMTkifQ==</vt:lpwstr>
  </property>
</Properties>
</file>